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17.xml" ContentType="application/vnd.ms-office.chartcolorstyle+xml"/>
  <Override PartName="/word/charts/colors18.xml" ContentType="application/vnd.ms-office.chartcolorstyle+xml"/>
  <Override PartName="/word/charts/colors19.xml" ContentType="application/vnd.ms-office.chartcolorstyle+xml"/>
  <Override PartName="/word/charts/colors2.xml" ContentType="application/vnd.ms-office.chartcolorstyle+xml"/>
  <Override PartName="/word/charts/colors20.xml" ContentType="application/vnd.ms-office.chartcolorstyle+xml"/>
  <Override PartName="/word/charts/colors21.xml" ContentType="application/vnd.ms-office.chartcolorstyle+xml"/>
  <Override PartName="/word/charts/colors22.xml" ContentType="application/vnd.ms-office.chartcolorstyle+xml"/>
  <Override PartName="/word/charts/colors23.xml" ContentType="application/vnd.ms-office.chartcolorstyle+xml"/>
  <Override PartName="/word/charts/colors24.xml" ContentType="application/vnd.ms-office.chartcolorstyle+xml"/>
  <Override PartName="/word/charts/colors25.xml" ContentType="application/vnd.ms-office.chartcolorstyle+xml"/>
  <Override PartName="/word/charts/colors26.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17.xml" ContentType="application/vnd.ms-office.chartstyle+xml"/>
  <Override PartName="/word/charts/style18.xml" ContentType="application/vnd.ms-office.chartstyle+xml"/>
  <Override PartName="/word/charts/style19.xml" ContentType="application/vnd.ms-office.chartstyle+xml"/>
  <Override PartName="/word/charts/style2.xml" ContentType="application/vnd.ms-office.chartstyle+xml"/>
  <Override PartName="/word/charts/style20.xml" ContentType="application/vnd.ms-office.chartstyle+xml"/>
  <Override PartName="/word/charts/style21.xml" ContentType="application/vnd.ms-office.chartstyle+xml"/>
  <Override PartName="/word/charts/style22.xml" ContentType="application/vnd.ms-office.chartstyle+xml"/>
  <Override PartName="/word/charts/style23.xml" ContentType="application/vnd.ms-office.chartstyle+xml"/>
  <Override PartName="/word/charts/style24.xml" ContentType="application/vnd.ms-office.chartstyle+xml"/>
  <Override PartName="/word/charts/style25.xml" ContentType="application/vnd.ms-office.chartstyle+xml"/>
  <Override PartName="/word/charts/style26.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63" w:after="163" w:line="240" w:lineRule="auto"/>
        <w:ind w:firstLine="0" w:firstLineChars="0"/>
        <w:jc w:val="center"/>
        <w:rPr>
          <w:rFonts w:ascii="黑体" w:eastAsia="黑体"/>
          <w:b/>
          <w:sz w:val="72"/>
          <w:szCs w:val="72"/>
        </w:rPr>
      </w:pPr>
    </w:p>
    <w:p>
      <w:pPr>
        <w:spacing w:before="163" w:after="163" w:line="240" w:lineRule="auto"/>
        <w:ind w:firstLine="0" w:firstLineChars="0"/>
        <w:jc w:val="center"/>
        <w:rPr>
          <w:rFonts w:ascii="黑体" w:eastAsia="黑体"/>
          <w:b/>
          <w:sz w:val="72"/>
          <w:szCs w:val="72"/>
        </w:rPr>
      </w:pPr>
      <w:r>
        <w:rPr>
          <w:rFonts w:hint="eastAsia" w:ascii="黑体" w:eastAsia="黑体"/>
          <w:b/>
          <w:sz w:val="72"/>
          <w:szCs w:val="72"/>
        </w:rPr>
        <w:t>资阳市中心城区常规公交发展规划</w:t>
      </w:r>
    </w:p>
    <w:p>
      <w:pPr>
        <w:spacing w:before="163" w:after="163" w:line="240" w:lineRule="auto"/>
        <w:ind w:firstLine="0" w:firstLineChars="0"/>
        <w:jc w:val="center"/>
        <w:rPr>
          <w:rFonts w:ascii="黑体" w:eastAsia="黑体"/>
          <w:b/>
          <w:sz w:val="72"/>
          <w:szCs w:val="72"/>
        </w:rPr>
      </w:pPr>
      <w:r>
        <w:rPr>
          <w:rFonts w:hint="eastAsia" w:ascii="黑体" w:eastAsia="黑体"/>
          <w:b/>
          <w:sz w:val="72"/>
          <w:szCs w:val="72"/>
        </w:rPr>
        <w:t>（20</w:t>
      </w:r>
      <w:r>
        <w:rPr>
          <w:rFonts w:ascii="黑体" w:eastAsia="黑体"/>
          <w:b/>
          <w:sz w:val="72"/>
          <w:szCs w:val="72"/>
        </w:rPr>
        <w:t>18</w:t>
      </w:r>
      <w:r>
        <w:rPr>
          <w:rFonts w:hint="eastAsia" w:ascii="黑体" w:eastAsia="黑体"/>
          <w:b/>
          <w:sz w:val="72"/>
          <w:szCs w:val="72"/>
        </w:rPr>
        <w:t>-20</w:t>
      </w:r>
      <w:r>
        <w:rPr>
          <w:rFonts w:ascii="黑体" w:eastAsia="黑体"/>
          <w:b/>
          <w:sz w:val="72"/>
          <w:szCs w:val="72"/>
        </w:rPr>
        <w:t>3</w:t>
      </w:r>
      <w:r>
        <w:rPr>
          <w:rFonts w:hint="eastAsia" w:ascii="黑体" w:eastAsia="黑体"/>
          <w:b/>
          <w:sz w:val="72"/>
          <w:szCs w:val="72"/>
        </w:rPr>
        <w:t>0）</w:t>
      </w:r>
    </w:p>
    <w:p>
      <w:pPr>
        <w:spacing w:before="163" w:after="163"/>
        <w:ind w:firstLine="1446"/>
        <w:jc w:val="center"/>
        <w:rPr>
          <w:rFonts w:ascii="黑体" w:eastAsia="黑体"/>
          <w:b/>
          <w:sz w:val="72"/>
          <w:szCs w:val="72"/>
        </w:rPr>
      </w:pPr>
    </w:p>
    <w:p>
      <w:pPr>
        <w:spacing w:before="163" w:after="163"/>
        <w:ind w:firstLine="1446"/>
        <w:jc w:val="center"/>
        <w:rPr>
          <w:rFonts w:ascii="黑体" w:eastAsia="黑体"/>
          <w:b/>
          <w:sz w:val="72"/>
          <w:szCs w:val="72"/>
        </w:rPr>
      </w:pPr>
    </w:p>
    <w:p>
      <w:pPr>
        <w:spacing w:before="163" w:after="163"/>
        <w:ind w:firstLine="1446"/>
        <w:jc w:val="center"/>
        <w:rPr>
          <w:rFonts w:ascii="黑体" w:eastAsia="黑体"/>
          <w:b/>
          <w:sz w:val="72"/>
          <w:szCs w:val="72"/>
        </w:rPr>
      </w:pPr>
    </w:p>
    <w:p>
      <w:pPr>
        <w:spacing w:before="163" w:after="163"/>
        <w:ind w:firstLine="1446"/>
        <w:jc w:val="center"/>
        <w:rPr>
          <w:rFonts w:ascii="黑体" w:eastAsia="黑体"/>
          <w:b/>
          <w:sz w:val="72"/>
          <w:szCs w:val="72"/>
        </w:rPr>
      </w:pPr>
    </w:p>
    <w:p>
      <w:pPr>
        <w:spacing w:before="163" w:after="163" w:afterLines="50" w:line="240" w:lineRule="auto"/>
        <w:ind w:firstLine="0" w:firstLineChars="0"/>
        <w:jc w:val="center"/>
        <w:rPr>
          <w:rFonts w:ascii="黑体" w:eastAsia="黑体"/>
          <w:sz w:val="36"/>
          <w:szCs w:val="36"/>
        </w:rPr>
      </w:pPr>
    </w:p>
    <w:p>
      <w:pPr>
        <w:spacing w:before="163" w:after="163" w:afterLines="50" w:line="240" w:lineRule="auto"/>
        <w:ind w:firstLine="0" w:firstLineChars="0"/>
        <w:jc w:val="center"/>
        <w:rPr>
          <w:rFonts w:ascii="黑体" w:eastAsia="黑体"/>
          <w:sz w:val="36"/>
          <w:szCs w:val="36"/>
        </w:rPr>
      </w:pPr>
    </w:p>
    <w:p>
      <w:pPr>
        <w:spacing w:before="163" w:after="163" w:afterLines="50" w:line="240" w:lineRule="auto"/>
        <w:ind w:firstLine="0" w:firstLineChars="0"/>
        <w:jc w:val="center"/>
        <w:rPr>
          <w:rFonts w:ascii="黑体" w:eastAsia="黑体"/>
          <w:sz w:val="36"/>
          <w:szCs w:val="36"/>
        </w:rPr>
      </w:pPr>
      <w:r>
        <w:rPr>
          <w:rFonts w:hint="eastAsia" w:ascii="黑体" w:eastAsia="黑体"/>
          <w:sz w:val="36"/>
          <w:szCs w:val="36"/>
        </w:rPr>
        <w:t>201</w:t>
      </w:r>
      <w:r>
        <w:rPr>
          <w:rFonts w:ascii="黑体" w:eastAsia="黑体"/>
          <w:sz w:val="36"/>
          <w:szCs w:val="36"/>
        </w:rPr>
        <w:t>8</w:t>
      </w:r>
      <w:r>
        <w:rPr>
          <w:rFonts w:hint="eastAsia" w:ascii="黑体" w:eastAsia="黑体"/>
          <w:sz w:val="36"/>
          <w:szCs w:val="36"/>
        </w:rPr>
        <w:t>年</w:t>
      </w:r>
      <w:r>
        <w:rPr>
          <w:rFonts w:ascii="黑体" w:eastAsia="黑体"/>
          <w:sz w:val="36"/>
          <w:szCs w:val="36"/>
        </w:rPr>
        <w:t>1</w:t>
      </w:r>
      <w:r>
        <w:rPr>
          <w:rFonts w:hint="eastAsia" w:ascii="黑体" w:eastAsia="黑体"/>
          <w:sz w:val="36"/>
          <w:szCs w:val="36"/>
        </w:rPr>
        <w:t>月</w:t>
      </w:r>
    </w:p>
    <w:p>
      <w:pPr>
        <w:adjustRightInd/>
        <w:snapToGrid/>
        <w:spacing w:before="163" w:after="163" w:line="276" w:lineRule="auto"/>
        <w:ind w:firstLine="0" w:firstLineChars="0"/>
        <w:rPr>
          <w:rFonts w:ascii="黑体" w:eastAsia="黑体"/>
          <w:sz w:val="36"/>
          <w:szCs w:val="36"/>
        </w:rPr>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pgNumType w:fmt="numberInDash"/>
          <w:cols w:space="425" w:num="1"/>
          <w:titlePg/>
          <w:docGrid w:type="lines" w:linePitch="326" w:charSpace="0"/>
        </w:sectPr>
      </w:pPr>
    </w:p>
    <w:p>
      <w:pPr>
        <w:pStyle w:val="2"/>
        <w:spacing w:before="163" w:after="163" w:line="276" w:lineRule="auto"/>
      </w:pPr>
      <w:bookmarkStart w:id="0" w:name="_Toc510181045"/>
      <w:bookmarkStart w:id="1" w:name="_Toc518573635"/>
      <w:bookmarkStart w:id="2" w:name="_Toc372140009"/>
      <w:r>
        <w:rPr>
          <w:rFonts w:hint="eastAsia"/>
        </w:rPr>
        <w:t>目  录</w:t>
      </w:r>
      <w:bookmarkEnd w:id="0"/>
      <w:bookmarkEnd w:id="1"/>
      <w:bookmarkEnd w:id="2"/>
      <w:r>
        <w:rPr>
          <w:b/>
          <w:bCs/>
          <w:sz w:val="32"/>
          <w:szCs w:val="32"/>
        </w:rPr>
        <w:fldChar w:fldCharType="begin"/>
      </w:r>
      <w:r>
        <w:rPr>
          <w:b/>
          <w:bCs/>
          <w:sz w:val="32"/>
          <w:szCs w:val="32"/>
        </w:rPr>
        <w:instrText xml:space="preserve"> TOC \o "1-3" \h \z \u </w:instrText>
      </w:r>
      <w:r>
        <w:rPr>
          <w:b/>
          <w:bCs/>
          <w:sz w:val="32"/>
          <w:szCs w:val="32"/>
        </w:rPr>
        <w:fldChar w:fldCharType="separate"/>
      </w:r>
    </w:p>
    <w:p>
      <w:pPr>
        <w:pStyle w:val="63"/>
        <w:rPr>
          <w:rFonts w:asciiTheme="minorHAnsi" w:hAnsiTheme="minorHAnsi" w:eastAsiaTheme="minorEastAsia" w:cstheme="minorBidi"/>
          <w:sz w:val="21"/>
          <w:szCs w:val="22"/>
        </w:rPr>
      </w:pPr>
      <w:r>
        <w:fldChar w:fldCharType="begin"/>
      </w:r>
      <w:r>
        <w:instrText xml:space="preserve"> HYPERLINK \l "_Toc518573635" </w:instrText>
      </w:r>
      <w:r>
        <w:fldChar w:fldCharType="separate"/>
      </w:r>
      <w:r>
        <w:rPr>
          <w:rStyle w:val="92"/>
          <w:rFonts w:hint="eastAsia"/>
        </w:rPr>
        <w:t>目</w:t>
      </w:r>
      <w:r>
        <w:rPr>
          <w:rStyle w:val="92"/>
        </w:rPr>
        <w:t xml:space="preserve">  </w:t>
      </w:r>
      <w:r>
        <w:rPr>
          <w:rStyle w:val="92"/>
          <w:rFonts w:hint="eastAsia"/>
        </w:rPr>
        <w:t>录</w:t>
      </w:r>
      <w:r>
        <w:tab/>
      </w:r>
      <w:r>
        <w:fldChar w:fldCharType="begin"/>
      </w:r>
      <w:r>
        <w:instrText xml:space="preserve"> PAGEREF _Toc518573635 \h </w:instrText>
      </w:r>
      <w:r>
        <w:fldChar w:fldCharType="separate"/>
      </w:r>
      <w:r>
        <w:t>I</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"_Toc518573636" </w:instrText>
      </w:r>
      <w:r>
        <w:fldChar w:fldCharType="separate"/>
      </w:r>
      <w:r>
        <w:rPr>
          <w:rStyle w:val="92"/>
          <w:rFonts w:hint="eastAsia"/>
        </w:rPr>
        <w:t>第</w:t>
      </w:r>
      <w:r>
        <w:rPr>
          <w:rStyle w:val="92"/>
        </w:rPr>
        <w:t>1</w:t>
      </w:r>
      <w:r>
        <w:rPr>
          <w:rStyle w:val="92"/>
          <w:rFonts w:hint="eastAsia"/>
        </w:rPr>
        <w:t>章</w:t>
      </w:r>
      <w:r>
        <w:rPr>
          <w:rStyle w:val="92"/>
        </w:rPr>
        <w:t xml:space="preserve">  </w:t>
      </w:r>
      <w:r>
        <w:rPr>
          <w:rStyle w:val="92"/>
          <w:rFonts w:hint="eastAsia"/>
        </w:rPr>
        <w:t>概述</w:t>
      </w:r>
      <w:r>
        <w:tab/>
      </w:r>
      <w:r>
        <w:fldChar w:fldCharType="begin"/>
      </w:r>
      <w:r>
        <w:instrText xml:space="preserve"> PAGEREF _Toc518573636 \h </w:instrText>
      </w:r>
      <w:r>
        <w:fldChar w:fldCharType="separate"/>
      </w:r>
      <w:r>
        <w:t>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"_Toc518573637" </w:instrText>
      </w:r>
      <w:r>
        <w:fldChar w:fldCharType="separate"/>
      </w:r>
      <w:r>
        <w:rPr>
          <w:rStyle w:val="92"/>
        </w:rPr>
        <w:t xml:space="preserve">1.1 </w:t>
      </w:r>
      <w:r>
        <w:rPr>
          <w:rStyle w:val="92"/>
          <w:rFonts w:hint="eastAsia"/>
        </w:rPr>
        <w:t>规划编制背景</w:t>
      </w:r>
      <w:r>
        <w:tab/>
      </w:r>
      <w:r>
        <w:fldChar w:fldCharType="begin"/>
      </w:r>
      <w:r>
        <w:instrText xml:space="preserve"> PAGEREF _Toc518573637 \h </w:instrText>
      </w:r>
      <w:r>
        <w:fldChar w:fldCharType="separate"/>
      </w:r>
      <w:r>
        <w:t>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"_Toc518573638" </w:instrText>
      </w:r>
      <w:r>
        <w:fldChar w:fldCharType="separate"/>
      </w:r>
      <w:r>
        <w:rPr>
          <w:rStyle w:val="92"/>
        </w:rPr>
        <w:t xml:space="preserve">1.2 </w:t>
      </w:r>
      <w:r>
        <w:rPr>
          <w:rStyle w:val="92"/>
          <w:rFonts w:hint="eastAsia"/>
        </w:rPr>
        <w:t>规划编制依据、范围和年限</w:t>
      </w:r>
      <w:r>
        <w:tab/>
      </w:r>
      <w:r>
        <w:fldChar w:fldCharType="begin"/>
      </w:r>
      <w:r>
        <w:instrText xml:space="preserve"> PAGEREF _Toc518573638 \h </w:instrText>
      </w:r>
      <w:r>
        <w:fldChar w:fldCharType="separate"/>
      </w:r>
      <w:r>
        <w:t>2</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"_Toc518573639" </w:instrText>
      </w:r>
      <w:r>
        <w:fldChar w:fldCharType="separate"/>
      </w:r>
      <w:r>
        <w:rPr>
          <w:rStyle w:val="92"/>
        </w:rPr>
        <w:t xml:space="preserve">1.2.1 </w:t>
      </w:r>
      <w:r>
        <w:rPr>
          <w:rStyle w:val="92"/>
          <w:rFonts w:hint="eastAsia"/>
        </w:rPr>
        <w:t>规划编制依据</w:t>
      </w:r>
      <w:r>
        <w:tab/>
      </w:r>
      <w:r>
        <w:fldChar w:fldCharType="begin"/>
      </w:r>
      <w:r>
        <w:instrText xml:space="preserve"> PAGEREF _Toc518573639 \h </w:instrText>
      </w:r>
      <w:r>
        <w:fldChar w:fldCharType="separate"/>
      </w:r>
      <w:r>
        <w:t>2</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"_Toc518573640" </w:instrText>
      </w:r>
      <w:r>
        <w:fldChar w:fldCharType="separate"/>
      </w:r>
      <w:r>
        <w:rPr>
          <w:rStyle w:val="92"/>
        </w:rPr>
        <w:t xml:space="preserve">1.2.2 </w:t>
      </w:r>
      <w:r>
        <w:rPr>
          <w:rStyle w:val="92"/>
          <w:rFonts w:hint="eastAsia"/>
        </w:rPr>
        <w:t>规划范围</w:t>
      </w:r>
      <w:r>
        <w:tab/>
      </w:r>
      <w:r>
        <w:fldChar w:fldCharType="begin"/>
      </w:r>
      <w:r>
        <w:instrText xml:space="preserve"> PAGEREF _Toc518573640 \h </w:instrText>
      </w:r>
      <w:r>
        <w:fldChar w:fldCharType="separate"/>
      </w:r>
      <w:r>
        <w:t>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"_Toc518573641" </w:instrText>
      </w:r>
      <w:r>
        <w:fldChar w:fldCharType="separate"/>
      </w:r>
      <w:r>
        <w:rPr>
          <w:rStyle w:val="92"/>
        </w:rPr>
        <w:t xml:space="preserve">1.2.3 </w:t>
      </w:r>
      <w:r>
        <w:rPr>
          <w:rStyle w:val="92"/>
          <w:rFonts w:hint="eastAsia"/>
        </w:rPr>
        <w:t>规划年限</w:t>
      </w:r>
      <w:r>
        <w:tab/>
      </w:r>
      <w:r>
        <w:fldChar w:fldCharType="begin"/>
      </w:r>
      <w:r>
        <w:instrText xml:space="preserve"> PAGEREF _Toc518573641 \h </w:instrText>
      </w:r>
      <w:r>
        <w:fldChar w:fldCharType="separate"/>
      </w:r>
      <w:r>
        <w:t>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"_Toc518573642" </w:instrText>
      </w:r>
      <w:r>
        <w:fldChar w:fldCharType="separate"/>
      </w:r>
      <w:r>
        <w:rPr>
          <w:rStyle w:val="92"/>
        </w:rPr>
        <w:t xml:space="preserve">1.3 </w:t>
      </w:r>
      <w:r>
        <w:rPr>
          <w:rStyle w:val="92"/>
          <w:rFonts w:hint="eastAsia"/>
        </w:rPr>
        <w:t>规划指导思想和原则</w:t>
      </w:r>
      <w:r>
        <w:tab/>
      </w:r>
      <w:r>
        <w:fldChar w:fldCharType="begin"/>
      </w:r>
      <w:r>
        <w:instrText xml:space="preserve"> PAGEREF _Toc518573642 \h </w:instrText>
      </w:r>
      <w:r>
        <w:fldChar w:fldCharType="separate"/>
      </w:r>
      <w:r>
        <w:t>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"_Toc518573643" </w:instrText>
      </w:r>
      <w:r>
        <w:fldChar w:fldCharType="separate"/>
      </w:r>
      <w:r>
        <w:rPr>
          <w:rStyle w:val="92"/>
        </w:rPr>
        <w:t xml:space="preserve">1.3.1 </w:t>
      </w:r>
      <w:r>
        <w:rPr>
          <w:rStyle w:val="92"/>
          <w:rFonts w:hint="eastAsia"/>
        </w:rPr>
        <w:t>指导思想</w:t>
      </w:r>
      <w:r>
        <w:tab/>
      </w:r>
      <w:r>
        <w:fldChar w:fldCharType="begin"/>
      </w:r>
      <w:r>
        <w:instrText xml:space="preserve"> PAGEREF _Toc518573643 \h </w:instrText>
      </w:r>
      <w:r>
        <w:fldChar w:fldCharType="separate"/>
      </w:r>
      <w:r>
        <w:t>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"_Toc518573644" </w:instrText>
      </w:r>
      <w:r>
        <w:fldChar w:fldCharType="separate"/>
      </w:r>
      <w:r>
        <w:rPr>
          <w:rStyle w:val="92"/>
        </w:rPr>
        <w:t xml:space="preserve">1.3.2 </w:t>
      </w:r>
      <w:r>
        <w:rPr>
          <w:rStyle w:val="92"/>
          <w:rFonts w:hint="eastAsia"/>
        </w:rPr>
        <w:t>基本原则</w:t>
      </w:r>
      <w:r>
        <w:tab/>
      </w:r>
      <w:r>
        <w:fldChar w:fldCharType="begin"/>
      </w:r>
      <w:r>
        <w:instrText xml:space="preserve"> PAGEREF _Toc518573644 \h </w:instrText>
      </w:r>
      <w:r>
        <w:fldChar w:fldCharType="separate"/>
      </w:r>
      <w:r>
        <w:t>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"_Toc518573645" </w:instrText>
      </w:r>
      <w:r>
        <w:fldChar w:fldCharType="separate"/>
      </w:r>
      <w:r>
        <w:rPr>
          <w:rStyle w:val="92"/>
        </w:rPr>
        <w:t xml:space="preserve">1.4 </w:t>
      </w:r>
      <w:r>
        <w:rPr>
          <w:rStyle w:val="92"/>
          <w:rFonts w:hint="eastAsia"/>
        </w:rPr>
        <w:t>规划内容</w:t>
      </w:r>
      <w:r>
        <w:tab/>
      </w:r>
      <w:r>
        <w:fldChar w:fldCharType="begin"/>
      </w:r>
      <w:r>
        <w:instrText xml:space="preserve"> PAGEREF _Toc518573645 \h </w:instrText>
      </w:r>
      <w:r>
        <w:fldChar w:fldCharType="separate"/>
      </w:r>
      <w:r>
        <w:t>4</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"_Toc518573646" </w:instrText>
      </w:r>
      <w:r>
        <w:fldChar w:fldCharType="separate"/>
      </w:r>
      <w:r>
        <w:rPr>
          <w:rStyle w:val="92"/>
        </w:rPr>
        <w:t xml:space="preserve">1.5 </w:t>
      </w:r>
      <w:r>
        <w:rPr>
          <w:rStyle w:val="92"/>
          <w:rFonts w:hint="eastAsia"/>
        </w:rPr>
        <w:t>规划成果</w:t>
      </w:r>
      <w:r>
        <w:tab/>
      </w:r>
      <w:r>
        <w:fldChar w:fldCharType="begin"/>
      </w:r>
      <w:r>
        <w:instrText xml:space="preserve"> PAGEREF _Toc518573646 \h </w:instrText>
      </w:r>
      <w:r>
        <w:fldChar w:fldCharType="separate"/>
      </w:r>
      <w:r>
        <w:t>5</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"_Toc518573647" </w:instrText>
      </w:r>
      <w:r>
        <w:fldChar w:fldCharType="separate"/>
      </w:r>
      <w:r>
        <w:rPr>
          <w:rStyle w:val="92"/>
          <w:rFonts w:hint="eastAsia"/>
        </w:rPr>
        <w:t>第</w:t>
      </w:r>
      <w:r>
        <w:rPr>
          <w:rStyle w:val="92"/>
        </w:rPr>
        <w:t>2</w:t>
      </w:r>
      <w:r>
        <w:rPr>
          <w:rStyle w:val="92"/>
          <w:rFonts w:hint="eastAsia"/>
        </w:rPr>
        <w:t>章</w:t>
      </w:r>
      <w:r>
        <w:rPr>
          <w:rStyle w:val="92"/>
        </w:rPr>
        <w:t xml:space="preserve">  </w:t>
      </w:r>
      <w:r>
        <w:rPr>
          <w:rStyle w:val="92"/>
          <w:rFonts w:hint="eastAsia"/>
        </w:rPr>
        <w:t>城市公交发展现状分析</w:t>
      </w:r>
      <w:r>
        <w:tab/>
      </w:r>
      <w:r>
        <w:fldChar w:fldCharType="begin"/>
      </w:r>
      <w:r>
        <w:instrText xml:space="preserve"> PAGEREF _Toc518573647 \h </w:instrText>
      </w:r>
      <w:r>
        <w:fldChar w:fldCharType="separate"/>
      </w:r>
      <w:r>
        <w:t>9</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"_Toc518573648" </w:instrText>
      </w:r>
      <w:r>
        <w:fldChar w:fldCharType="separate"/>
      </w:r>
      <w:r>
        <w:rPr>
          <w:rStyle w:val="92"/>
        </w:rPr>
        <w:t xml:space="preserve">2.1 </w:t>
      </w:r>
      <w:r>
        <w:rPr>
          <w:rStyle w:val="92"/>
          <w:rFonts w:hint="eastAsia"/>
        </w:rPr>
        <w:t>城市发展现状分析</w:t>
      </w:r>
      <w:r>
        <w:tab/>
      </w:r>
      <w:r>
        <w:fldChar w:fldCharType="begin"/>
      </w:r>
      <w:r>
        <w:instrText xml:space="preserve"> PAGEREF _Toc518573648 \h </w:instrText>
      </w:r>
      <w:r>
        <w:fldChar w:fldCharType="separate"/>
      </w:r>
      <w:r>
        <w:t>9</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"_Toc518573649" </w:instrText>
      </w:r>
      <w:r>
        <w:fldChar w:fldCharType="separate"/>
      </w:r>
      <w:r>
        <w:rPr>
          <w:rStyle w:val="92"/>
        </w:rPr>
        <w:t xml:space="preserve">2.2 </w:t>
      </w:r>
      <w:r>
        <w:rPr>
          <w:rStyle w:val="92"/>
          <w:rFonts w:hint="eastAsia"/>
        </w:rPr>
        <w:t>公交企业经运营现状分析</w:t>
      </w:r>
      <w:r>
        <w:tab/>
      </w:r>
      <w:r>
        <w:fldChar w:fldCharType="begin"/>
      </w:r>
      <w:r>
        <w:instrText xml:space="preserve"> PAGEREF _Toc518573649 \h </w:instrText>
      </w:r>
      <w:r>
        <w:fldChar w:fldCharType="separate"/>
      </w:r>
      <w:r>
        <w:t>11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"_Toc518573650" </w:instrText>
      </w:r>
      <w:r>
        <w:fldChar w:fldCharType="separate"/>
      </w:r>
      <w:r>
        <w:rPr>
          <w:rStyle w:val="92"/>
        </w:rPr>
        <w:t xml:space="preserve">2.3 </w:t>
      </w:r>
      <w:r>
        <w:rPr>
          <w:rStyle w:val="92"/>
          <w:rFonts w:hint="eastAsia"/>
        </w:rPr>
        <w:t>公交客流分析</w:t>
      </w:r>
      <w:r>
        <w:tab/>
      </w:r>
      <w:r>
        <w:fldChar w:fldCharType="begin"/>
      </w:r>
      <w:r>
        <w:instrText xml:space="preserve"> PAGEREF _Toc518573650 \h </w:instrText>
      </w:r>
      <w:r>
        <w:fldChar w:fldCharType="separate"/>
      </w:r>
      <w:r>
        <w:t>11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"_Toc518573651" </w:instrText>
      </w:r>
      <w:r>
        <w:fldChar w:fldCharType="separate"/>
      </w:r>
      <w:r>
        <w:rPr>
          <w:rStyle w:val="92"/>
        </w:rPr>
        <w:t xml:space="preserve">2.3.1 </w:t>
      </w:r>
      <w:r>
        <w:rPr>
          <w:rStyle w:val="92"/>
          <w:rFonts w:hint="eastAsia"/>
        </w:rPr>
        <w:t>日均客流量分析</w:t>
      </w:r>
      <w:r>
        <w:tab/>
      </w:r>
      <w:r>
        <w:fldChar w:fldCharType="begin"/>
      </w:r>
      <w:r>
        <w:instrText xml:space="preserve"> PAGEREF _Toc518573651 \h </w:instrText>
      </w:r>
      <w:r>
        <w:fldChar w:fldCharType="separate"/>
      </w:r>
      <w:r>
        <w:t>11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"_Toc518573652" </w:instrText>
      </w:r>
      <w:r>
        <w:fldChar w:fldCharType="separate"/>
      </w:r>
      <w:r>
        <w:rPr>
          <w:rStyle w:val="92"/>
        </w:rPr>
        <w:t xml:space="preserve">2.3.2 </w:t>
      </w:r>
      <w:r>
        <w:rPr>
          <w:rStyle w:val="92"/>
          <w:rFonts w:hint="eastAsia"/>
        </w:rPr>
        <w:t>断面客流量分析</w:t>
      </w:r>
      <w:r>
        <w:tab/>
      </w:r>
      <w:r>
        <w:fldChar w:fldCharType="begin"/>
      </w:r>
      <w:r>
        <w:instrText xml:space="preserve"> PAGEREF _Toc518573652 \h </w:instrText>
      </w:r>
      <w:r>
        <w:fldChar w:fldCharType="separate"/>
      </w:r>
      <w:r>
        <w:t>15</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"_Toc518573653" </w:instrText>
      </w:r>
      <w:r>
        <w:fldChar w:fldCharType="separate"/>
      </w:r>
      <w:r>
        <w:rPr>
          <w:rStyle w:val="92"/>
        </w:rPr>
        <w:t xml:space="preserve">2.4 </w:t>
      </w:r>
      <w:r>
        <w:rPr>
          <w:rStyle w:val="92"/>
          <w:rFonts w:hint="eastAsia"/>
        </w:rPr>
        <w:t>公交线网分析</w:t>
      </w:r>
      <w:r>
        <w:tab/>
      </w:r>
      <w:r>
        <w:fldChar w:fldCharType="begin"/>
      </w:r>
      <w:r>
        <w:instrText xml:space="preserve"> PAGEREF _Toc518573653 \h </w:instrText>
      </w:r>
      <w:r>
        <w:fldChar w:fldCharType="separate"/>
      </w:r>
      <w:r>
        <w:t>18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"_Toc518573654" </w:instrText>
      </w:r>
      <w:r>
        <w:fldChar w:fldCharType="separate"/>
      </w:r>
      <w:r>
        <w:rPr>
          <w:rStyle w:val="92"/>
        </w:rPr>
        <w:t xml:space="preserve">2.4.1 </w:t>
      </w:r>
      <w:r>
        <w:rPr>
          <w:rStyle w:val="92"/>
          <w:rFonts w:hint="eastAsia"/>
        </w:rPr>
        <w:t>线网布局</w:t>
      </w:r>
      <w:r>
        <w:tab/>
      </w:r>
      <w:r>
        <w:fldChar w:fldCharType="begin"/>
      </w:r>
      <w:r>
        <w:instrText xml:space="preserve"> PAGEREF _Toc518573654 \h </w:instrText>
      </w:r>
      <w:r>
        <w:fldChar w:fldCharType="separate"/>
      </w:r>
      <w:r>
        <w:t>18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"_Toc518573655" </w:instrText>
      </w:r>
      <w:r>
        <w:fldChar w:fldCharType="separate"/>
      </w:r>
      <w:r>
        <w:rPr>
          <w:rStyle w:val="92"/>
        </w:rPr>
        <w:t xml:space="preserve">2.4.2 </w:t>
      </w:r>
      <w:r>
        <w:rPr>
          <w:rStyle w:val="92"/>
          <w:rFonts w:hint="eastAsia"/>
        </w:rPr>
        <w:t>公交线网指标分析</w:t>
      </w:r>
      <w:r>
        <w:tab/>
      </w:r>
      <w:r>
        <w:fldChar w:fldCharType="begin"/>
      </w:r>
      <w:r>
        <w:instrText xml:space="preserve"> PAGEREF _Toc518573655 \h </w:instrText>
      </w:r>
      <w:r>
        <w:fldChar w:fldCharType="separate"/>
      </w:r>
      <w:r>
        <w:t>19</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"_Toc518573656" </w:instrText>
      </w:r>
      <w:r>
        <w:fldChar w:fldCharType="separate"/>
      </w:r>
      <w:r>
        <w:rPr>
          <w:rStyle w:val="92"/>
        </w:rPr>
        <w:t xml:space="preserve">2.5 </w:t>
      </w:r>
      <w:r>
        <w:rPr>
          <w:rStyle w:val="92"/>
          <w:rFonts w:hint="eastAsia"/>
        </w:rPr>
        <w:t>公交运力分析</w:t>
      </w:r>
      <w:r>
        <w:tab/>
      </w:r>
      <w:r>
        <w:fldChar w:fldCharType="begin"/>
      </w:r>
      <w:r>
        <w:instrText xml:space="preserve"> PAGEREF _Toc518573656 \h </w:instrText>
      </w:r>
      <w:r>
        <w:fldChar w:fldCharType="separate"/>
      </w:r>
      <w:r>
        <w:t>20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"_Toc518573657" </w:instrText>
      </w:r>
      <w:r>
        <w:fldChar w:fldCharType="separate"/>
      </w:r>
      <w:r>
        <w:rPr>
          <w:rStyle w:val="92"/>
        </w:rPr>
        <w:t xml:space="preserve">2.6 </w:t>
      </w:r>
      <w:r>
        <w:rPr>
          <w:rStyle w:val="92"/>
          <w:rFonts w:hint="eastAsia"/>
        </w:rPr>
        <w:t>公交场站分析</w:t>
      </w:r>
      <w:r>
        <w:tab/>
      </w:r>
      <w:r>
        <w:fldChar w:fldCharType="begin"/>
      </w:r>
      <w:r>
        <w:instrText xml:space="preserve"> PAGEREF _Toc518573657 \h </w:instrText>
      </w:r>
      <w:r>
        <w:fldChar w:fldCharType="separate"/>
      </w:r>
      <w:r>
        <w:t>21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"_Toc518573658" </w:instrText>
      </w:r>
      <w:r>
        <w:fldChar w:fldCharType="separate"/>
      </w:r>
      <w:r>
        <w:rPr>
          <w:rStyle w:val="92"/>
        </w:rPr>
        <w:t xml:space="preserve">2.6.1 </w:t>
      </w:r>
      <w:r>
        <w:rPr>
          <w:rStyle w:val="92"/>
          <w:rFonts w:hint="eastAsia"/>
        </w:rPr>
        <w:t>首末站</w:t>
      </w:r>
      <w:r>
        <w:tab/>
      </w:r>
      <w:r>
        <w:fldChar w:fldCharType="begin"/>
      </w:r>
      <w:r>
        <w:instrText xml:space="preserve"> PAGEREF _Toc518573658 \h </w:instrText>
      </w:r>
      <w:r>
        <w:fldChar w:fldCharType="separate"/>
      </w:r>
      <w:r>
        <w:t>21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"_Toc518573659" </w:instrText>
      </w:r>
      <w:r>
        <w:fldChar w:fldCharType="separate"/>
      </w:r>
      <w:r>
        <w:rPr>
          <w:rStyle w:val="92"/>
        </w:rPr>
        <w:t xml:space="preserve">2.6.2 </w:t>
      </w:r>
      <w:r>
        <w:rPr>
          <w:rStyle w:val="92"/>
          <w:rFonts w:hint="eastAsia"/>
        </w:rPr>
        <w:t>停保场</w:t>
      </w:r>
      <w:r>
        <w:tab/>
      </w:r>
      <w:r>
        <w:fldChar w:fldCharType="begin"/>
      </w:r>
      <w:r>
        <w:instrText xml:space="preserve"> PAGEREF _Toc518573659 \h </w:instrText>
      </w:r>
      <w:r>
        <w:fldChar w:fldCharType="separate"/>
      </w:r>
      <w:r>
        <w:t>23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"_Toc518573660" </w:instrText>
      </w:r>
      <w:r>
        <w:fldChar w:fldCharType="separate"/>
      </w:r>
      <w:r>
        <w:rPr>
          <w:rStyle w:val="92"/>
        </w:rPr>
        <w:t xml:space="preserve">2.6.3 </w:t>
      </w:r>
      <w:r>
        <w:rPr>
          <w:rStyle w:val="92"/>
          <w:rFonts w:hint="eastAsia"/>
        </w:rPr>
        <w:t>中途站</w:t>
      </w:r>
      <w:r>
        <w:tab/>
      </w:r>
      <w:r>
        <w:fldChar w:fldCharType="begin"/>
      </w:r>
      <w:r>
        <w:instrText xml:space="preserve"> PAGEREF _Toc518573660 \h </w:instrText>
      </w:r>
      <w:r>
        <w:fldChar w:fldCharType="separate"/>
      </w:r>
      <w:r>
        <w:t>23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"_Toc518573661" </w:instrText>
      </w:r>
      <w:r>
        <w:fldChar w:fldCharType="separate"/>
      </w:r>
      <w:r>
        <w:rPr>
          <w:rStyle w:val="92"/>
        </w:rPr>
        <w:t xml:space="preserve">2.7 </w:t>
      </w:r>
      <w:r>
        <w:rPr>
          <w:rStyle w:val="92"/>
          <w:rFonts w:hint="eastAsia"/>
        </w:rPr>
        <w:t>公交专用道</w:t>
      </w:r>
      <w:r>
        <w:tab/>
      </w:r>
      <w:r>
        <w:fldChar w:fldCharType="begin"/>
      </w:r>
      <w:r>
        <w:instrText xml:space="preserve"> PAGEREF _Toc518573661 \h </w:instrText>
      </w:r>
      <w:r>
        <w:fldChar w:fldCharType="separate"/>
      </w:r>
      <w:r>
        <w:t>24</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"_Toc518573662" </w:instrText>
      </w:r>
      <w:r>
        <w:fldChar w:fldCharType="separate"/>
      </w:r>
      <w:r>
        <w:rPr>
          <w:rStyle w:val="92"/>
        </w:rPr>
        <w:t xml:space="preserve">2.8 </w:t>
      </w:r>
      <w:r>
        <w:rPr>
          <w:rStyle w:val="92"/>
          <w:rFonts w:hint="eastAsia"/>
        </w:rPr>
        <w:t>现状问题分析</w:t>
      </w:r>
      <w:r>
        <w:tab/>
      </w:r>
      <w:r>
        <w:fldChar w:fldCharType="begin"/>
      </w:r>
      <w:r>
        <w:instrText xml:space="preserve"> PAGEREF _Toc518573662 \h </w:instrText>
      </w:r>
      <w:r>
        <w:fldChar w:fldCharType="separate"/>
      </w:r>
      <w:r>
        <w:t>25</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"_Toc518573663" </w:instrText>
      </w:r>
      <w:r>
        <w:fldChar w:fldCharType="separate"/>
      </w:r>
      <w:r>
        <w:rPr>
          <w:rStyle w:val="92"/>
          <w:rFonts w:hint="eastAsia"/>
        </w:rPr>
        <w:t>第</w:t>
      </w:r>
      <w:r>
        <w:rPr>
          <w:rStyle w:val="92"/>
        </w:rPr>
        <w:t>3</w:t>
      </w:r>
      <w:r>
        <w:rPr>
          <w:rStyle w:val="92"/>
          <w:rFonts w:hint="eastAsia"/>
        </w:rPr>
        <w:t>章</w:t>
      </w:r>
      <w:r>
        <w:rPr>
          <w:rStyle w:val="92"/>
        </w:rPr>
        <w:t xml:space="preserve">  </w:t>
      </w:r>
      <w:r>
        <w:rPr>
          <w:rStyle w:val="92"/>
          <w:rFonts w:hint="eastAsia"/>
        </w:rPr>
        <w:t>公共交通需求分析</w:t>
      </w:r>
      <w:r>
        <w:tab/>
      </w:r>
      <w:r>
        <w:fldChar w:fldCharType="begin"/>
      </w:r>
      <w:r>
        <w:instrText xml:space="preserve"> PAGEREF _Toc518573663 \h </w:instrText>
      </w:r>
      <w:r>
        <w:fldChar w:fldCharType="separate"/>
      </w:r>
      <w:r>
        <w:t>27</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"_Toc518573664" </w:instrText>
      </w:r>
      <w:r>
        <w:fldChar w:fldCharType="separate"/>
      </w:r>
      <w:r>
        <w:rPr>
          <w:rStyle w:val="92"/>
        </w:rPr>
        <w:t xml:space="preserve">3.1 </w:t>
      </w:r>
      <w:r>
        <w:rPr>
          <w:rStyle w:val="92"/>
          <w:rFonts w:hint="eastAsia"/>
        </w:rPr>
        <w:t>城市社会经济发展预测</w:t>
      </w:r>
      <w:r>
        <w:tab/>
      </w:r>
      <w:r>
        <w:fldChar w:fldCharType="begin"/>
      </w:r>
      <w:r>
        <w:instrText xml:space="preserve"> PAGEREF _Toc518573664 \h </w:instrText>
      </w:r>
      <w:r>
        <w:fldChar w:fldCharType="separate"/>
      </w:r>
      <w:r>
        <w:t>27</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"_Toc518573665" </w:instrText>
      </w:r>
      <w:r>
        <w:fldChar w:fldCharType="separate"/>
      </w:r>
      <w:r>
        <w:rPr>
          <w:rStyle w:val="92"/>
        </w:rPr>
        <w:t xml:space="preserve">3.1.1 </w:t>
      </w:r>
      <w:r>
        <w:rPr>
          <w:rStyle w:val="92"/>
          <w:rFonts w:hint="eastAsia"/>
        </w:rPr>
        <w:t>城市总体规划</w:t>
      </w:r>
      <w:r>
        <w:tab/>
      </w:r>
      <w:r>
        <w:fldChar w:fldCharType="begin"/>
      </w:r>
      <w:r>
        <w:instrText xml:space="preserve"> PAGEREF _Toc518573665 \h </w:instrText>
      </w:r>
      <w:r>
        <w:fldChar w:fldCharType="separate"/>
      </w:r>
      <w:r>
        <w:t>27</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"_Toc518573666" </w:instrText>
      </w:r>
      <w:r>
        <w:fldChar w:fldCharType="separate"/>
      </w:r>
      <w:r>
        <w:rPr>
          <w:rStyle w:val="92"/>
        </w:rPr>
        <w:t xml:space="preserve">3.1.2 </w:t>
      </w:r>
      <w:r>
        <w:rPr>
          <w:rStyle w:val="92"/>
          <w:rFonts w:hint="eastAsia"/>
        </w:rPr>
        <w:t>社会经济规划</w:t>
      </w:r>
      <w:r>
        <w:tab/>
      </w:r>
      <w:r>
        <w:fldChar w:fldCharType="begin"/>
      </w:r>
      <w:r>
        <w:instrText xml:space="preserve"> PAGEREF _Toc518573666 \h </w:instrText>
      </w:r>
      <w:r>
        <w:fldChar w:fldCharType="separate"/>
      </w:r>
      <w:r>
        <w:t>29</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"_Toc518573667" </w:instrText>
      </w:r>
      <w:r>
        <w:fldChar w:fldCharType="separate"/>
      </w:r>
      <w:r>
        <w:rPr>
          <w:rStyle w:val="92"/>
        </w:rPr>
        <w:t xml:space="preserve">3.1.3 </w:t>
      </w:r>
      <w:r>
        <w:rPr>
          <w:rStyle w:val="92"/>
          <w:rFonts w:hint="eastAsia"/>
        </w:rPr>
        <w:t>土地利用规划</w:t>
      </w:r>
      <w:r>
        <w:tab/>
      </w:r>
      <w:r>
        <w:fldChar w:fldCharType="begin"/>
      </w:r>
      <w:r>
        <w:instrText xml:space="preserve"> PAGEREF _Toc518573667 \h </w:instrText>
      </w:r>
      <w:r>
        <w:fldChar w:fldCharType="separate"/>
      </w:r>
      <w:r>
        <w:t>29</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"_Toc518573668" </w:instrText>
      </w:r>
      <w:r>
        <w:fldChar w:fldCharType="separate"/>
      </w:r>
      <w:r>
        <w:rPr>
          <w:rStyle w:val="92"/>
        </w:rPr>
        <w:t xml:space="preserve">3.2 </w:t>
      </w:r>
      <w:r>
        <w:rPr>
          <w:rStyle w:val="92"/>
          <w:rFonts w:hint="eastAsia"/>
        </w:rPr>
        <w:t>城市综合交通需求预测</w:t>
      </w:r>
      <w:r>
        <w:tab/>
      </w:r>
      <w:r>
        <w:fldChar w:fldCharType="begin"/>
      </w:r>
      <w:r>
        <w:instrText xml:space="preserve"> PAGEREF _Toc518573668 \h </w:instrText>
      </w:r>
      <w:r>
        <w:fldChar w:fldCharType="separate"/>
      </w:r>
      <w:r>
        <w:t>31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"_Toc518573669" </w:instrText>
      </w:r>
      <w:r>
        <w:fldChar w:fldCharType="separate"/>
      </w:r>
      <w:r>
        <w:rPr>
          <w:rStyle w:val="92"/>
        </w:rPr>
        <w:t xml:space="preserve">3.2.1 </w:t>
      </w:r>
      <w:r>
        <w:rPr>
          <w:rStyle w:val="92"/>
          <w:rFonts w:hint="eastAsia"/>
        </w:rPr>
        <w:t>交通需求分类</w:t>
      </w:r>
      <w:r>
        <w:tab/>
      </w:r>
      <w:r>
        <w:fldChar w:fldCharType="begin"/>
      </w:r>
      <w:r>
        <w:instrText xml:space="preserve"> PAGEREF _Toc518573669 \h </w:instrText>
      </w:r>
      <w:r>
        <w:fldChar w:fldCharType="separate"/>
      </w:r>
      <w:r>
        <w:t>31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"_Toc518573670" </w:instrText>
      </w:r>
      <w:r>
        <w:fldChar w:fldCharType="separate"/>
      </w:r>
      <w:r>
        <w:rPr>
          <w:rStyle w:val="92"/>
        </w:rPr>
        <w:t xml:space="preserve">3.2.2 </w:t>
      </w:r>
      <w:r>
        <w:rPr>
          <w:rStyle w:val="92"/>
          <w:rFonts w:hint="eastAsia"/>
        </w:rPr>
        <w:t>交通小区划分</w:t>
      </w:r>
      <w:r>
        <w:tab/>
      </w:r>
      <w:r>
        <w:fldChar w:fldCharType="begin"/>
      </w:r>
      <w:r>
        <w:instrText xml:space="preserve"> PAGEREF _Toc518573670 \h </w:instrText>
      </w:r>
      <w:r>
        <w:fldChar w:fldCharType="separate"/>
      </w:r>
      <w:r>
        <w:t>33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"_Toc518573671" </w:instrText>
      </w:r>
      <w:r>
        <w:fldChar w:fldCharType="separate"/>
      </w:r>
      <w:r>
        <w:rPr>
          <w:rStyle w:val="92"/>
        </w:rPr>
        <w:t xml:space="preserve">3.2.3 </w:t>
      </w:r>
      <w:r>
        <w:rPr>
          <w:rStyle w:val="92"/>
          <w:rFonts w:hint="eastAsia"/>
        </w:rPr>
        <w:t>交通需求预测</w:t>
      </w:r>
      <w:r>
        <w:tab/>
      </w:r>
      <w:r>
        <w:fldChar w:fldCharType="begin"/>
      </w:r>
      <w:r>
        <w:instrText xml:space="preserve"> PAGEREF _Toc518573671 \h </w:instrText>
      </w:r>
      <w:r>
        <w:fldChar w:fldCharType="separate"/>
      </w:r>
      <w:r>
        <w:t>34</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"_Toc518573672" </w:instrText>
      </w:r>
      <w:r>
        <w:fldChar w:fldCharType="separate"/>
      </w:r>
      <w:r>
        <w:rPr>
          <w:rStyle w:val="92"/>
        </w:rPr>
        <w:t xml:space="preserve">3.3 </w:t>
      </w:r>
      <w:r>
        <w:rPr>
          <w:rStyle w:val="92"/>
          <w:rFonts w:hint="eastAsia"/>
        </w:rPr>
        <w:t>公共交通发展需求预测</w:t>
      </w:r>
      <w:r>
        <w:tab/>
      </w:r>
      <w:r>
        <w:fldChar w:fldCharType="begin"/>
      </w:r>
      <w:r>
        <w:instrText xml:space="preserve"> PAGEREF _Toc518573672 \h </w:instrText>
      </w:r>
      <w:r>
        <w:fldChar w:fldCharType="separate"/>
      </w:r>
      <w:r>
        <w:t>37</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"_Toc518573673" </w:instrText>
      </w:r>
      <w:r>
        <w:fldChar w:fldCharType="separate"/>
      </w:r>
      <w:r>
        <w:rPr>
          <w:rStyle w:val="92"/>
        </w:rPr>
        <w:t xml:space="preserve">3.3.1 </w:t>
      </w:r>
      <w:r>
        <w:rPr>
          <w:rStyle w:val="92"/>
          <w:rFonts w:hint="eastAsia"/>
        </w:rPr>
        <w:t>预测思路与方法</w:t>
      </w:r>
      <w:r>
        <w:tab/>
      </w:r>
      <w:r>
        <w:fldChar w:fldCharType="begin"/>
      </w:r>
      <w:r>
        <w:instrText xml:space="preserve"> PAGEREF _Toc518573673 \h </w:instrText>
      </w:r>
      <w:r>
        <w:fldChar w:fldCharType="separate"/>
      </w:r>
      <w:r>
        <w:t>37</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"_Toc518573674" </w:instrText>
      </w:r>
      <w:r>
        <w:fldChar w:fldCharType="separate"/>
      </w:r>
      <w:r>
        <w:rPr>
          <w:rStyle w:val="92"/>
        </w:rPr>
        <w:t xml:space="preserve">3.3.2 </w:t>
      </w:r>
      <w:r>
        <w:rPr>
          <w:rStyle w:val="92"/>
          <w:rFonts w:hint="eastAsia"/>
        </w:rPr>
        <w:t>公交需求预测结果</w:t>
      </w:r>
      <w:r>
        <w:tab/>
      </w:r>
      <w:r>
        <w:fldChar w:fldCharType="begin"/>
      </w:r>
      <w:r>
        <w:instrText xml:space="preserve"> PAGEREF _Toc518573674 \h </w:instrText>
      </w:r>
      <w:r>
        <w:fldChar w:fldCharType="separate"/>
      </w:r>
      <w:r>
        <w:t>38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"_Toc518573675" </w:instrText>
      </w:r>
      <w:r>
        <w:fldChar w:fldCharType="separate"/>
      </w:r>
      <w:r>
        <w:rPr>
          <w:rStyle w:val="92"/>
        </w:rPr>
        <w:t xml:space="preserve">3.3.3 </w:t>
      </w:r>
      <w:r>
        <w:rPr>
          <w:rStyle w:val="92"/>
          <w:rFonts w:hint="eastAsia"/>
        </w:rPr>
        <w:t>公交运力需求预测结果</w:t>
      </w:r>
      <w:r>
        <w:tab/>
      </w:r>
      <w:r>
        <w:fldChar w:fldCharType="begin"/>
      </w:r>
      <w:r>
        <w:instrText xml:space="preserve"> PAGEREF _Toc518573675 \h </w:instrText>
      </w:r>
      <w:r>
        <w:fldChar w:fldCharType="separate"/>
      </w:r>
      <w:r>
        <w:t>38</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"_Toc518573676" </w:instrText>
      </w:r>
      <w:r>
        <w:fldChar w:fldCharType="separate"/>
      </w:r>
      <w:r>
        <w:rPr>
          <w:rStyle w:val="92"/>
          <w:rFonts w:hint="eastAsia"/>
        </w:rPr>
        <w:t>第</w:t>
      </w:r>
      <w:r>
        <w:rPr>
          <w:rStyle w:val="92"/>
        </w:rPr>
        <w:t>4</w:t>
      </w:r>
      <w:r>
        <w:rPr>
          <w:rStyle w:val="92"/>
          <w:rFonts w:hint="eastAsia"/>
        </w:rPr>
        <w:t>章</w:t>
      </w:r>
      <w:r>
        <w:rPr>
          <w:rStyle w:val="92"/>
        </w:rPr>
        <w:t xml:space="preserve">  </w:t>
      </w:r>
      <w:r>
        <w:rPr>
          <w:rStyle w:val="92"/>
          <w:rFonts w:hint="eastAsia"/>
        </w:rPr>
        <w:t>城市公交发展目标与策略</w:t>
      </w:r>
      <w:r>
        <w:tab/>
      </w:r>
      <w:r>
        <w:fldChar w:fldCharType="begin"/>
      </w:r>
      <w:r>
        <w:instrText xml:space="preserve"> PAGEREF _Toc518573676 \h </w:instrText>
      </w:r>
      <w:r>
        <w:fldChar w:fldCharType="separate"/>
      </w:r>
      <w:r>
        <w:t>40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"_Toc518573677" </w:instrText>
      </w:r>
      <w:r>
        <w:fldChar w:fldCharType="separate"/>
      </w:r>
      <w:r>
        <w:rPr>
          <w:rStyle w:val="92"/>
        </w:rPr>
        <w:t xml:space="preserve">4.1 </w:t>
      </w:r>
      <w:r>
        <w:rPr>
          <w:rStyle w:val="92"/>
          <w:rFonts w:hint="eastAsia"/>
        </w:rPr>
        <w:t>城市公交发展策略</w:t>
      </w:r>
      <w:r>
        <w:tab/>
      </w:r>
      <w:r>
        <w:fldChar w:fldCharType="begin"/>
      </w:r>
      <w:r>
        <w:instrText xml:space="preserve"> PAGEREF _Toc518573677 \h </w:instrText>
      </w:r>
      <w:r>
        <w:fldChar w:fldCharType="separate"/>
      </w:r>
      <w:r>
        <w:t>40</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"_Toc518573678" </w:instrText>
      </w:r>
      <w:r>
        <w:fldChar w:fldCharType="separate"/>
      </w:r>
      <w:r>
        <w:rPr>
          <w:rStyle w:val="92"/>
        </w:rPr>
        <w:t xml:space="preserve">4.1.1 </w:t>
      </w:r>
      <w:r>
        <w:rPr>
          <w:rStyle w:val="92"/>
          <w:rFonts w:hint="eastAsia"/>
        </w:rPr>
        <w:t>近期发展策略</w:t>
      </w:r>
      <w:r>
        <w:tab/>
      </w:r>
      <w:r>
        <w:fldChar w:fldCharType="begin"/>
      </w:r>
      <w:r>
        <w:instrText xml:space="preserve"> PAGEREF _Toc518573678 \h </w:instrText>
      </w:r>
      <w:r>
        <w:fldChar w:fldCharType="separate"/>
      </w:r>
      <w:r>
        <w:t>40</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"_Toc518573679" </w:instrText>
      </w:r>
      <w:r>
        <w:fldChar w:fldCharType="separate"/>
      </w:r>
      <w:r>
        <w:rPr>
          <w:rStyle w:val="92"/>
        </w:rPr>
        <w:t xml:space="preserve">4.1.2 </w:t>
      </w:r>
      <w:r>
        <w:rPr>
          <w:rStyle w:val="92"/>
          <w:rFonts w:hint="eastAsia"/>
        </w:rPr>
        <w:t>中远期发展策略</w:t>
      </w:r>
      <w:r>
        <w:tab/>
      </w:r>
      <w:r>
        <w:fldChar w:fldCharType="begin"/>
      </w:r>
      <w:r>
        <w:instrText xml:space="preserve"> PAGEREF _Toc518573679 \h </w:instrText>
      </w:r>
      <w:r>
        <w:fldChar w:fldCharType="separate"/>
      </w:r>
      <w:r>
        <w:t>40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"_Toc518573680" </w:instrText>
      </w:r>
      <w:r>
        <w:fldChar w:fldCharType="separate"/>
      </w:r>
      <w:r>
        <w:rPr>
          <w:rStyle w:val="92"/>
        </w:rPr>
        <w:t xml:space="preserve">4.2 </w:t>
      </w:r>
      <w:r>
        <w:rPr>
          <w:rStyle w:val="92"/>
          <w:rFonts w:hint="eastAsia"/>
        </w:rPr>
        <w:t>城市公交发展战略目标</w:t>
      </w:r>
      <w:r>
        <w:tab/>
      </w:r>
      <w:r>
        <w:fldChar w:fldCharType="begin"/>
      </w:r>
      <w:r>
        <w:instrText xml:space="preserve"> PAGEREF _Toc518573680 \h </w:instrText>
      </w:r>
      <w:r>
        <w:fldChar w:fldCharType="separate"/>
      </w:r>
      <w:r>
        <w:t>40</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"_Toc518573681" </w:instrText>
      </w:r>
      <w:r>
        <w:fldChar w:fldCharType="separate"/>
      </w:r>
      <w:r>
        <w:rPr>
          <w:rStyle w:val="92"/>
        </w:rPr>
        <w:t xml:space="preserve">4.2.1 </w:t>
      </w:r>
      <w:r>
        <w:rPr>
          <w:rStyle w:val="92"/>
          <w:rFonts w:hint="eastAsia"/>
        </w:rPr>
        <w:t>总体目标</w:t>
      </w:r>
      <w:r>
        <w:tab/>
      </w:r>
      <w:r>
        <w:fldChar w:fldCharType="begin"/>
      </w:r>
      <w:r>
        <w:instrText xml:space="preserve"> PAGEREF _Toc518573681 \h </w:instrText>
      </w:r>
      <w:r>
        <w:fldChar w:fldCharType="separate"/>
      </w:r>
      <w:r>
        <w:t>41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"_Toc518573682" </w:instrText>
      </w:r>
      <w:r>
        <w:fldChar w:fldCharType="separate"/>
      </w:r>
      <w:r>
        <w:rPr>
          <w:rStyle w:val="92"/>
        </w:rPr>
        <w:t xml:space="preserve">4.2.2 </w:t>
      </w:r>
      <w:r>
        <w:rPr>
          <w:rStyle w:val="92"/>
          <w:rFonts w:hint="eastAsia"/>
        </w:rPr>
        <w:t>具体目标</w:t>
      </w:r>
      <w:r>
        <w:tab/>
      </w:r>
      <w:r>
        <w:fldChar w:fldCharType="begin"/>
      </w:r>
      <w:r>
        <w:instrText xml:space="preserve"> PAGEREF _Toc518573682 \h </w:instrText>
      </w:r>
      <w:r>
        <w:fldChar w:fldCharType="separate"/>
      </w:r>
      <w:r>
        <w:t>41</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"_Toc518573683" </w:instrText>
      </w:r>
      <w:r>
        <w:fldChar w:fldCharType="separate"/>
      </w:r>
      <w:r>
        <w:rPr>
          <w:rStyle w:val="92"/>
          <w:rFonts w:hint="eastAsia"/>
        </w:rPr>
        <w:t>第</w:t>
      </w:r>
      <w:r>
        <w:rPr>
          <w:rStyle w:val="92"/>
        </w:rPr>
        <w:t>5</w:t>
      </w:r>
      <w:r>
        <w:rPr>
          <w:rStyle w:val="92"/>
          <w:rFonts w:hint="eastAsia"/>
        </w:rPr>
        <w:t>章</w:t>
      </w:r>
      <w:r>
        <w:rPr>
          <w:rStyle w:val="92"/>
        </w:rPr>
        <w:t xml:space="preserve">  </w:t>
      </w:r>
      <w:r>
        <w:rPr>
          <w:rStyle w:val="92"/>
          <w:rFonts w:hint="eastAsia"/>
        </w:rPr>
        <w:t>城市公交线网规划</w:t>
      </w:r>
      <w:r>
        <w:tab/>
      </w:r>
      <w:r>
        <w:fldChar w:fldCharType="begin"/>
      </w:r>
      <w:r>
        <w:instrText xml:space="preserve"> PAGEREF _Toc518573683 \h </w:instrText>
      </w:r>
      <w:r>
        <w:fldChar w:fldCharType="separate"/>
      </w:r>
      <w:r>
        <w:t>42</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"_Toc518573684" </w:instrText>
      </w:r>
      <w:r>
        <w:fldChar w:fldCharType="separate"/>
      </w:r>
      <w:r>
        <w:rPr>
          <w:rStyle w:val="92"/>
          <w:rFonts w:cs="Times New Roman"/>
        </w:rPr>
        <w:t xml:space="preserve">5.1 </w:t>
      </w:r>
      <w:r>
        <w:rPr>
          <w:rStyle w:val="92"/>
          <w:rFonts w:hint="eastAsia" w:cs="Times New Roman"/>
        </w:rPr>
        <w:t>公交线网规划原则</w:t>
      </w:r>
      <w:r>
        <w:tab/>
      </w:r>
      <w:r>
        <w:fldChar w:fldCharType="begin"/>
      </w:r>
      <w:r>
        <w:instrText xml:space="preserve"> PAGEREF _Toc518573684 \h </w:instrText>
      </w:r>
      <w:r>
        <w:fldChar w:fldCharType="separate"/>
      </w:r>
      <w:r>
        <w:t>42</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"_Toc518573685" </w:instrText>
      </w:r>
      <w:r>
        <w:fldChar w:fldCharType="separate"/>
      </w:r>
      <w:r>
        <w:rPr>
          <w:rStyle w:val="92"/>
          <w:rFonts w:cs="Times New Roman"/>
        </w:rPr>
        <w:t xml:space="preserve">5.2 </w:t>
      </w:r>
      <w:r>
        <w:rPr>
          <w:rStyle w:val="92"/>
          <w:rFonts w:hint="eastAsia" w:cs="Times New Roman"/>
        </w:rPr>
        <w:t>公交线网规划步骤</w:t>
      </w:r>
      <w:r>
        <w:tab/>
      </w:r>
      <w:r>
        <w:fldChar w:fldCharType="begin"/>
      </w:r>
      <w:r>
        <w:instrText xml:space="preserve"> PAGEREF _Toc518573685 \h </w:instrText>
      </w:r>
      <w:r>
        <w:fldChar w:fldCharType="separate"/>
      </w:r>
      <w:r>
        <w:t>43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"_Toc518573686" </w:instrText>
      </w:r>
      <w:r>
        <w:fldChar w:fldCharType="separate"/>
      </w:r>
      <w:r>
        <w:rPr>
          <w:rStyle w:val="92"/>
          <w:rFonts w:cs="Times New Roman"/>
        </w:rPr>
        <w:t xml:space="preserve">5.3 </w:t>
      </w:r>
      <w:r>
        <w:rPr>
          <w:rStyle w:val="92"/>
          <w:rFonts w:hint="eastAsia" w:cs="Times New Roman"/>
        </w:rPr>
        <w:t>公交线网发展规模</w:t>
      </w:r>
      <w:r>
        <w:tab/>
      </w:r>
      <w:r>
        <w:fldChar w:fldCharType="begin"/>
      </w:r>
      <w:r>
        <w:instrText xml:space="preserve"> PAGEREF _Toc518573686 \h </w:instrText>
      </w:r>
      <w:r>
        <w:fldChar w:fldCharType="separate"/>
      </w:r>
      <w:r>
        <w:t>44</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"_Toc518573687" </w:instrText>
      </w:r>
      <w:r>
        <w:fldChar w:fldCharType="separate"/>
      </w:r>
      <w:r>
        <w:rPr>
          <w:rStyle w:val="92"/>
          <w:rFonts w:cs="Times New Roman"/>
        </w:rPr>
        <w:t xml:space="preserve">5.4 </w:t>
      </w:r>
      <w:r>
        <w:rPr>
          <w:rStyle w:val="92"/>
          <w:rFonts w:hint="eastAsia" w:cs="Times New Roman"/>
        </w:rPr>
        <w:t>城市公交线网规划方案</w:t>
      </w:r>
      <w:r>
        <w:tab/>
      </w:r>
      <w:r>
        <w:fldChar w:fldCharType="begin"/>
      </w:r>
      <w:r>
        <w:instrText xml:space="preserve"> PAGEREF _Toc518573687 \h </w:instrText>
      </w:r>
      <w:r>
        <w:fldChar w:fldCharType="separate"/>
      </w:r>
      <w:r>
        <w:t>44</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"_Toc518573688" </w:instrText>
      </w:r>
      <w:r>
        <w:fldChar w:fldCharType="separate"/>
      </w:r>
      <w:r>
        <w:rPr>
          <w:rStyle w:val="92"/>
        </w:rPr>
        <w:t xml:space="preserve">5.4.1 </w:t>
      </w:r>
      <w:r>
        <w:rPr>
          <w:rStyle w:val="92"/>
          <w:rFonts w:hint="eastAsia"/>
        </w:rPr>
        <w:t>规划思路</w:t>
      </w:r>
      <w:r>
        <w:tab/>
      </w:r>
      <w:r>
        <w:fldChar w:fldCharType="begin"/>
      </w:r>
      <w:r>
        <w:instrText xml:space="preserve"> PAGEREF _Toc518573688 \h </w:instrText>
      </w:r>
      <w:r>
        <w:fldChar w:fldCharType="separate"/>
      </w:r>
      <w:r>
        <w:t>44</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"_Toc518573689" </w:instrText>
      </w:r>
      <w:r>
        <w:fldChar w:fldCharType="separate"/>
      </w:r>
      <w:r>
        <w:rPr>
          <w:rStyle w:val="92"/>
        </w:rPr>
        <w:t xml:space="preserve">5.4.2 </w:t>
      </w:r>
      <w:r>
        <w:rPr>
          <w:rStyle w:val="92"/>
          <w:rFonts w:hint="eastAsia"/>
        </w:rPr>
        <w:t>近期公交线网规划方案</w:t>
      </w:r>
      <w:r>
        <w:tab/>
      </w:r>
      <w:r>
        <w:fldChar w:fldCharType="begin"/>
      </w:r>
      <w:r>
        <w:instrText xml:space="preserve"> PAGEREF _Toc518573689 \h </w:instrText>
      </w:r>
      <w:r>
        <w:fldChar w:fldCharType="separate"/>
      </w:r>
      <w:r>
        <w:t>48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"_Toc518573690" </w:instrText>
      </w:r>
      <w:r>
        <w:fldChar w:fldCharType="separate"/>
      </w:r>
      <w:r>
        <w:rPr>
          <w:rStyle w:val="92"/>
        </w:rPr>
        <w:t xml:space="preserve">5.4.3 </w:t>
      </w:r>
      <w:r>
        <w:rPr>
          <w:rStyle w:val="92"/>
          <w:rFonts w:hint="eastAsia"/>
        </w:rPr>
        <w:t>中远期公交线网规划方案</w:t>
      </w:r>
      <w:r>
        <w:tab/>
      </w:r>
      <w:r>
        <w:fldChar w:fldCharType="begin"/>
      </w:r>
      <w:r>
        <w:instrText xml:space="preserve"> PAGEREF _Toc518573690 \h </w:instrText>
      </w:r>
      <w:r>
        <w:fldChar w:fldCharType="separate"/>
      </w:r>
      <w:r>
        <w:t>64</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"_Toc518573691" </w:instrText>
      </w:r>
      <w:r>
        <w:fldChar w:fldCharType="separate"/>
      </w:r>
      <w:r>
        <w:rPr>
          <w:rStyle w:val="92"/>
          <w:rFonts w:hint="eastAsia"/>
        </w:rPr>
        <w:t>第</w:t>
      </w:r>
      <w:r>
        <w:rPr>
          <w:rStyle w:val="92"/>
        </w:rPr>
        <w:t>6</w:t>
      </w:r>
      <w:r>
        <w:rPr>
          <w:rStyle w:val="92"/>
          <w:rFonts w:hint="eastAsia"/>
        </w:rPr>
        <w:t>章</w:t>
      </w:r>
      <w:r>
        <w:rPr>
          <w:rStyle w:val="92"/>
        </w:rPr>
        <w:t xml:space="preserve">  </w:t>
      </w:r>
      <w:r>
        <w:rPr>
          <w:rStyle w:val="92"/>
          <w:rFonts w:hint="eastAsia"/>
        </w:rPr>
        <w:t>城市公交枢纽和场站布局规划</w:t>
      </w:r>
      <w:r>
        <w:tab/>
      </w:r>
      <w:r>
        <w:fldChar w:fldCharType="begin"/>
      </w:r>
      <w:r>
        <w:instrText xml:space="preserve"> PAGEREF _Toc518573691 \h </w:instrText>
      </w:r>
      <w:r>
        <w:fldChar w:fldCharType="separate"/>
      </w:r>
      <w:r>
        <w:t>73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"_Toc518573692" </w:instrText>
      </w:r>
      <w:r>
        <w:fldChar w:fldCharType="separate"/>
      </w:r>
      <w:r>
        <w:rPr>
          <w:rStyle w:val="92"/>
        </w:rPr>
        <w:t xml:space="preserve">6.1 </w:t>
      </w:r>
      <w:r>
        <w:rPr>
          <w:rStyle w:val="92"/>
          <w:rFonts w:hint="eastAsia"/>
        </w:rPr>
        <w:t>常规公交枢纽站规划</w:t>
      </w:r>
      <w:r>
        <w:tab/>
      </w:r>
      <w:r>
        <w:fldChar w:fldCharType="begin"/>
      </w:r>
      <w:r>
        <w:instrText xml:space="preserve"> PAGEREF _Toc518573692 \h </w:instrText>
      </w:r>
      <w:r>
        <w:fldChar w:fldCharType="separate"/>
      </w:r>
      <w:r>
        <w:t>73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"_Toc518573693" </w:instrText>
      </w:r>
      <w:r>
        <w:fldChar w:fldCharType="separate"/>
      </w:r>
      <w:r>
        <w:rPr>
          <w:rStyle w:val="92"/>
        </w:rPr>
        <w:t xml:space="preserve">6.1.1 </w:t>
      </w:r>
      <w:r>
        <w:rPr>
          <w:rStyle w:val="92"/>
          <w:rFonts w:hint="eastAsia"/>
        </w:rPr>
        <w:t>公交枢纽站设置原则</w:t>
      </w:r>
      <w:r>
        <w:tab/>
      </w:r>
      <w:r>
        <w:fldChar w:fldCharType="begin"/>
      </w:r>
      <w:r>
        <w:instrText xml:space="preserve"> PAGEREF _Toc518573693 \h </w:instrText>
      </w:r>
      <w:r>
        <w:fldChar w:fldCharType="separate"/>
      </w:r>
      <w:r>
        <w:t>73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"_Toc518573694" </w:instrText>
      </w:r>
      <w:r>
        <w:fldChar w:fldCharType="separate"/>
      </w:r>
      <w:r>
        <w:rPr>
          <w:rStyle w:val="92"/>
        </w:rPr>
        <w:t xml:space="preserve">6.1.2 </w:t>
      </w:r>
      <w:r>
        <w:rPr>
          <w:rStyle w:val="92"/>
          <w:rFonts w:hint="eastAsia"/>
        </w:rPr>
        <w:t>公交枢纽站布局规划成果</w:t>
      </w:r>
      <w:r>
        <w:tab/>
      </w:r>
      <w:r>
        <w:fldChar w:fldCharType="begin"/>
      </w:r>
      <w:r>
        <w:instrText xml:space="preserve"> PAGEREF _Toc518573694 \h </w:instrText>
      </w:r>
      <w:r>
        <w:fldChar w:fldCharType="separate"/>
      </w:r>
      <w:r>
        <w:t>74</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"_Toc518573695" </w:instrText>
      </w:r>
      <w:r>
        <w:fldChar w:fldCharType="separate"/>
      </w:r>
      <w:r>
        <w:rPr>
          <w:rStyle w:val="92"/>
        </w:rPr>
        <w:t xml:space="preserve">6.2 </w:t>
      </w:r>
      <w:r>
        <w:rPr>
          <w:rStyle w:val="92"/>
          <w:rFonts w:hint="eastAsia"/>
        </w:rPr>
        <w:t>常规公交首末站规划</w:t>
      </w:r>
      <w:r>
        <w:tab/>
      </w:r>
      <w:r>
        <w:fldChar w:fldCharType="begin"/>
      </w:r>
      <w:r>
        <w:instrText xml:space="preserve"> PAGEREF _Toc518573695 \h </w:instrText>
      </w:r>
      <w:r>
        <w:fldChar w:fldCharType="separate"/>
      </w:r>
      <w:r>
        <w:t>78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"_Toc518573696" </w:instrText>
      </w:r>
      <w:r>
        <w:fldChar w:fldCharType="separate"/>
      </w:r>
      <w:r>
        <w:rPr>
          <w:rStyle w:val="92"/>
        </w:rPr>
        <w:t xml:space="preserve">6.2.1 </w:t>
      </w:r>
      <w:r>
        <w:rPr>
          <w:rStyle w:val="92"/>
          <w:rFonts w:hint="eastAsia"/>
        </w:rPr>
        <w:t>公交首末站设置原则及要求</w:t>
      </w:r>
      <w:r>
        <w:tab/>
      </w:r>
      <w:r>
        <w:fldChar w:fldCharType="begin"/>
      </w:r>
      <w:r>
        <w:instrText xml:space="preserve"> PAGEREF _Toc518573696 \h </w:instrText>
      </w:r>
      <w:r>
        <w:fldChar w:fldCharType="separate"/>
      </w:r>
      <w:r>
        <w:t>78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"_Toc518573697" </w:instrText>
      </w:r>
      <w:r>
        <w:fldChar w:fldCharType="separate"/>
      </w:r>
      <w:r>
        <w:rPr>
          <w:rStyle w:val="92"/>
        </w:rPr>
        <w:t xml:space="preserve">6.2.2 </w:t>
      </w:r>
      <w:r>
        <w:rPr>
          <w:rStyle w:val="92"/>
          <w:rFonts w:hint="eastAsia"/>
        </w:rPr>
        <w:t>公交首末站规划成果</w:t>
      </w:r>
      <w:r>
        <w:tab/>
      </w:r>
      <w:r>
        <w:fldChar w:fldCharType="begin"/>
      </w:r>
      <w:r>
        <w:instrText xml:space="preserve"> PAGEREF _Toc518573697 \h </w:instrText>
      </w:r>
      <w:r>
        <w:fldChar w:fldCharType="separate"/>
      </w:r>
      <w:r>
        <w:t>81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"_Toc518573698" </w:instrText>
      </w:r>
      <w:r>
        <w:fldChar w:fldCharType="separate"/>
      </w:r>
      <w:r>
        <w:rPr>
          <w:rStyle w:val="92"/>
        </w:rPr>
        <w:t xml:space="preserve">6.3 </w:t>
      </w:r>
      <w:r>
        <w:rPr>
          <w:rStyle w:val="92"/>
          <w:rFonts w:hint="eastAsia"/>
        </w:rPr>
        <w:t>公交停车场与保养场规划</w:t>
      </w:r>
      <w:r>
        <w:tab/>
      </w:r>
      <w:r>
        <w:fldChar w:fldCharType="begin"/>
      </w:r>
      <w:r>
        <w:instrText xml:space="preserve"> PAGEREF _Toc518573698 \h </w:instrText>
      </w:r>
      <w:r>
        <w:fldChar w:fldCharType="separate"/>
      </w:r>
      <w:r>
        <w:t>83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"_Toc518573699" </w:instrText>
      </w:r>
      <w:r>
        <w:fldChar w:fldCharType="separate"/>
      </w:r>
      <w:r>
        <w:rPr>
          <w:rStyle w:val="92"/>
        </w:rPr>
        <w:t xml:space="preserve">6.3.1 </w:t>
      </w:r>
      <w:r>
        <w:rPr>
          <w:rStyle w:val="92"/>
          <w:rFonts w:hint="eastAsia"/>
        </w:rPr>
        <w:t>公交停车场与保养场设置原则及要求</w:t>
      </w:r>
      <w:r>
        <w:tab/>
      </w:r>
      <w:r>
        <w:fldChar w:fldCharType="begin"/>
      </w:r>
      <w:r>
        <w:instrText xml:space="preserve"> PAGEREF _Toc518573699 \h </w:instrText>
      </w:r>
      <w:r>
        <w:fldChar w:fldCharType="separate"/>
      </w:r>
      <w:r>
        <w:t>83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"_Toc518573700" </w:instrText>
      </w:r>
      <w:r>
        <w:fldChar w:fldCharType="separate"/>
      </w:r>
      <w:r>
        <w:rPr>
          <w:rStyle w:val="92"/>
        </w:rPr>
        <w:t xml:space="preserve">6.3.2 </w:t>
      </w:r>
      <w:r>
        <w:rPr>
          <w:rStyle w:val="92"/>
          <w:rFonts w:hint="eastAsia"/>
        </w:rPr>
        <w:t>公交停车场和保养场规划成果</w:t>
      </w:r>
      <w:r>
        <w:tab/>
      </w:r>
      <w:r>
        <w:fldChar w:fldCharType="begin"/>
      </w:r>
      <w:r>
        <w:instrText xml:space="preserve"> PAGEREF _Toc518573700 \h </w:instrText>
      </w:r>
      <w:r>
        <w:fldChar w:fldCharType="separate"/>
      </w:r>
      <w:r>
        <w:t>85</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"_Toc518573701" </w:instrText>
      </w:r>
      <w:r>
        <w:fldChar w:fldCharType="separate"/>
      </w:r>
      <w:r>
        <w:rPr>
          <w:rStyle w:val="92"/>
        </w:rPr>
        <w:t xml:space="preserve">6.4 </w:t>
      </w:r>
      <w:r>
        <w:rPr>
          <w:rStyle w:val="92"/>
          <w:rFonts w:hint="eastAsia"/>
        </w:rPr>
        <w:t>公交中途停靠站规划</w:t>
      </w:r>
      <w:r>
        <w:tab/>
      </w:r>
      <w:r>
        <w:fldChar w:fldCharType="begin"/>
      </w:r>
      <w:r>
        <w:instrText xml:space="preserve"> PAGEREF _Toc518573701 \h </w:instrText>
      </w:r>
      <w:r>
        <w:fldChar w:fldCharType="separate"/>
      </w:r>
      <w:r>
        <w:t>88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"_Toc518573702" </w:instrText>
      </w:r>
      <w:r>
        <w:fldChar w:fldCharType="separate"/>
      </w:r>
      <w:r>
        <w:rPr>
          <w:rStyle w:val="92"/>
        </w:rPr>
        <w:t xml:space="preserve">6.4.1 </w:t>
      </w:r>
      <w:r>
        <w:rPr>
          <w:rStyle w:val="92"/>
          <w:rFonts w:hint="eastAsia"/>
        </w:rPr>
        <w:t>公交中途站设置原则</w:t>
      </w:r>
      <w:r>
        <w:tab/>
      </w:r>
      <w:r>
        <w:fldChar w:fldCharType="begin"/>
      </w:r>
      <w:r>
        <w:instrText xml:space="preserve"> PAGEREF _Toc518573702 \h </w:instrText>
      </w:r>
      <w:r>
        <w:fldChar w:fldCharType="separate"/>
      </w:r>
      <w:r>
        <w:t>88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"_Toc518573703" </w:instrText>
      </w:r>
      <w:r>
        <w:fldChar w:fldCharType="separate"/>
      </w:r>
      <w:r>
        <w:rPr>
          <w:rStyle w:val="92"/>
        </w:rPr>
        <w:t xml:space="preserve">6.4.2 </w:t>
      </w:r>
      <w:r>
        <w:rPr>
          <w:rStyle w:val="92"/>
          <w:rFonts w:hint="eastAsia"/>
        </w:rPr>
        <w:t>公交中途站设置方法</w:t>
      </w:r>
      <w:r>
        <w:tab/>
      </w:r>
      <w:r>
        <w:fldChar w:fldCharType="begin"/>
      </w:r>
      <w:r>
        <w:instrText xml:space="preserve"> PAGEREF _Toc518573703 \h </w:instrText>
      </w:r>
      <w:r>
        <w:fldChar w:fldCharType="separate"/>
      </w:r>
      <w:r>
        <w:t>89</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"_Toc518573704" </w:instrText>
      </w:r>
      <w:r>
        <w:fldChar w:fldCharType="separate"/>
      </w:r>
      <w:r>
        <w:rPr>
          <w:rStyle w:val="92"/>
        </w:rPr>
        <w:t xml:space="preserve">6.4.3 </w:t>
      </w:r>
      <w:r>
        <w:rPr>
          <w:rStyle w:val="92"/>
          <w:rFonts w:hint="eastAsia"/>
        </w:rPr>
        <w:t>公交中途站布局设置</w:t>
      </w:r>
      <w:r>
        <w:tab/>
      </w:r>
      <w:r>
        <w:fldChar w:fldCharType="begin"/>
      </w:r>
      <w:r>
        <w:instrText xml:space="preserve"> PAGEREF _Toc518573704 \h </w:instrText>
      </w:r>
      <w:r>
        <w:fldChar w:fldCharType="separate"/>
      </w:r>
      <w:r>
        <w:t>93</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"_Toc518573705" </w:instrText>
      </w:r>
      <w:r>
        <w:fldChar w:fldCharType="separate"/>
      </w:r>
      <w:r>
        <w:rPr>
          <w:rStyle w:val="92"/>
        </w:rPr>
        <w:t xml:space="preserve">6.4.4 </w:t>
      </w:r>
      <w:r>
        <w:rPr>
          <w:rStyle w:val="92"/>
          <w:rFonts w:hint="eastAsia"/>
        </w:rPr>
        <w:t>公交中途站具体规划结果</w:t>
      </w:r>
      <w:r>
        <w:tab/>
      </w:r>
      <w:r>
        <w:fldChar w:fldCharType="begin"/>
      </w:r>
      <w:r>
        <w:instrText xml:space="preserve"> PAGEREF _Toc518573705 \h </w:instrText>
      </w:r>
      <w:r>
        <w:fldChar w:fldCharType="separate"/>
      </w:r>
      <w:r>
        <w:t>94</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"_Toc518573706" </w:instrText>
      </w:r>
      <w:r>
        <w:fldChar w:fldCharType="separate"/>
      </w:r>
      <w:r>
        <w:rPr>
          <w:rStyle w:val="92"/>
          <w:rFonts w:hint="eastAsia"/>
        </w:rPr>
        <w:t>第</w:t>
      </w:r>
      <w:r>
        <w:rPr>
          <w:rStyle w:val="92"/>
        </w:rPr>
        <w:t>7</w:t>
      </w:r>
      <w:r>
        <w:rPr>
          <w:rStyle w:val="92"/>
          <w:rFonts w:hint="eastAsia"/>
        </w:rPr>
        <w:t>章</w:t>
      </w:r>
      <w:r>
        <w:rPr>
          <w:rStyle w:val="92"/>
        </w:rPr>
        <w:t xml:space="preserve">  </w:t>
      </w:r>
      <w:r>
        <w:rPr>
          <w:rStyle w:val="92"/>
          <w:rFonts w:hint="eastAsia"/>
        </w:rPr>
        <w:t>公交专用道发展规划</w:t>
      </w:r>
      <w:r>
        <w:tab/>
      </w:r>
      <w:r>
        <w:fldChar w:fldCharType="begin"/>
      </w:r>
      <w:r>
        <w:instrText xml:space="preserve"> PAGEREF _Toc518573706 \h </w:instrText>
      </w:r>
      <w:r>
        <w:fldChar w:fldCharType="separate"/>
      </w:r>
      <w:r>
        <w:t>100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"_Toc518573707" </w:instrText>
      </w:r>
      <w:r>
        <w:fldChar w:fldCharType="separate"/>
      </w:r>
      <w:r>
        <w:rPr>
          <w:rStyle w:val="92"/>
        </w:rPr>
        <w:t xml:space="preserve">7.1 </w:t>
      </w:r>
      <w:r>
        <w:rPr>
          <w:rStyle w:val="92"/>
          <w:rFonts w:hint="eastAsia"/>
        </w:rPr>
        <w:t>公交专用道规划目标与原则</w:t>
      </w:r>
      <w:r>
        <w:tab/>
      </w:r>
      <w:r>
        <w:fldChar w:fldCharType="begin"/>
      </w:r>
      <w:r>
        <w:instrText xml:space="preserve"> PAGEREF _Toc518573707 \h </w:instrText>
      </w:r>
      <w:r>
        <w:fldChar w:fldCharType="separate"/>
      </w:r>
      <w:r>
        <w:t>100</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"_Toc518573708" </w:instrText>
      </w:r>
      <w:r>
        <w:fldChar w:fldCharType="separate"/>
      </w:r>
      <w:r>
        <w:rPr>
          <w:rStyle w:val="92"/>
        </w:rPr>
        <w:t xml:space="preserve">7.1.1 </w:t>
      </w:r>
      <w:r>
        <w:rPr>
          <w:rStyle w:val="92"/>
          <w:rFonts w:hint="eastAsia"/>
        </w:rPr>
        <w:t>公交专用道规划目标</w:t>
      </w:r>
      <w:r>
        <w:tab/>
      </w:r>
      <w:r>
        <w:fldChar w:fldCharType="begin"/>
      </w:r>
      <w:r>
        <w:instrText xml:space="preserve"> PAGEREF _Toc518573708 \h </w:instrText>
      </w:r>
      <w:r>
        <w:fldChar w:fldCharType="separate"/>
      </w:r>
      <w:r>
        <w:t>100</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"_Toc518573709" </w:instrText>
      </w:r>
      <w:r>
        <w:fldChar w:fldCharType="separate"/>
      </w:r>
      <w:r>
        <w:rPr>
          <w:rStyle w:val="92"/>
        </w:rPr>
        <w:t xml:space="preserve">7.1.2 </w:t>
      </w:r>
      <w:r>
        <w:rPr>
          <w:rStyle w:val="92"/>
          <w:rFonts w:hint="eastAsia"/>
        </w:rPr>
        <w:t>公交专用道规划原则</w:t>
      </w:r>
      <w:r>
        <w:tab/>
      </w:r>
      <w:r>
        <w:fldChar w:fldCharType="begin"/>
      </w:r>
      <w:r>
        <w:instrText xml:space="preserve"> PAGEREF _Toc518573709 \h </w:instrText>
      </w:r>
      <w:r>
        <w:fldChar w:fldCharType="separate"/>
      </w:r>
      <w:r>
        <w:t>100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"_Toc518573710" </w:instrText>
      </w:r>
      <w:r>
        <w:fldChar w:fldCharType="separate"/>
      </w:r>
      <w:r>
        <w:rPr>
          <w:rStyle w:val="92"/>
        </w:rPr>
        <w:t xml:space="preserve">7.2 </w:t>
      </w:r>
      <w:r>
        <w:rPr>
          <w:rStyle w:val="92"/>
          <w:rFonts w:hint="eastAsia"/>
        </w:rPr>
        <w:t>公交专用道设置条件</w:t>
      </w:r>
      <w:r>
        <w:tab/>
      </w:r>
      <w:r>
        <w:fldChar w:fldCharType="begin"/>
      </w:r>
      <w:r>
        <w:instrText xml:space="preserve"> PAGEREF _Toc518573710 \h </w:instrText>
      </w:r>
      <w:r>
        <w:fldChar w:fldCharType="separate"/>
      </w:r>
      <w:r>
        <w:t>101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"_Toc518573711" </w:instrText>
      </w:r>
      <w:r>
        <w:fldChar w:fldCharType="separate"/>
      </w:r>
      <w:r>
        <w:rPr>
          <w:rStyle w:val="92"/>
        </w:rPr>
        <w:t xml:space="preserve">7.3 </w:t>
      </w:r>
      <w:r>
        <w:rPr>
          <w:rStyle w:val="92"/>
          <w:rFonts w:hint="eastAsia"/>
        </w:rPr>
        <w:t>公交专用道设置位置</w:t>
      </w:r>
      <w:r>
        <w:tab/>
      </w:r>
      <w:r>
        <w:fldChar w:fldCharType="begin"/>
      </w:r>
      <w:r>
        <w:instrText xml:space="preserve"> PAGEREF _Toc518573711 \h </w:instrText>
      </w:r>
      <w:r>
        <w:fldChar w:fldCharType="separate"/>
      </w:r>
      <w:r>
        <w:t>101</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"_Toc518573712" </w:instrText>
      </w:r>
      <w:r>
        <w:fldChar w:fldCharType="separate"/>
      </w:r>
      <w:r>
        <w:rPr>
          <w:rStyle w:val="92"/>
        </w:rPr>
        <w:t xml:space="preserve">7.4 </w:t>
      </w:r>
      <w:r>
        <w:rPr>
          <w:rStyle w:val="92"/>
          <w:rFonts w:hint="eastAsia"/>
        </w:rPr>
        <w:t>公交专用道规划方案</w:t>
      </w:r>
      <w:r>
        <w:tab/>
      </w:r>
      <w:r>
        <w:fldChar w:fldCharType="begin"/>
      </w:r>
      <w:r>
        <w:instrText xml:space="preserve"> PAGEREF _Toc518573712 \h </w:instrText>
      </w:r>
      <w:r>
        <w:fldChar w:fldCharType="separate"/>
      </w:r>
      <w:r>
        <w:t>103</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"_Toc518573713" </w:instrText>
      </w:r>
      <w:r>
        <w:fldChar w:fldCharType="separate"/>
      </w:r>
      <w:r>
        <w:rPr>
          <w:rStyle w:val="92"/>
        </w:rPr>
        <w:t xml:space="preserve">7.5 </w:t>
      </w:r>
      <w:r>
        <w:rPr>
          <w:rStyle w:val="92"/>
          <w:rFonts w:hint="eastAsia"/>
        </w:rPr>
        <w:t>实施建议</w:t>
      </w:r>
      <w:r>
        <w:tab/>
      </w:r>
      <w:r>
        <w:fldChar w:fldCharType="begin"/>
      </w:r>
      <w:r>
        <w:instrText xml:space="preserve"> PAGEREF _Toc518573713 \h </w:instrText>
      </w:r>
      <w:r>
        <w:fldChar w:fldCharType="separate"/>
      </w:r>
      <w:r>
        <w:t>104</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"_Toc518573714" </w:instrText>
      </w:r>
      <w:r>
        <w:fldChar w:fldCharType="separate"/>
      </w:r>
      <w:r>
        <w:rPr>
          <w:rStyle w:val="92"/>
          <w:rFonts w:hint="eastAsia"/>
        </w:rPr>
        <w:t>第</w:t>
      </w:r>
      <w:r>
        <w:rPr>
          <w:rStyle w:val="92"/>
        </w:rPr>
        <w:t>8</w:t>
      </w:r>
      <w:r>
        <w:rPr>
          <w:rStyle w:val="92"/>
          <w:rFonts w:hint="eastAsia"/>
        </w:rPr>
        <w:t>章</w:t>
      </w:r>
      <w:r>
        <w:rPr>
          <w:rStyle w:val="92"/>
        </w:rPr>
        <w:t xml:space="preserve">  </w:t>
      </w:r>
      <w:r>
        <w:rPr>
          <w:rStyle w:val="92"/>
          <w:rFonts w:hint="eastAsia"/>
        </w:rPr>
        <w:t>城市公交运力发展规划</w:t>
      </w:r>
      <w:r>
        <w:tab/>
      </w:r>
      <w:r>
        <w:fldChar w:fldCharType="begin"/>
      </w:r>
      <w:r>
        <w:instrText xml:space="preserve"> PAGEREF _Toc518573714 \h </w:instrText>
      </w:r>
      <w:r>
        <w:fldChar w:fldCharType="separate"/>
      </w:r>
      <w:r>
        <w:t>105</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"_Toc518573715" </w:instrText>
      </w:r>
      <w:r>
        <w:fldChar w:fldCharType="separate"/>
      </w:r>
      <w:r>
        <w:rPr>
          <w:rStyle w:val="92"/>
        </w:rPr>
        <w:t xml:space="preserve">8.1 </w:t>
      </w:r>
      <w:r>
        <w:rPr>
          <w:rStyle w:val="92"/>
          <w:rFonts w:hint="eastAsia"/>
        </w:rPr>
        <w:t>车辆规模指标要求</w:t>
      </w:r>
      <w:r>
        <w:tab/>
      </w:r>
      <w:r>
        <w:fldChar w:fldCharType="begin"/>
      </w:r>
      <w:r>
        <w:instrText xml:space="preserve"> PAGEREF _Toc518573715 \h </w:instrText>
      </w:r>
      <w:r>
        <w:fldChar w:fldCharType="separate"/>
      </w:r>
      <w:r>
        <w:t>105</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"_Toc518573716" </w:instrText>
      </w:r>
      <w:r>
        <w:fldChar w:fldCharType="separate"/>
      </w:r>
      <w:r>
        <w:rPr>
          <w:rStyle w:val="92"/>
        </w:rPr>
        <w:t xml:space="preserve">8.2 </w:t>
      </w:r>
      <w:r>
        <w:rPr>
          <w:rStyle w:val="92"/>
          <w:rFonts w:hint="eastAsia"/>
        </w:rPr>
        <w:t>车辆规模发展规划</w:t>
      </w:r>
      <w:r>
        <w:tab/>
      </w:r>
      <w:r>
        <w:fldChar w:fldCharType="begin"/>
      </w:r>
      <w:r>
        <w:instrText xml:space="preserve"> PAGEREF _Toc518573716 \h </w:instrText>
      </w:r>
      <w:r>
        <w:fldChar w:fldCharType="separate"/>
      </w:r>
      <w:r>
        <w:t>105</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"_Toc518573717" </w:instrText>
      </w:r>
      <w:r>
        <w:fldChar w:fldCharType="separate"/>
      </w:r>
      <w:r>
        <w:rPr>
          <w:rStyle w:val="92"/>
          <w:rFonts w:hint="eastAsia"/>
        </w:rPr>
        <w:t>第</w:t>
      </w:r>
      <w:r>
        <w:rPr>
          <w:rStyle w:val="92"/>
        </w:rPr>
        <w:t>9</w:t>
      </w:r>
      <w:r>
        <w:rPr>
          <w:rStyle w:val="92"/>
          <w:rFonts w:hint="eastAsia"/>
        </w:rPr>
        <w:t>章</w:t>
      </w:r>
      <w:r>
        <w:rPr>
          <w:rStyle w:val="92"/>
        </w:rPr>
        <w:t xml:space="preserve">  </w:t>
      </w:r>
      <w:r>
        <w:rPr>
          <w:rStyle w:val="92"/>
          <w:rFonts w:hint="eastAsia"/>
        </w:rPr>
        <w:t>城市公交信息化规划</w:t>
      </w:r>
      <w:r>
        <w:tab/>
      </w:r>
      <w:r>
        <w:fldChar w:fldCharType="begin"/>
      </w:r>
      <w:r>
        <w:instrText xml:space="preserve"> PAGEREF _Toc518573717 \h </w:instrText>
      </w:r>
      <w:r>
        <w:fldChar w:fldCharType="separate"/>
      </w:r>
      <w:r>
        <w:t>108</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"_Toc518573718" </w:instrText>
      </w:r>
      <w:r>
        <w:fldChar w:fldCharType="separate"/>
      </w:r>
      <w:r>
        <w:rPr>
          <w:rStyle w:val="92"/>
          <w:rFonts w:cs="Times New Roman"/>
        </w:rPr>
        <w:t xml:space="preserve">9.1 </w:t>
      </w:r>
      <w:r>
        <w:rPr>
          <w:rStyle w:val="92"/>
          <w:rFonts w:hint="eastAsia" w:cs="Times New Roman"/>
        </w:rPr>
        <w:t>发展现状</w:t>
      </w:r>
      <w:r>
        <w:tab/>
      </w:r>
      <w:r>
        <w:fldChar w:fldCharType="begin"/>
      </w:r>
      <w:r>
        <w:instrText xml:space="preserve"> PAGEREF _Toc518573718 \h </w:instrText>
      </w:r>
      <w:r>
        <w:fldChar w:fldCharType="separate"/>
      </w:r>
      <w:r>
        <w:t>108</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"_Toc518573719" </w:instrText>
      </w:r>
      <w:r>
        <w:fldChar w:fldCharType="separate"/>
      </w:r>
      <w:r>
        <w:rPr>
          <w:rStyle w:val="92"/>
          <w:rFonts w:cs="Times New Roman"/>
        </w:rPr>
        <w:t xml:space="preserve">9.2 </w:t>
      </w:r>
      <w:r>
        <w:rPr>
          <w:rStyle w:val="92"/>
          <w:rFonts w:hint="eastAsia" w:cs="Times New Roman"/>
        </w:rPr>
        <w:t>规划内容</w:t>
      </w:r>
      <w:r>
        <w:tab/>
      </w:r>
      <w:r>
        <w:fldChar w:fldCharType="begin"/>
      </w:r>
      <w:r>
        <w:instrText xml:space="preserve"> PAGEREF _Toc518573719 \h </w:instrText>
      </w:r>
      <w:r>
        <w:fldChar w:fldCharType="separate"/>
      </w:r>
      <w:r>
        <w:t>108</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"_Toc518573720" </w:instrText>
      </w:r>
      <w:r>
        <w:fldChar w:fldCharType="separate"/>
      </w:r>
      <w:r>
        <w:rPr>
          <w:rStyle w:val="92"/>
          <w:rFonts w:hint="eastAsia"/>
        </w:rPr>
        <w:t>第</w:t>
      </w:r>
      <w:r>
        <w:rPr>
          <w:rStyle w:val="92"/>
        </w:rPr>
        <w:t>10</w:t>
      </w:r>
      <w:r>
        <w:rPr>
          <w:rStyle w:val="92"/>
          <w:rFonts w:hint="eastAsia"/>
        </w:rPr>
        <w:t>章</w:t>
      </w:r>
      <w:r>
        <w:rPr>
          <w:rStyle w:val="92"/>
        </w:rPr>
        <w:t xml:space="preserve">  </w:t>
      </w:r>
      <w:r>
        <w:rPr>
          <w:rStyle w:val="92"/>
          <w:rFonts w:hint="eastAsia"/>
        </w:rPr>
        <w:t>规划效果评价</w:t>
      </w:r>
      <w:r>
        <w:tab/>
      </w:r>
      <w:r>
        <w:fldChar w:fldCharType="begin"/>
      </w:r>
      <w:r>
        <w:instrText xml:space="preserve"> PAGEREF _Toc518573720 \h </w:instrText>
      </w:r>
      <w:r>
        <w:fldChar w:fldCharType="separate"/>
      </w:r>
      <w:r>
        <w:t>110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"_Toc518573721" </w:instrText>
      </w:r>
      <w:r>
        <w:fldChar w:fldCharType="separate"/>
      </w:r>
      <w:r>
        <w:rPr>
          <w:rStyle w:val="92"/>
        </w:rPr>
        <w:t xml:space="preserve">10.1 </w:t>
      </w:r>
      <w:r>
        <w:rPr>
          <w:rStyle w:val="92"/>
          <w:rFonts w:hint="eastAsia"/>
        </w:rPr>
        <w:t>公交线网规划效果评价</w:t>
      </w:r>
      <w:r>
        <w:tab/>
      </w:r>
      <w:r>
        <w:fldChar w:fldCharType="begin"/>
      </w:r>
      <w:r>
        <w:instrText xml:space="preserve"> PAGEREF _Toc518573721 \h </w:instrText>
      </w:r>
      <w:r>
        <w:fldChar w:fldCharType="separate"/>
      </w:r>
      <w:r>
        <w:t>110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"_Toc518573722" </w:instrText>
      </w:r>
      <w:r>
        <w:fldChar w:fldCharType="separate"/>
      </w:r>
      <w:r>
        <w:rPr>
          <w:rStyle w:val="92"/>
        </w:rPr>
        <w:t xml:space="preserve">10.2 </w:t>
      </w:r>
      <w:r>
        <w:rPr>
          <w:rStyle w:val="92"/>
          <w:rFonts w:hint="eastAsia"/>
        </w:rPr>
        <w:t>运力规划效果评价</w:t>
      </w:r>
      <w:r>
        <w:tab/>
      </w:r>
      <w:r>
        <w:fldChar w:fldCharType="begin"/>
      </w:r>
      <w:r>
        <w:instrText xml:space="preserve"> PAGEREF _Toc518573722 \h </w:instrText>
      </w:r>
      <w:r>
        <w:fldChar w:fldCharType="separate"/>
      </w:r>
      <w:r>
        <w:t>114</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"_Toc518573723" </w:instrText>
      </w:r>
      <w:r>
        <w:fldChar w:fldCharType="separate"/>
      </w:r>
      <w:r>
        <w:rPr>
          <w:rStyle w:val="92"/>
          <w:rFonts w:hint="eastAsia"/>
        </w:rPr>
        <w:t>第</w:t>
      </w:r>
      <w:r>
        <w:rPr>
          <w:rStyle w:val="92"/>
        </w:rPr>
        <w:t>11</w:t>
      </w:r>
      <w:r>
        <w:rPr>
          <w:rStyle w:val="92"/>
          <w:rFonts w:hint="eastAsia"/>
        </w:rPr>
        <w:t>章</w:t>
      </w:r>
      <w:r>
        <w:rPr>
          <w:rStyle w:val="92"/>
        </w:rPr>
        <w:t xml:space="preserve">  </w:t>
      </w:r>
      <w:r>
        <w:rPr>
          <w:rStyle w:val="92"/>
          <w:rFonts w:hint="eastAsia"/>
        </w:rPr>
        <w:t>规划实施安排</w:t>
      </w:r>
      <w:r>
        <w:tab/>
      </w:r>
      <w:r>
        <w:fldChar w:fldCharType="begin"/>
      </w:r>
      <w:r>
        <w:instrText xml:space="preserve"> PAGEREF _Toc518573723 \h </w:instrText>
      </w:r>
      <w:r>
        <w:fldChar w:fldCharType="separate"/>
      </w:r>
      <w:r>
        <w:t>116</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"_Toc518573724" </w:instrText>
      </w:r>
      <w:r>
        <w:fldChar w:fldCharType="separate"/>
      </w:r>
      <w:r>
        <w:rPr>
          <w:rStyle w:val="92"/>
        </w:rPr>
        <w:t xml:space="preserve">11.1 </w:t>
      </w:r>
      <w:r>
        <w:rPr>
          <w:rStyle w:val="92"/>
          <w:rFonts w:hint="eastAsia"/>
        </w:rPr>
        <w:t>重点任务</w:t>
      </w:r>
      <w:r>
        <w:tab/>
      </w:r>
      <w:r>
        <w:fldChar w:fldCharType="begin"/>
      </w:r>
      <w:r>
        <w:instrText xml:space="preserve"> PAGEREF _Toc518573724 \h </w:instrText>
      </w:r>
      <w:r>
        <w:fldChar w:fldCharType="separate"/>
      </w:r>
      <w:r>
        <w:t>116</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"_Toc518573725" </w:instrText>
      </w:r>
      <w:r>
        <w:fldChar w:fldCharType="separate"/>
      </w:r>
      <w:r>
        <w:rPr>
          <w:rStyle w:val="92"/>
        </w:rPr>
        <w:t xml:space="preserve">11.2 </w:t>
      </w:r>
      <w:r>
        <w:rPr>
          <w:rStyle w:val="92"/>
          <w:rFonts w:hint="eastAsia"/>
        </w:rPr>
        <w:t>实施安排与资金测算</w:t>
      </w:r>
      <w:r>
        <w:tab/>
      </w:r>
      <w:r>
        <w:fldChar w:fldCharType="begin"/>
      </w:r>
      <w:r>
        <w:instrText xml:space="preserve"> PAGEREF _Toc518573725 \h </w:instrText>
      </w:r>
      <w:r>
        <w:fldChar w:fldCharType="separate"/>
      </w:r>
      <w:r>
        <w:t>118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"_Toc518573726" </w:instrText>
      </w:r>
      <w:r>
        <w:fldChar w:fldCharType="separate"/>
      </w:r>
      <w:r>
        <w:rPr>
          <w:rStyle w:val="92"/>
        </w:rPr>
        <w:t xml:space="preserve">11.2.1 </w:t>
      </w:r>
      <w:r>
        <w:rPr>
          <w:rStyle w:val="92"/>
          <w:rFonts w:hint="eastAsia"/>
        </w:rPr>
        <w:t>近期项目建设安排</w:t>
      </w:r>
      <w:r>
        <w:tab/>
      </w:r>
      <w:r>
        <w:fldChar w:fldCharType="begin"/>
      </w:r>
      <w:r>
        <w:instrText xml:space="preserve"> PAGEREF _Toc518573726 \h </w:instrText>
      </w:r>
      <w:r>
        <w:fldChar w:fldCharType="separate"/>
      </w:r>
      <w:r>
        <w:t>118</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"_Toc518573727" </w:instrText>
      </w:r>
      <w:r>
        <w:fldChar w:fldCharType="separate"/>
      </w:r>
      <w:r>
        <w:rPr>
          <w:rStyle w:val="92"/>
        </w:rPr>
        <w:t xml:space="preserve">11.2.2 </w:t>
      </w:r>
      <w:r>
        <w:rPr>
          <w:rStyle w:val="92"/>
          <w:rFonts w:hint="eastAsia"/>
        </w:rPr>
        <w:t>中远期项目建设安排</w:t>
      </w:r>
      <w:r>
        <w:tab/>
      </w:r>
      <w:r>
        <w:fldChar w:fldCharType="begin"/>
      </w:r>
      <w:r>
        <w:instrText xml:space="preserve"> PAGEREF _Toc518573727 \h </w:instrText>
      </w:r>
      <w:r>
        <w:fldChar w:fldCharType="separate"/>
      </w:r>
      <w:r>
        <w:t>121</w:t>
      </w:r>
      <w:r>
        <w:fldChar w:fldCharType="end"/>
      </w:r>
      <w:r>
        <w:fldChar w:fldCharType="end"/>
      </w:r>
    </w:p>
    <w:p>
      <w:pPr>
        <w:pStyle w:val="47"/>
        <w:rPr>
          <w:rFonts w:asciiTheme="minorHAnsi" w:hAnsiTheme="minorHAnsi" w:eastAsiaTheme="minorEastAsia" w:cstheme="minorBidi"/>
          <w:sz w:val="21"/>
          <w:szCs w:val="22"/>
        </w:rPr>
      </w:pPr>
      <w:r>
        <w:fldChar w:fldCharType="begin"/>
      </w:r>
      <w:r>
        <w:instrText xml:space="preserve"> HYPERLINK \l "_Toc518573728" </w:instrText>
      </w:r>
      <w:r>
        <w:fldChar w:fldCharType="separate"/>
      </w:r>
      <w:r>
        <w:rPr>
          <w:rStyle w:val="92"/>
        </w:rPr>
        <w:t xml:space="preserve">11.2.3 </w:t>
      </w:r>
      <w:r>
        <w:rPr>
          <w:rStyle w:val="92"/>
          <w:rFonts w:hint="eastAsia"/>
        </w:rPr>
        <w:t>项目资金测算</w:t>
      </w:r>
      <w:r>
        <w:tab/>
      </w:r>
      <w:r>
        <w:fldChar w:fldCharType="begin"/>
      </w:r>
      <w:r>
        <w:instrText xml:space="preserve"> PAGEREF _Toc518573728 \h </w:instrText>
      </w:r>
      <w:r>
        <w:fldChar w:fldCharType="separate"/>
      </w:r>
      <w:r>
        <w:t>123</w:t>
      </w:r>
      <w:r>
        <w:fldChar w:fldCharType="end"/>
      </w:r>
      <w:r>
        <w:fldChar w:fldCharType="end"/>
      </w:r>
    </w:p>
    <w:p>
      <w:pPr>
        <w:pStyle w:val="63"/>
        <w:rPr>
          <w:rFonts w:asciiTheme="minorHAnsi" w:hAnsiTheme="minorHAnsi" w:eastAsiaTheme="minorEastAsia" w:cstheme="minorBidi"/>
          <w:sz w:val="21"/>
          <w:szCs w:val="22"/>
        </w:rPr>
      </w:pPr>
      <w:r>
        <w:fldChar w:fldCharType="begin"/>
      </w:r>
      <w:r>
        <w:instrText xml:space="preserve"> HYPERLINK \l "_Toc518573729" </w:instrText>
      </w:r>
      <w:r>
        <w:fldChar w:fldCharType="separate"/>
      </w:r>
      <w:r>
        <w:rPr>
          <w:rStyle w:val="92"/>
          <w:rFonts w:hint="eastAsia"/>
        </w:rPr>
        <w:t>第</w:t>
      </w:r>
      <w:r>
        <w:rPr>
          <w:rStyle w:val="92"/>
        </w:rPr>
        <w:t>12</w:t>
      </w:r>
      <w:r>
        <w:rPr>
          <w:rStyle w:val="92"/>
          <w:rFonts w:hint="eastAsia"/>
        </w:rPr>
        <w:t>章</w:t>
      </w:r>
      <w:r>
        <w:rPr>
          <w:rStyle w:val="92"/>
        </w:rPr>
        <w:t xml:space="preserve">  </w:t>
      </w:r>
      <w:r>
        <w:rPr>
          <w:rStyle w:val="92"/>
          <w:rFonts w:hint="eastAsia"/>
        </w:rPr>
        <w:t>实施保障</w:t>
      </w:r>
      <w:r>
        <w:tab/>
      </w:r>
      <w:r>
        <w:fldChar w:fldCharType="begin"/>
      </w:r>
      <w:r>
        <w:instrText xml:space="preserve"> PAGEREF _Toc518573729 \h </w:instrText>
      </w:r>
      <w:r>
        <w:fldChar w:fldCharType="separate"/>
      </w:r>
      <w:r>
        <w:t>125</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"_Toc518573730" </w:instrText>
      </w:r>
      <w:r>
        <w:fldChar w:fldCharType="separate"/>
      </w:r>
      <w:r>
        <w:rPr>
          <w:rStyle w:val="92"/>
        </w:rPr>
        <w:t xml:space="preserve">12.1 </w:t>
      </w:r>
      <w:r>
        <w:rPr>
          <w:rStyle w:val="92"/>
          <w:rFonts w:hint="eastAsia"/>
        </w:rPr>
        <w:t>组织保障</w:t>
      </w:r>
      <w:r>
        <w:tab/>
      </w:r>
      <w:r>
        <w:fldChar w:fldCharType="begin"/>
      </w:r>
      <w:r>
        <w:instrText xml:space="preserve"> PAGEREF _Toc518573730 \h </w:instrText>
      </w:r>
      <w:r>
        <w:fldChar w:fldCharType="separate"/>
      </w:r>
      <w:r>
        <w:t>126</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"_Toc518573731" </w:instrText>
      </w:r>
      <w:r>
        <w:fldChar w:fldCharType="separate"/>
      </w:r>
      <w:r>
        <w:rPr>
          <w:rStyle w:val="92"/>
        </w:rPr>
        <w:t xml:space="preserve">12.2 </w:t>
      </w:r>
      <w:r>
        <w:rPr>
          <w:rStyle w:val="92"/>
          <w:rFonts w:hint="eastAsia"/>
        </w:rPr>
        <w:t>政策保障</w:t>
      </w:r>
      <w:r>
        <w:tab/>
      </w:r>
      <w:r>
        <w:fldChar w:fldCharType="begin"/>
      </w:r>
      <w:r>
        <w:instrText xml:space="preserve"> PAGEREF _Toc518573731 \h </w:instrText>
      </w:r>
      <w:r>
        <w:fldChar w:fldCharType="separate"/>
      </w:r>
      <w:r>
        <w:t>126</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"_Toc518573732" </w:instrText>
      </w:r>
      <w:r>
        <w:fldChar w:fldCharType="separate"/>
      </w:r>
      <w:r>
        <w:rPr>
          <w:rStyle w:val="92"/>
        </w:rPr>
        <w:t xml:space="preserve">12.3 </w:t>
      </w:r>
      <w:r>
        <w:rPr>
          <w:rStyle w:val="92"/>
          <w:rFonts w:hint="eastAsia"/>
        </w:rPr>
        <w:t>资金保障</w:t>
      </w:r>
      <w:r>
        <w:tab/>
      </w:r>
      <w:r>
        <w:fldChar w:fldCharType="begin"/>
      </w:r>
      <w:r>
        <w:instrText xml:space="preserve"> PAGEREF _Toc518573732 \h </w:instrText>
      </w:r>
      <w:r>
        <w:fldChar w:fldCharType="separate"/>
      </w:r>
      <w:r>
        <w:t>128</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"_Toc518573733" </w:instrText>
      </w:r>
      <w:r>
        <w:fldChar w:fldCharType="separate"/>
      </w:r>
      <w:r>
        <w:rPr>
          <w:rStyle w:val="92"/>
        </w:rPr>
        <w:t xml:space="preserve">12.4 </w:t>
      </w:r>
      <w:r>
        <w:rPr>
          <w:rStyle w:val="92"/>
          <w:rFonts w:hint="eastAsia"/>
        </w:rPr>
        <w:t>人才保障</w:t>
      </w:r>
      <w:r>
        <w:tab/>
      </w:r>
      <w:r>
        <w:fldChar w:fldCharType="begin"/>
      </w:r>
      <w:r>
        <w:instrText xml:space="preserve"> PAGEREF _Toc518573733 \h </w:instrText>
      </w:r>
      <w:r>
        <w:fldChar w:fldCharType="separate"/>
      </w:r>
      <w:r>
        <w:t>130</w:t>
      </w:r>
      <w:r>
        <w:fldChar w:fldCharType="end"/>
      </w:r>
      <w:r>
        <w:fldChar w:fldCharType="end"/>
      </w:r>
    </w:p>
    <w:p>
      <w:pPr>
        <w:pStyle w:val="78"/>
        <w:rPr>
          <w:rFonts w:asciiTheme="minorHAnsi" w:hAnsiTheme="minorHAnsi" w:eastAsiaTheme="minorEastAsia" w:cstheme="minorBidi"/>
          <w:bCs w:val="0"/>
          <w:sz w:val="21"/>
          <w:szCs w:val="22"/>
        </w:rPr>
      </w:pPr>
      <w:r>
        <w:fldChar w:fldCharType="begin"/>
      </w:r>
      <w:r>
        <w:instrText xml:space="preserve"> HYPERLINK \l "_Toc518573734" </w:instrText>
      </w:r>
      <w:r>
        <w:fldChar w:fldCharType="separate"/>
      </w:r>
      <w:r>
        <w:rPr>
          <w:rStyle w:val="92"/>
        </w:rPr>
        <w:t xml:space="preserve">12.5 </w:t>
      </w:r>
      <w:r>
        <w:rPr>
          <w:rStyle w:val="92"/>
          <w:rFonts w:hint="eastAsia"/>
        </w:rPr>
        <w:t>用地保障</w:t>
      </w:r>
      <w:r>
        <w:tab/>
      </w:r>
      <w:r>
        <w:fldChar w:fldCharType="begin"/>
      </w:r>
      <w:r>
        <w:instrText xml:space="preserve"> PAGEREF _Toc518573734 \h </w:instrText>
      </w:r>
      <w:r>
        <w:fldChar w:fldCharType="separate"/>
      </w:r>
      <w:r>
        <w:t>131</w:t>
      </w:r>
      <w:r>
        <w:fldChar w:fldCharType="end"/>
      </w:r>
      <w:r>
        <w:fldChar w:fldCharType="end"/>
      </w:r>
    </w:p>
    <w:p>
      <w:pPr>
        <w:spacing w:before="163" w:after="163" w:line="276" w:lineRule="auto"/>
        <w:ind w:firstLine="0" w:firstLineChars="0"/>
        <w:jc w:val="left"/>
        <w:rPr>
          <w:rFonts w:ascii="黑体" w:hAnsi="Tahoma"/>
          <w:bCs/>
          <w:sz w:val="36"/>
          <w:szCs w:val="36"/>
        </w:rPr>
        <w:sectPr>
          <w:headerReference r:id="rId9" w:type="default"/>
          <w:pgSz w:w="11906" w:h="16838"/>
          <w:pgMar w:top="1440" w:right="1800" w:bottom="1440" w:left="1800" w:header="851" w:footer="992" w:gutter="0"/>
          <w:pgNumType w:fmt="upperRoman" w:start="1"/>
          <w:cols w:space="425" w:num="1"/>
          <w:docGrid w:type="lines" w:linePitch="326" w:charSpace="0"/>
        </w:sectPr>
      </w:pPr>
      <w:r>
        <w:rPr>
          <w:rFonts w:cs="Times New Roman"/>
          <w:b/>
          <w:bCs/>
          <w:sz w:val="32"/>
          <w:szCs w:val="32"/>
        </w:rPr>
        <w:fldChar w:fldCharType="end"/>
      </w:r>
    </w:p>
    <w:p>
      <w:pPr>
        <w:pStyle w:val="2"/>
        <w:spacing w:before="163" w:after="163"/>
      </w:pPr>
      <w:bookmarkStart w:id="3" w:name="_Toc518573636"/>
      <w:r>
        <w:rPr>
          <w:rFonts w:hint="eastAsia"/>
        </w:rPr>
        <w:t>第1章  概述</w:t>
      </w:r>
      <w:bookmarkEnd w:id="3"/>
    </w:p>
    <w:p>
      <w:pPr>
        <w:pStyle w:val="4"/>
        <w:spacing w:before="163" w:after="163"/>
      </w:pPr>
      <w:bookmarkStart w:id="4" w:name="_Toc518573637"/>
      <w:r>
        <w:rPr>
          <w:rFonts w:hint="eastAsia"/>
        </w:rPr>
        <w:t>1.1 规划编制背景</w:t>
      </w:r>
      <w:bookmarkEnd w:id="4"/>
    </w:p>
    <w:p>
      <w:pPr>
        <w:spacing w:before="163" w:after="163"/>
        <w:ind w:firstLine="480"/>
        <w:rPr>
          <w:rFonts w:cs="Times New Roman"/>
        </w:rPr>
      </w:pPr>
      <w:r>
        <w:rPr>
          <w:rFonts w:hint="eastAsia" w:cs="Times New Roman"/>
        </w:rPr>
        <w:t>资阳市地处四川盆地中部，南邻内江，北接成都、德阳，东与重庆、遂宁毗邻，西与眉山相连，位于成渝经济区腹心地带，距成都中心城区87公里，成渝、内资遂、遂资眉等6条高速公路穿境而过，乘坐成渝高铁从资阳出发20多分钟可到成都、1小时到重庆，是成渝群重要的区域中心城市，是进入成都平原经济圈的东部“门户”通道，成都平原经济圈与川南地区与重庆市联系的中枢。</w:t>
      </w:r>
    </w:p>
    <w:p>
      <w:pPr>
        <w:pStyle w:val="117"/>
      </w:pPr>
      <w:r>
        <w:drawing>
          <wp:inline distT="0" distB="0" distL="0" distR="0">
            <wp:extent cx="2976880" cy="2116455"/>
            <wp:effectExtent l="19050" t="19050" r="13970" b="171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8"/>
                    <a:stretch>
                      <a:fillRect/>
                    </a:stretch>
                  </pic:blipFill>
                  <pic:spPr>
                    <a:xfrm>
                      <a:off x="0" y="0"/>
                      <a:ext cx="2977200" cy="2116587"/>
                    </a:xfrm>
                    <a:prstGeom prst="rect">
                      <a:avLst/>
                    </a:prstGeom>
                    <a:ln w="6350">
                      <a:solidFill>
                        <a:schemeClr val="tx1"/>
                      </a:solidFill>
                    </a:ln>
                  </pic:spPr>
                </pic:pic>
              </a:graphicData>
            </a:graphic>
          </wp:inline>
        </w:drawing>
      </w:r>
    </w:p>
    <w:p>
      <w:pPr>
        <w:pStyle w:val="117"/>
      </w:pPr>
      <w:r>
        <w:rPr>
          <w:rFonts w:hint="eastAsia"/>
        </w:rPr>
        <w:t xml:space="preserve">图1-1 </w:t>
      </w:r>
      <w:r>
        <w:t xml:space="preserve"> </w:t>
      </w:r>
      <w:r>
        <w:rPr>
          <w:rFonts w:hint="eastAsia"/>
        </w:rPr>
        <w:t>资阳市</w:t>
      </w:r>
      <w:r>
        <w:t>在</w:t>
      </w:r>
      <w:r>
        <w:rPr>
          <w:rFonts w:hint="eastAsia"/>
        </w:rPr>
        <w:t>川</w:t>
      </w:r>
      <w:r>
        <w:t>渝的区位图</w:t>
      </w:r>
    </w:p>
    <w:p>
      <w:pPr>
        <w:pStyle w:val="134"/>
        <w:spacing w:before="163" w:after="163"/>
      </w:pPr>
      <w:r>
        <w:drawing>
          <wp:inline distT="0" distB="0" distL="0" distR="0">
            <wp:extent cx="2975610" cy="2519680"/>
            <wp:effectExtent l="19050" t="19050" r="15240"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9" cstate="print">
                      <a:extLst>
                        <a:ext uri="{28A0092B-C50C-407E-A947-70E740481C1C}">
                          <a14:useLocalDpi xmlns:a14="http://schemas.microsoft.com/office/drawing/2010/main" val="0"/>
                        </a:ext>
                      </a:extLst>
                    </a:blip>
                    <a:srcRect l="-1" t="1121" r="1386" b="764"/>
                    <a:stretch>
                      <a:fillRect/>
                    </a:stretch>
                  </pic:blipFill>
                  <pic:spPr>
                    <a:xfrm>
                      <a:off x="0" y="0"/>
                      <a:ext cx="2976023" cy="2520000"/>
                    </a:xfrm>
                    <a:prstGeom prst="rect">
                      <a:avLst/>
                    </a:prstGeom>
                    <a:ln w="9525" cap="flat" cmpd="sng" algn="ctr">
                      <a:solidFill>
                        <a:sysClr val="windowText" lastClr="000000"/>
                      </a:solidFill>
                      <a:prstDash val="solid"/>
                      <a:round/>
                      <a:headEnd type="none" w="med" len="med"/>
                      <a:tailEnd type="none" w="med" len="med"/>
                    </a:ln>
                  </pic:spPr>
                </pic:pic>
              </a:graphicData>
            </a:graphic>
          </wp:inline>
        </w:drawing>
      </w:r>
    </w:p>
    <w:p>
      <w:pPr>
        <w:pStyle w:val="117"/>
      </w:pPr>
      <w:r>
        <w:rPr>
          <w:rFonts w:hint="eastAsia"/>
        </w:rPr>
        <w:t>图1-</w:t>
      </w:r>
      <w:r>
        <w:t>2</w:t>
      </w:r>
      <w:r>
        <w:rPr>
          <w:rFonts w:hint="eastAsia"/>
        </w:rPr>
        <w:t xml:space="preserve"> </w:t>
      </w:r>
      <w:r>
        <w:t xml:space="preserve"> </w:t>
      </w:r>
      <w:r>
        <w:rPr>
          <w:rFonts w:hint="eastAsia"/>
        </w:rPr>
        <w:t>资阳市</w:t>
      </w:r>
      <w:r>
        <w:t>在成渝经济圈的区位图</w:t>
      </w:r>
    </w:p>
    <w:p>
      <w:pPr>
        <w:spacing w:before="163" w:after="163"/>
        <w:ind w:firstLine="480"/>
        <w:rPr>
          <w:rFonts w:cs="Times New Roman"/>
        </w:rPr>
      </w:pPr>
      <w:r>
        <w:rPr>
          <w:rFonts w:hint="eastAsia" w:cs="Times New Roman"/>
        </w:rPr>
        <w:t>近年来资阳市抓住国家</w:t>
      </w:r>
      <w:r>
        <w:rPr>
          <w:rFonts w:cs="Times New Roman" w:asciiTheme="majorEastAsia" w:hAnsiTheme="majorEastAsia" w:eastAsiaTheme="majorEastAsia"/>
        </w:rPr>
        <w:t>“一带一路”、</w:t>
      </w:r>
      <w:r>
        <w:rPr>
          <w:rFonts w:cs="Times New Roman"/>
        </w:rPr>
        <w:t>长江经济带</w:t>
      </w:r>
      <w:r>
        <w:rPr>
          <w:rFonts w:hint="eastAsia" w:cs="Times New Roman"/>
        </w:rPr>
        <w:t>、新一轮西部大开发战略带来的重要机遇，主动融入成渝经济区，利用区位优势，深入实施“三大发展战略”经济社会保持平稳健康发展。201</w:t>
      </w:r>
      <w:r>
        <w:rPr>
          <w:rFonts w:cs="Times New Roman"/>
        </w:rPr>
        <w:t>6</w:t>
      </w:r>
      <w:r>
        <w:rPr>
          <w:rFonts w:hint="eastAsia" w:cs="Times New Roman"/>
        </w:rPr>
        <w:t>年全市地区生产总值（GDP）943.4亿元，同比增长7.8%，三次产业结构由上年的16.6:54.8:28.6调整优化为16.5:54.2:29.3。</w:t>
      </w:r>
    </w:p>
    <w:p>
      <w:pPr>
        <w:spacing w:before="163" w:after="163"/>
        <w:ind w:firstLine="480"/>
        <w:rPr>
          <w:rFonts w:cs="Times New Roman"/>
        </w:rPr>
      </w:pPr>
      <w:r>
        <w:rPr>
          <w:rFonts w:cs="Times New Roman"/>
        </w:rPr>
        <w:t>近年来</w:t>
      </w:r>
      <w:r>
        <w:rPr>
          <w:rFonts w:hint="eastAsia" w:cs="Times New Roman"/>
        </w:rPr>
        <w:t>，</w:t>
      </w:r>
      <w:r>
        <w:rPr>
          <w:rFonts w:cs="Times New Roman"/>
        </w:rPr>
        <w:t>资阳市社会经济高速发展</w:t>
      </w:r>
      <w:r>
        <w:rPr>
          <w:rFonts w:hint="eastAsia" w:cs="Times New Roman"/>
        </w:rPr>
        <w:t>，城市化进程明显加快，建成区范围和人口规模不断增长，居民交通需求迅速增加。而中心城区交通基础设施建设相对滞后，个体交通发展迅速，公共交通发展相对迟缓，不能满足日益增长的交通需求，与区域经济一体化发展之间的矛盾日益凸显。因此，需要结合城市的发展现状以及发展规划，重新布局公交线网及公交场站。</w:t>
      </w:r>
    </w:p>
    <w:p>
      <w:pPr>
        <w:pStyle w:val="4"/>
        <w:spacing w:before="163" w:after="163"/>
      </w:pPr>
      <w:bookmarkStart w:id="5" w:name="_Toc518573638"/>
      <w:r>
        <w:rPr>
          <w:rFonts w:hint="eastAsia"/>
        </w:rPr>
        <w:t>1.2 规划编制依据、范围和年限</w:t>
      </w:r>
      <w:bookmarkEnd w:id="5"/>
    </w:p>
    <w:p>
      <w:pPr>
        <w:pStyle w:val="5"/>
        <w:spacing w:before="163" w:after="163"/>
      </w:pPr>
      <w:bookmarkStart w:id="6" w:name="_Toc518573639"/>
      <w:r>
        <w:t xml:space="preserve">1.2.1 </w:t>
      </w:r>
      <w:r>
        <w:rPr>
          <w:rFonts w:hint="eastAsia"/>
        </w:rPr>
        <w:t>规划编制依据</w:t>
      </w:r>
      <w:bookmarkEnd w:id="6"/>
    </w:p>
    <w:p>
      <w:pPr>
        <w:spacing w:before="163" w:after="163"/>
        <w:ind w:firstLine="480"/>
      </w:pPr>
      <w:r>
        <w:rPr>
          <w:rFonts w:hint="eastAsia"/>
        </w:rPr>
        <w:t>1．《城市道路交通规划设计规范》（GB50220—95）；</w:t>
      </w:r>
    </w:p>
    <w:p>
      <w:pPr>
        <w:spacing w:before="163" w:after="163"/>
        <w:ind w:firstLine="480"/>
      </w:pPr>
      <w:r>
        <w:rPr>
          <w:rFonts w:hint="eastAsia"/>
        </w:rPr>
        <w:t>2．《城市道路公共交通站、场、厂工程设计规范》（CJJ/T15—2011）；</w:t>
      </w:r>
    </w:p>
    <w:p>
      <w:pPr>
        <w:spacing w:before="163" w:after="163"/>
        <w:ind w:firstLine="480"/>
      </w:pPr>
      <w:r>
        <w:rPr>
          <w:rFonts w:hint="eastAsia"/>
        </w:rPr>
        <w:t>3．《城市道路工程设计规范》（CJJ37—2012）；</w:t>
      </w:r>
    </w:p>
    <w:p>
      <w:pPr>
        <w:spacing w:before="163" w:after="163"/>
        <w:ind w:firstLine="480"/>
      </w:pPr>
      <w:r>
        <w:rPr>
          <w:rFonts w:hint="eastAsia"/>
        </w:rPr>
        <w:t>4．《关于城市优先发展公共交通的指导意见》（国发〔2012〕64号）；</w:t>
      </w:r>
    </w:p>
    <w:p>
      <w:pPr>
        <w:spacing w:before="163" w:after="163"/>
        <w:ind w:firstLine="480"/>
      </w:pPr>
      <w:r>
        <w:rPr>
          <w:rFonts w:hint="eastAsia"/>
        </w:rPr>
        <w:t>5．《关于开展国家公交都市建设示范工程有关事项的通知》（交运发〔2011〕635号）；</w:t>
      </w:r>
    </w:p>
    <w:p>
      <w:pPr>
        <w:spacing w:before="163" w:after="163"/>
        <w:ind w:firstLine="480"/>
      </w:pPr>
      <w:r>
        <w:t>6</w:t>
      </w:r>
      <w:r>
        <w:rPr>
          <w:rFonts w:hint="eastAsia"/>
        </w:rPr>
        <w:t>．《四川省人民政府关于优先发展城市公共交通的实施意见》（川府发〔2005〕1号）；</w:t>
      </w:r>
    </w:p>
    <w:p>
      <w:pPr>
        <w:spacing w:before="163" w:after="163"/>
        <w:ind w:firstLine="480"/>
      </w:pPr>
      <w:r>
        <w:t>7</w:t>
      </w:r>
      <w:r>
        <w:rPr>
          <w:rFonts w:hint="eastAsia"/>
        </w:rPr>
        <w:t>．《城市公共交通规划编制指南》（交运发〔2014〕236号）；</w:t>
      </w:r>
    </w:p>
    <w:p>
      <w:pPr>
        <w:spacing w:before="163" w:after="163"/>
        <w:ind w:firstLine="480"/>
      </w:pPr>
      <w:r>
        <w:t>8</w:t>
      </w:r>
      <w:r>
        <w:rPr>
          <w:rFonts w:hint="eastAsia"/>
        </w:rPr>
        <w:t>．《城市公共汽车和电车客运管理规定》（交通运输部令2017年第5号）；</w:t>
      </w:r>
    </w:p>
    <w:p>
      <w:pPr>
        <w:spacing w:before="163" w:after="163"/>
        <w:ind w:firstLine="480"/>
        <w:rPr>
          <w:bCs/>
        </w:rPr>
      </w:pPr>
      <w:r>
        <w:t>9</w:t>
      </w:r>
      <w:r>
        <w:rPr>
          <w:rFonts w:hint="eastAsia"/>
        </w:rPr>
        <w:t>．《资阳市城市总体规划（20</w:t>
      </w:r>
      <w:r>
        <w:t>17</w:t>
      </w:r>
      <w:r>
        <w:rPr>
          <w:rFonts w:hint="eastAsia"/>
        </w:rPr>
        <w:t>-20</w:t>
      </w:r>
      <w:r>
        <w:t>35</w:t>
      </w:r>
      <w:r>
        <w:rPr>
          <w:rFonts w:hint="eastAsia"/>
        </w:rPr>
        <w:t>）》；</w:t>
      </w:r>
    </w:p>
    <w:p>
      <w:pPr>
        <w:spacing w:before="163" w:after="163"/>
        <w:ind w:firstLine="480"/>
      </w:pPr>
      <w:r>
        <w:t>10</w:t>
      </w:r>
      <w:r>
        <w:rPr>
          <w:rFonts w:hint="eastAsia"/>
        </w:rPr>
        <w:t>．</w:t>
      </w:r>
      <w:r>
        <w:t>《</w:t>
      </w:r>
      <w:r>
        <w:rPr>
          <w:rFonts w:hint="eastAsia"/>
        </w:rPr>
        <w:t>资阳市国民经济和社会发展第十三个五年规划纲要</w:t>
      </w:r>
      <w:r>
        <w:t>》</w:t>
      </w:r>
      <w:r>
        <w:rPr>
          <w:rFonts w:hint="eastAsia"/>
        </w:rPr>
        <w:t>；</w:t>
      </w:r>
    </w:p>
    <w:p>
      <w:pPr>
        <w:spacing w:before="163" w:after="163"/>
        <w:ind w:firstLine="480"/>
      </w:pPr>
      <w:r>
        <w:t>11</w:t>
      </w:r>
      <w:r>
        <w:rPr>
          <w:rFonts w:hint="eastAsia"/>
        </w:rPr>
        <w:t>．《资阳市城市综合交通体系规划》；</w:t>
      </w:r>
    </w:p>
    <w:p>
      <w:pPr>
        <w:spacing w:before="163" w:after="163"/>
        <w:ind w:firstLine="480"/>
      </w:pPr>
      <w:r>
        <w:rPr>
          <w:rFonts w:hint="eastAsia"/>
        </w:rPr>
        <w:t>1</w:t>
      </w:r>
      <w:r>
        <w:t>2</w:t>
      </w:r>
      <w:r>
        <w:rPr>
          <w:rFonts w:hint="eastAsia"/>
        </w:rPr>
        <w:t>．《资阳市统计年鉴（20</w:t>
      </w:r>
      <w:r>
        <w:t>10</w:t>
      </w:r>
      <w:r>
        <w:rPr>
          <w:rFonts w:hint="eastAsia"/>
        </w:rPr>
        <w:t>-201</w:t>
      </w:r>
      <w:r>
        <w:t>7</w:t>
      </w:r>
      <w:r>
        <w:rPr>
          <w:rFonts w:hint="eastAsia"/>
        </w:rPr>
        <w:t>年）》。</w:t>
      </w:r>
    </w:p>
    <w:p>
      <w:pPr>
        <w:pStyle w:val="5"/>
        <w:spacing w:before="163" w:after="163"/>
      </w:pPr>
      <w:bookmarkStart w:id="7" w:name="_Toc518573640"/>
      <w:r>
        <w:rPr>
          <w:rFonts w:hint="eastAsia"/>
        </w:rPr>
        <w:t>1.2.2 规划范围</w:t>
      </w:r>
      <w:bookmarkEnd w:id="7"/>
    </w:p>
    <w:p>
      <w:pPr>
        <w:spacing w:before="163" w:after="163"/>
        <w:ind w:firstLine="480"/>
        <w:rPr>
          <w:rStyle w:val="102"/>
          <w:rFonts w:asciiTheme="minorEastAsia" w:hAnsiTheme="minorEastAsia" w:eastAsiaTheme="minorEastAsia"/>
          <w:szCs w:val="24"/>
        </w:rPr>
      </w:pPr>
      <w:r>
        <w:rPr>
          <w:rStyle w:val="102"/>
          <w:rFonts w:hint="eastAsia" w:asciiTheme="minorEastAsia" w:hAnsiTheme="minorEastAsia" w:eastAsiaTheme="minorEastAsia"/>
          <w:szCs w:val="24"/>
        </w:rPr>
        <w:t>本次公交线网、枢纽及站场规划的规划范围为资阳市城市规划的中心城区范围，具体包括城中片区、城北片区、城南片区、沱东片区、雁西湖片区、三草湾片区、清泉片区以及临江、墨池坝、李家坝、董家坝四镇的全部街道及乡镇。本规划报告中公交的涵义专指公共汽车交通。</w:t>
      </w:r>
    </w:p>
    <w:p>
      <w:pPr>
        <w:pStyle w:val="5"/>
        <w:spacing w:before="163" w:after="163"/>
      </w:pPr>
      <w:bookmarkStart w:id="8" w:name="_Toc518573641"/>
      <w:r>
        <w:rPr>
          <w:rFonts w:hint="eastAsia"/>
        </w:rPr>
        <w:t>1.2</w:t>
      </w:r>
      <w:r>
        <w:t xml:space="preserve">.3 </w:t>
      </w:r>
      <w:r>
        <w:rPr>
          <w:rFonts w:hint="eastAsia"/>
        </w:rPr>
        <w:t>规划</w:t>
      </w:r>
      <w:r>
        <w:t>年限</w:t>
      </w:r>
      <w:bookmarkEnd w:id="8"/>
    </w:p>
    <w:p>
      <w:pPr>
        <w:spacing w:before="163" w:after="163"/>
        <w:ind w:firstLine="480"/>
        <w:rPr>
          <w:rStyle w:val="102"/>
          <w:rFonts w:ascii="宋体" w:hAnsi="宋体"/>
        </w:rPr>
      </w:pPr>
      <w:r>
        <w:rPr>
          <w:rStyle w:val="102"/>
          <w:rFonts w:hint="eastAsia" w:ascii="宋体" w:hAnsi="宋体"/>
        </w:rPr>
        <w:t>本次资阳市公交发展</w:t>
      </w:r>
      <w:r>
        <w:rPr>
          <w:rStyle w:val="102"/>
          <w:rFonts w:ascii="宋体" w:hAnsi="宋体"/>
        </w:rPr>
        <w:t>规划</w:t>
      </w:r>
      <w:r>
        <w:t>年限为</w:t>
      </w:r>
      <w:r>
        <w:rPr>
          <w:rFonts w:hint="eastAsia"/>
        </w:rPr>
        <w:t>201</w:t>
      </w:r>
      <w:r>
        <w:t>8</w:t>
      </w:r>
      <w:r>
        <w:rPr>
          <w:rFonts w:hint="eastAsia"/>
        </w:rPr>
        <w:t>年</w:t>
      </w:r>
      <w:r>
        <w:rPr>
          <w:rStyle w:val="102"/>
          <w:rFonts w:hAnsi="宋体" w:cs="Times New Roman"/>
        </w:rPr>
        <w:t>～</w:t>
      </w:r>
      <w:r>
        <w:rPr>
          <w:rFonts w:hint="eastAsia"/>
        </w:rPr>
        <w:t>2030年</w:t>
      </w:r>
      <w:r>
        <w:t>，分为近期和中远期</w:t>
      </w:r>
      <w:r>
        <w:rPr>
          <w:rFonts w:hint="eastAsia"/>
        </w:rPr>
        <w:t>两个</w:t>
      </w:r>
      <w:r>
        <w:t>阶段</w:t>
      </w:r>
      <w:r>
        <w:rPr>
          <w:rFonts w:hint="eastAsia"/>
        </w:rPr>
        <w:t>，</w:t>
      </w:r>
      <w:r>
        <w:t>特征</w:t>
      </w:r>
      <w:r>
        <w:rPr>
          <w:rFonts w:hint="eastAsia"/>
        </w:rPr>
        <w:t>年分别</w:t>
      </w:r>
      <w:r>
        <w:t>为2020</w:t>
      </w:r>
      <w:r>
        <w:rPr>
          <w:rFonts w:hint="eastAsia"/>
        </w:rPr>
        <w:t>年及2030年</w:t>
      </w:r>
      <w:r>
        <w:t>。</w:t>
      </w:r>
      <w:r>
        <w:rPr>
          <w:rStyle w:val="102"/>
          <w:rFonts w:hint="eastAsia" w:ascii="宋体" w:hAnsi="宋体"/>
        </w:rPr>
        <w:t>各规划期的具体年限为：</w:t>
      </w:r>
    </w:p>
    <w:p>
      <w:pPr>
        <w:spacing w:before="163" w:after="163"/>
        <w:ind w:firstLine="480"/>
        <w:rPr>
          <w:rStyle w:val="102"/>
          <w:rFonts w:cs="Times New Roman"/>
        </w:rPr>
      </w:pPr>
      <w:r>
        <w:rPr>
          <w:rStyle w:val="102"/>
          <w:rFonts w:hAnsi="宋体" w:cs="Times New Roman"/>
        </w:rPr>
        <w:t>近期：</w:t>
      </w:r>
      <w:r>
        <w:rPr>
          <w:rStyle w:val="102"/>
          <w:rFonts w:cs="Times New Roman"/>
        </w:rPr>
        <w:t>2018</w:t>
      </w:r>
      <w:r>
        <w:rPr>
          <w:rStyle w:val="102"/>
          <w:rFonts w:hAnsi="宋体" w:cs="Times New Roman"/>
        </w:rPr>
        <w:t>～</w:t>
      </w:r>
      <w:r>
        <w:rPr>
          <w:rStyle w:val="102"/>
          <w:rFonts w:cs="Times New Roman"/>
        </w:rPr>
        <w:t>2020</w:t>
      </w:r>
      <w:r>
        <w:rPr>
          <w:rStyle w:val="102"/>
          <w:rFonts w:hAnsi="宋体" w:cs="Times New Roman"/>
        </w:rPr>
        <w:t>年</w:t>
      </w:r>
    </w:p>
    <w:p>
      <w:pPr>
        <w:spacing w:before="163" w:after="163"/>
        <w:ind w:firstLine="480"/>
        <w:rPr>
          <w:rStyle w:val="102"/>
          <w:rFonts w:cs="Times New Roman"/>
        </w:rPr>
      </w:pPr>
      <w:r>
        <w:rPr>
          <w:rStyle w:val="102"/>
          <w:rFonts w:hint="eastAsia" w:hAnsi="宋体" w:cs="Times New Roman"/>
        </w:rPr>
        <w:t>中远</w:t>
      </w:r>
      <w:r>
        <w:rPr>
          <w:rStyle w:val="102"/>
          <w:rFonts w:hAnsi="宋体" w:cs="Times New Roman"/>
        </w:rPr>
        <w:t>期：</w:t>
      </w:r>
      <w:r>
        <w:rPr>
          <w:rStyle w:val="102"/>
          <w:rFonts w:cs="Times New Roman"/>
        </w:rPr>
        <w:t>2020</w:t>
      </w:r>
      <w:r>
        <w:rPr>
          <w:rStyle w:val="102"/>
          <w:rFonts w:hAnsi="宋体" w:cs="Times New Roman"/>
        </w:rPr>
        <w:t>～</w:t>
      </w:r>
      <w:r>
        <w:rPr>
          <w:rStyle w:val="102"/>
          <w:rFonts w:cs="Times New Roman"/>
        </w:rPr>
        <w:t>2030</w:t>
      </w:r>
      <w:r>
        <w:rPr>
          <w:rStyle w:val="102"/>
          <w:rFonts w:hAnsi="宋体" w:cs="Times New Roman"/>
        </w:rPr>
        <w:t>年</w:t>
      </w:r>
    </w:p>
    <w:p>
      <w:pPr>
        <w:pStyle w:val="4"/>
        <w:spacing w:before="163" w:after="163"/>
      </w:pPr>
      <w:bookmarkStart w:id="9" w:name="_Toc518573642"/>
      <w:r>
        <w:rPr>
          <w:rFonts w:hint="eastAsia"/>
        </w:rPr>
        <w:t>1.3 规划指导思想和原则</w:t>
      </w:r>
      <w:bookmarkEnd w:id="9"/>
    </w:p>
    <w:p>
      <w:pPr>
        <w:pStyle w:val="5"/>
        <w:spacing w:before="163" w:after="163"/>
      </w:pPr>
      <w:bookmarkStart w:id="10" w:name="_Toc518573643"/>
      <w:r>
        <w:rPr>
          <w:rFonts w:hint="eastAsia"/>
        </w:rPr>
        <w:t>1.3.1 指导</w:t>
      </w:r>
      <w:r>
        <w:t>思想</w:t>
      </w:r>
      <w:bookmarkEnd w:id="10"/>
    </w:p>
    <w:p>
      <w:pPr>
        <w:spacing w:before="163" w:after="163"/>
        <w:ind w:firstLine="480"/>
        <w:rPr>
          <w:rFonts w:cs="Times New Roman"/>
        </w:rPr>
      </w:pPr>
      <w:r>
        <w:rPr>
          <w:rFonts w:hint="eastAsia" w:cs="Times New Roman"/>
        </w:rPr>
        <w:t>深入贯彻落实党的十九大精神，以“建设交通强国”为宗旨，以“公交优先”的政策为导向，以提高公交吸引力、方便市民出行和缓解城市道路交通拥堵为目标，加强政府对城市公交的扶持力度，优化线网，完善场站布局，</w:t>
      </w:r>
      <w:r>
        <w:rPr>
          <w:rFonts w:hint="eastAsia" w:ascii="宋体" w:hAnsi="宋体" w:cs="Times New Roman"/>
        </w:rPr>
        <w:t>努力打造绿色低碳、经济可靠、高效便捷、安全舒适</w:t>
      </w:r>
      <w:r>
        <w:rPr>
          <w:rFonts w:ascii="宋体" w:hAnsi="宋体" w:cs="Times New Roman"/>
        </w:rPr>
        <w:t>的城市公交系统</w:t>
      </w:r>
      <w:r>
        <w:rPr>
          <w:rFonts w:hint="eastAsia" w:ascii="宋体" w:hAnsi="宋体" w:cs="Times New Roman"/>
        </w:rPr>
        <w:t>，</w:t>
      </w:r>
      <w:r>
        <w:rPr>
          <w:rFonts w:ascii="宋体" w:hAnsi="宋体" w:cs="Times New Roman"/>
        </w:rPr>
        <w:t>使公共交通成为群众出行的优先选择。</w:t>
      </w:r>
    </w:p>
    <w:p>
      <w:pPr>
        <w:pStyle w:val="5"/>
        <w:spacing w:before="163" w:after="163"/>
      </w:pPr>
      <w:bookmarkStart w:id="11" w:name="_Toc518573644"/>
      <w:r>
        <w:rPr>
          <w:rFonts w:hint="eastAsia"/>
        </w:rPr>
        <w:t>1.3.2 基本原则</w:t>
      </w:r>
      <w:bookmarkEnd w:id="11"/>
    </w:p>
    <w:p>
      <w:pPr>
        <w:spacing w:before="163" w:after="163"/>
        <w:ind w:firstLine="480"/>
        <w:rPr>
          <w:rStyle w:val="102"/>
          <w:rFonts w:ascii="宋体" w:hAnsi="宋体"/>
        </w:rPr>
      </w:pPr>
      <w:r>
        <w:rPr>
          <w:rStyle w:val="102"/>
          <w:rFonts w:cs="Times New Roman"/>
        </w:rPr>
        <w:t>（</w:t>
      </w:r>
      <w:r>
        <w:rPr>
          <w:rFonts w:cs="Times New Roman"/>
        </w:rPr>
        <w:t>1</w:t>
      </w:r>
      <w:r>
        <w:rPr>
          <w:rStyle w:val="102"/>
          <w:rFonts w:cs="Times New Roman"/>
        </w:rPr>
        <w:t>）</w:t>
      </w:r>
      <w:r>
        <w:rPr>
          <w:rStyle w:val="102"/>
          <w:rFonts w:hint="eastAsia" w:ascii="宋体" w:hAnsi="宋体"/>
          <w:b/>
        </w:rPr>
        <w:t>坚持因地制宜的原则。</w:t>
      </w:r>
      <w:r>
        <w:rPr>
          <w:rStyle w:val="102"/>
          <w:rFonts w:hint="eastAsia" w:ascii="宋体" w:hAnsi="宋体"/>
        </w:rPr>
        <w:t>以资阳市城市总体规划、总体交通规划为指导，立足于资阳的城市发展现状，将线网规划、场站布局规划与城市现状、城市总体规划和总体交通规划结合起来，在规划过程中实事求是，因地制宜，合理实施线网调整、场站建设、运力的调整等。</w:t>
      </w:r>
    </w:p>
    <w:p>
      <w:pPr>
        <w:spacing w:before="163" w:after="163"/>
        <w:ind w:firstLine="480"/>
        <w:rPr>
          <w:szCs w:val="24"/>
        </w:rPr>
      </w:pPr>
      <w:r>
        <w:rPr>
          <w:rStyle w:val="102"/>
          <w:rFonts w:cs="Times New Roman"/>
        </w:rPr>
        <w:t>（2）</w:t>
      </w:r>
      <w:r>
        <w:rPr>
          <w:rStyle w:val="102"/>
          <w:rFonts w:hint="eastAsia" w:ascii="宋体" w:hAnsi="宋体"/>
          <w:b/>
        </w:rPr>
        <w:t>坚持以人为本的原则。</w:t>
      </w:r>
      <w:r>
        <w:rPr>
          <w:rStyle w:val="102"/>
          <w:rFonts w:hint="eastAsia" w:ascii="宋体" w:hAnsi="宋体"/>
        </w:rPr>
        <w:t>城市公交发展的宗旨是方便市民出行，在线网、场站等的布局规划过程中，应该本着“以人为本，普遍服务”的宗旨，扩大公交站点的覆盖率，减少换乘距离，</w:t>
      </w:r>
      <w:r>
        <w:rPr>
          <w:szCs w:val="24"/>
        </w:rPr>
        <w:t>采取低票价、优服务和政府补贴的经营模式</w:t>
      </w:r>
      <w:r>
        <w:rPr>
          <w:rFonts w:hint="eastAsia"/>
          <w:szCs w:val="24"/>
        </w:rPr>
        <w:t>。</w:t>
      </w:r>
    </w:p>
    <w:p>
      <w:pPr>
        <w:spacing w:before="163" w:after="163"/>
        <w:ind w:firstLine="480"/>
        <w:rPr>
          <w:rStyle w:val="102"/>
          <w:rFonts w:ascii="宋体" w:hAnsi="宋体"/>
        </w:rPr>
      </w:pPr>
      <w:r>
        <w:rPr>
          <w:rFonts w:hint="eastAsia"/>
          <w:szCs w:val="24"/>
        </w:rPr>
        <w:t>（3）</w:t>
      </w:r>
      <w:r>
        <w:rPr>
          <w:rFonts w:hint="eastAsia"/>
          <w:b/>
          <w:szCs w:val="24"/>
        </w:rPr>
        <w:t>坚持“公交优先”的原则。</w:t>
      </w:r>
      <w:r>
        <w:rPr>
          <w:rFonts w:hint="eastAsia"/>
          <w:szCs w:val="24"/>
        </w:rPr>
        <w:t>城市公交具有</w:t>
      </w:r>
      <w:r>
        <w:rPr>
          <w:szCs w:val="24"/>
        </w:rPr>
        <w:t>节能、高效、环保的特点</w:t>
      </w:r>
      <w:r>
        <w:rPr>
          <w:rFonts w:hint="eastAsia"/>
          <w:szCs w:val="24"/>
        </w:rPr>
        <w:t>，与</w:t>
      </w:r>
      <w:r>
        <w:rPr>
          <w:szCs w:val="24"/>
        </w:rPr>
        <w:t>国家节能减排的发展要求相契合</w:t>
      </w:r>
      <w:r>
        <w:rPr>
          <w:rFonts w:hint="eastAsia"/>
          <w:szCs w:val="24"/>
        </w:rPr>
        <w:t>。</w:t>
      </w:r>
      <w:r>
        <w:rPr>
          <w:rStyle w:val="102"/>
          <w:rFonts w:hint="eastAsia" w:ascii="宋体" w:hAnsi="宋体"/>
        </w:rPr>
        <w:t>政府</w:t>
      </w:r>
      <w:r>
        <w:rPr>
          <w:rStyle w:val="102"/>
          <w:rFonts w:ascii="宋体" w:hAnsi="宋体"/>
        </w:rPr>
        <w:t>应</w:t>
      </w:r>
      <w:r>
        <w:rPr>
          <w:rStyle w:val="102"/>
          <w:rFonts w:hint="eastAsia" w:ascii="宋体" w:hAnsi="宋体"/>
        </w:rPr>
        <w:t>树立公共交通</w:t>
      </w:r>
      <w:r>
        <w:rPr>
          <w:rStyle w:val="102"/>
          <w:rFonts w:ascii="宋体" w:hAnsi="宋体"/>
        </w:rPr>
        <w:t>优先发展</w:t>
      </w:r>
      <w:r>
        <w:rPr>
          <w:rStyle w:val="102"/>
          <w:rFonts w:hint="eastAsia" w:ascii="宋体" w:hAnsi="宋体"/>
        </w:rPr>
        <w:t>的</w:t>
      </w:r>
      <w:r>
        <w:rPr>
          <w:rStyle w:val="102"/>
          <w:rFonts w:ascii="宋体" w:hAnsi="宋体"/>
        </w:rPr>
        <w:t>理念，</w:t>
      </w:r>
      <w:r>
        <w:rPr>
          <w:rStyle w:val="102"/>
          <w:rFonts w:hint="eastAsia" w:ascii="宋体" w:hAnsi="宋体"/>
        </w:rPr>
        <w:t>制定</w:t>
      </w:r>
      <w:r>
        <w:rPr>
          <w:rStyle w:val="102"/>
          <w:rFonts w:ascii="宋体" w:hAnsi="宋体"/>
        </w:rPr>
        <w:t>“</w:t>
      </w:r>
      <w:r>
        <w:rPr>
          <w:rStyle w:val="102"/>
          <w:rFonts w:hint="eastAsia" w:ascii="宋体" w:hAnsi="宋体"/>
        </w:rPr>
        <w:t>公交优先</w:t>
      </w:r>
      <w:r>
        <w:rPr>
          <w:rStyle w:val="102"/>
          <w:rFonts w:ascii="宋体" w:hAnsi="宋体"/>
        </w:rPr>
        <w:t>”</w:t>
      </w:r>
      <w:r>
        <w:rPr>
          <w:rStyle w:val="102"/>
          <w:rFonts w:hint="eastAsia" w:ascii="宋体" w:hAnsi="宋体"/>
        </w:rPr>
        <w:t>相关</w:t>
      </w:r>
      <w:r>
        <w:rPr>
          <w:rStyle w:val="102"/>
          <w:rFonts w:ascii="宋体" w:hAnsi="宋体"/>
        </w:rPr>
        <w:t>政策，从规划编制、基础设施建设、</w:t>
      </w:r>
      <w:r>
        <w:rPr>
          <w:rStyle w:val="102"/>
          <w:rFonts w:hint="eastAsia" w:ascii="宋体" w:hAnsi="宋体"/>
        </w:rPr>
        <w:t>路权</w:t>
      </w:r>
      <w:r>
        <w:rPr>
          <w:rStyle w:val="102"/>
          <w:rFonts w:ascii="宋体" w:hAnsi="宋体"/>
        </w:rPr>
        <w:t>优先、</w:t>
      </w:r>
      <w:r>
        <w:rPr>
          <w:rStyle w:val="102"/>
          <w:rFonts w:hint="eastAsia" w:ascii="宋体" w:hAnsi="宋体"/>
        </w:rPr>
        <w:t>运营管理、财税补贴</w:t>
      </w:r>
      <w:r>
        <w:rPr>
          <w:rStyle w:val="102"/>
          <w:rFonts w:ascii="宋体" w:hAnsi="宋体"/>
        </w:rPr>
        <w:t>等方面</w:t>
      </w:r>
      <w:r>
        <w:rPr>
          <w:rStyle w:val="102"/>
          <w:rFonts w:hint="eastAsia" w:ascii="宋体" w:hAnsi="宋体"/>
        </w:rPr>
        <w:t>加强对</w:t>
      </w:r>
      <w:r>
        <w:rPr>
          <w:rStyle w:val="102"/>
          <w:rFonts w:ascii="宋体" w:hAnsi="宋体"/>
        </w:rPr>
        <w:t>公共交通</w:t>
      </w:r>
      <w:r>
        <w:rPr>
          <w:rStyle w:val="102"/>
          <w:rFonts w:hint="eastAsia" w:ascii="宋体" w:hAnsi="宋体"/>
        </w:rPr>
        <w:t>资源</w:t>
      </w:r>
      <w:r>
        <w:rPr>
          <w:rStyle w:val="102"/>
          <w:rFonts w:ascii="宋体" w:hAnsi="宋体"/>
        </w:rPr>
        <w:t>的引导配置</w:t>
      </w:r>
      <w:r>
        <w:rPr>
          <w:rStyle w:val="102"/>
          <w:rFonts w:hint="eastAsia" w:ascii="宋体" w:hAnsi="宋体"/>
        </w:rPr>
        <w:t>，以</w:t>
      </w:r>
      <w:r>
        <w:rPr>
          <w:rStyle w:val="102"/>
          <w:rFonts w:ascii="宋体" w:hAnsi="宋体"/>
        </w:rPr>
        <w:t>促进城市公交</w:t>
      </w:r>
      <w:r>
        <w:rPr>
          <w:rStyle w:val="102"/>
          <w:rFonts w:hint="eastAsia" w:ascii="宋体" w:hAnsi="宋体"/>
        </w:rPr>
        <w:t>持续</w:t>
      </w:r>
      <w:r>
        <w:rPr>
          <w:rStyle w:val="102"/>
          <w:rFonts w:ascii="宋体" w:hAnsi="宋体"/>
        </w:rPr>
        <w:t>、稳定、健康发展。</w:t>
      </w:r>
    </w:p>
    <w:p>
      <w:pPr>
        <w:spacing w:before="163" w:after="163"/>
        <w:ind w:firstLine="480"/>
        <w:rPr>
          <w:rStyle w:val="102"/>
          <w:rFonts w:ascii="宋体" w:hAnsi="宋体"/>
        </w:rPr>
      </w:pPr>
      <w:r>
        <w:rPr>
          <w:rStyle w:val="102"/>
          <w:rFonts w:hint="eastAsia" w:ascii="宋体" w:hAnsi="宋体"/>
        </w:rPr>
        <w:t>（</w:t>
      </w:r>
      <w:r>
        <w:rPr>
          <w:rFonts w:hint="eastAsia"/>
        </w:rPr>
        <w:t>4</w:t>
      </w:r>
      <w:r>
        <w:rPr>
          <w:rStyle w:val="102"/>
          <w:rFonts w:hint="eastAsia" w:ascii="宋体" w:hAnsi="宋体"/>
        </w:rPr>
        <w:t>）</w:t>
      </w:r>
      <w:r>
        <w:rPr>
          <w:rStyle w:val="102"/>
          <w:rFonts w:hint="eastAsia" w:ascii="宋体" w:hAnsi="宋体"/>
          <w:b/>
        </w:rPr>
        <w:t>坚持缓堵保畅</w:t>
      </w:r>
      <w:r>
        <w:rPr>
          <w:rStyle w:val="102"/>
          <w:rFonts w:ascii="宋体" w:hAnsi="宋体"/>
          <w:b/>
        </w:rPr>
        <w:t>的原则。</w:t>
      </w:r>
      <w:r>
        <w:rPr>
          <w:rStyle w:val="102"/>
          <w:rFonts w:hint="eastAsia" w:ascii="宋体" w:hAnsi="宋体"/>
        </w:rPr>
        <w:t>通过科学的规划以及合理的实施，降低现有线路的非直线系数和重复系数，提高公交车辆准点率和可靠性，提升公交服务水平，减少小汽车分担率，缓解城市拥堵。</w:t>
      </w:r>
    </w:p>
    <w:p>
      <w:pPr>
        <w:pStyle w:val="4"/>
        <w:spacing w:before="163" w:after="163"/>
      </w:pPr>
      <w:bookmarkStart w:id="12" w:name="_Toc518573645"/>
      <w:r>
        <w:rPr>
          <w:rFonts w:hint="eastAsia"/>
        </w:rPr>
        <w:t>1.4 规划内容</w:t>
      </w:r>
      <w:bookmarkEnd w:id="12"/>
    </w:p>
    <w:p>
      <w:pPr>
        <w:spacing w:before="163" w:after="163"/>
        <w:ind w:firstLine="480"/>
      </w:pPr>
      <w:r>
        <w:t>通过前期调研</w:t>
      </w:r>
      <w:r>
        <w:rPr>
          <w:rFonts w:hint="eastAsia"/>
        </w:rPr>
        <w:t>，在</w:t>
      </w:r>
      <w:r>
        <w:t>了解资阳市土地利用现状</w:t>
      </w:r>
      <w:r>
        <w:rPr>
          <w:rFonts w:hint="eastAsia"/>
        </w:rPr>
        <w:t>和</w:t>
      </w:r>
      <w:r>
        <w:t>公共交通发展概况的基础上</w:t>
      </w:r>
      <w:r>
        <w:rPr>
          <w:rFonts w:hint="eastAsia"/>
        </w:rPr>
        <w:t>，</w:t>
      </w:r>
      <w:r>
        <w:t>梳理资阳中心城区公交线网布局</w:t>
      </w:r>
      <w:r>
        <w:rPr>
          <w:rFonts w:hint="eastAsia"/>
        </w:rPr>
        <w:t>、站点设施、配套设施、服务水平等方面基本情况，</w:t>
      </w:r>
      <w:r>
        <w:t>并</w:t>
      </w:r>
      <w:r>
        <w:rPr>
          <w:rFonts w:hint="eastAsia"/>
        </w:rPr>
        <w:t>结合未来城市总体规划和产业布局规划，对中心城区公交的线网和站点布局进行规划。具体内容主要分为以下五个方面：</w:t>
      </w:r>
    </w:p>
    <w:p>
      <w:pPr>
        <w:spacing w:before="163" w:after="163"/>
        <w:ind w:firstLine="480"/>
        <w:rPr>
          <w:rFonts w:cs="Times New Roman"/>
        </w:rPr>
      </w:pPr>
      <w:r>
        <w:rPr>
          <w:rFonts w:hint="eastAsia"/>
        </w:rPr>
        <w:t>（1）</w:t>
      </w:r>
      <w:r>
        <w:rPr>
          <w:rFonts w:hint="eastAsia" w:ascii="宋体" w:hAnsi="宋体"/>
        </w:rPr>
        <w:t>现状分析</w:t>
      </w:r>
      <w:r>
        <w:rPr>
          <w:rFonts w:hint="eastAsia"/>
        </w:rPr>
        <w:t>：通过全面收集、实地调研城区公共交通的相关资料，掌握资阳市</w:t>
      </w:r>
      <w:r>
        <w:rPr>
          <w:rFonts w:cs="Times New Roman"/>
        </w:rPr>
        <w:t>公共交通发展现状，并分析存在的问题；</w:t>
      </w:r>
    </w:p>
    <w:p>
      <w:pPr>
        <w:spacing w:before="163" w:after="163"/>
        <w:ind w:firstLine="480"/>
        <w:rPr>
          <w:rFonts w:ascii="宋体" w:hAnsi="宋体"/>
        </w:rPr>
      </w:pPr>
      <w:r>
        <w:rPr>
          <w:rFonts w:hAnsi="Arial" w:cs="Times New Roman"/>
        </w:rPr>
        <w:t>（</w:t>
      </w:r>
      <w:r>
        <w:rPr>
          <w:rFonts w:cs="Times New Roman"/>
        </w:rPr>
        <w:t>2</w:t>
      </w:r>
      <w:r>
        <w:rPr>
          <w:rFonts w:hAnsi="Arial" w:cs="Times New Roman"/>
        </w:rPr>
        <w:t>）公</w:t>
      </w:r>
      <w:r>
        <w:rPr>
          <w:rFonts w:hint="eastAsia" w:ascii="Arial" w:hAnsi="Arial" w:cs="Arial"/>
        </w:rPr>
        <w:t>共</w:t>
      </w:r>
      <w:r>
        <w:rPr>
          <w:rFonts w:hint="eastAsia" w:ascii="宋体" w:hAnsi="宋体"/>
        </w:rPr>
        <w:t>交通需求分析：在综合分析城市总体规划、产业布局规划、道路网规划等规划的基础上，采用定性与定量相结合的方法分析预测未来公共交通的需求；</w:t>
      </w:r>
    </w:p>
    <w:p>
      <w:pPr>
        <w:spacing w:before="163" w:after="163"/>
        <w:ind w:firstLine="480"/>
        <w:rPr>
          <w:rFonts w:ascii="宋体" w:hAnsi="宋体"/>
        </w:rPr>
      </w:pPr>
      <w:r>
        <w:rPr>
          <w:rFonts w:hint="eastAsia" w:ascii="宋体" w:hAnsi="宋体"/>
        </w:rPr>
        <w:t>（</w:t>
      </w:r>
      <w:r>
        <w:rPr>
          <w:rFonts w:hint="eastAsia" w:hAnsi="Arial" w:cs="Times New Roman"/>
        </w:rPr>
        <w:t>3</w:t>
      </w:r>
      <w:r>
        <w:rPr>
          <w:rFonts w:hint="eastAsia" w:ascii="宋体" w:hAnsi="宋体"/>
        </w:rPr>
        <w:t>）公交发展目标：以城市总体规划为指导，借鉴国内外先进城市和同等发展水平城市的发展经验，确定资阳市城市交通发展模式，并以此确定公共交通战略思路和目标；</w:t>
      </w:r>
    </w:p>
    <w:p>
      <w:pPr>
        <w:spacing w:before="163" w:after="163"/>
        <w:ind w:firstLine="480"/>
        <w:rPr>
          <w:rFonts w:ascii="宋体" w:hAnsi="宋体"/>
        </w:rPr>
      </w:pPr>
      <w:r>
        <w:rPr>
          <w:rFonts w:hint="eastAsia" w:ascii="宋体" w:hAnsi="宋体"/>
        </w:rPr>
        <w:t>（</w:t>
      </w:r>
      <w:r>
        <w:rPr>
          <w:rFonts w:hint="eastAsia" w:hAnsi="Arial" w:cs="Times New Roman"/>
        </w:rPr>
        <w:t>4</w:t>
      </w:r>
      <w:r>
        <w:rPr>
          <w:rFonts w:hint="eastAsia" w:ascii="宋体" w:hAnsi="宋体"/>
        </w:rPr>
        <w:t>）公共交通规划：以公交现状为基础，以战略目标为指导，以公交需求为依据，对城区公交线网、公交场站布局、公交</w:t>
      </w:r>
      <w:r>
        <w:rPr>
          <w:rFonts w:ascii="宋体" w:hAnsi="宋体"/>
        </w:rPr>
        <w:t>运力</w:t>
      </w:r>
      <w:r>
        <w:rPr>
          <w:rFonts w:hint="eastAsia" w:ascii="宋体" w:hAnsi="宋体"/>
        </w:rPr>
        <w:t>、</w:t>
      </w:r>
      <w:r>
        <w:rPr>
          <w:rFonts w:ascii="宋体" w:hAnsi="宋体"/>
        </w:rPr>
        <w:t>公</w:t>
      </w:r>
      <w:r>
        <w:rPr>
          <w:rFonts w:hint="eastAsia" w:ascii="宋体" w:hAnsi="宋体"/>
        </w:rPr>
        <w:t>交</w:t>
      </w:r>
      <w:r>
        <w:rPr>
          <w:rFonts w:ascii="宋体" w:hAnsi="宋体"/>
        </w:rPr>
        <w:t>信息化、公交专用道</w:t>
      </w:r>
      <w:r>
        <w:rPr>
          <w:rFonts w:hint="eastAsia" w:ascii="宋体" w:hAnsi="宋体"/>
        </w:rPr>
        <w:t>进行系统规划研究；</w:t>
      </w:r>
    </w:p>
    <w:p>
      <w:pPr>
        <w:spacing w:before="163" w:after="163"/>
        <w:ind w:firstLine="480"/>
      </w:pPr>
      <w:r>
        <w:rPr>
          <w:rFonts w:hAnsi="宋体" w:cs="Times New Roman"/>
        </w:rPr>
        <w:t>（</w:t>
      </w:r>
      <w:r>
        <w:rPr>
          <w:rFonts w:cs="Times New Roman"/>
        </w:rPr>
        <w:t>5</w:t>
      </w:r>
      <w:r>
        <w:rPr>
          <w:rFonts w:hAnsi="宋体" w:cs="Times New Roman"/>
        </w:rPr>
        <w:t>）</w:t>
      </w:r>
      <w:r>
        <w:rPr>
          <w:rFonts w:hint="eastAsia" w:ascii="宋体" w:hAnsi="宋体"/>
        </w:rPr>
        <w:t>保障</w:t>
      </w:r>
      <w:r>
        <w:rPr>
          <w:rFonts w:hint="eastAsia"/>
        </w:rPr>
        <w:t>措施：根据资阳市公共交通发展现状环境，提出相关保障措施以促进公交规划得到顺利实施。</w:t>
      </w:r>
    </w:p>
    <w:p>
      <w:pPr>
        <w:pStyle w:val="4"/>
        <w:spacing w:before="163" w:after="163"/>
      </w:pPr>
      <w:bookmarkStart w:id="13" w:name="_Toc518573646"/>
      <w:r>
        <w:rPr>
          <w:rFonts w:hint="eastAsia"/>
        </w:rPr>
        <w:t>1.5</w:t>
      </w:r>
      <w:r>
        <w:t xml:space="preserve"> </w:t>
      </w:r>
      <w:r>
        <w:rPr>
          <w:rFonts w:hint="eastAsia"/>
        </w:rPr>
        <w:t>规划成果</w:t>
      </w:r>
      <w:bookmarkEnd w:id="13"/>
    </w:p>
    <w:p>
      <w:pPr>
        <w:spacing w:before="163" w:after="163"/>
        <w:ind w:firstLine="480"/>
        <w:rPr>
          <w:rFonts w:cs="Times New Roman"/>
        </w:rPr>
      </w:pPr>
      <w:r>
        <w:rPr>
          <w:rFonts w:hint="eastAsia" w:cs="Times New Roman"/>
        </w:rPr>
        <w:t>截至目前，资阳市中心城区拥有公交线路1</w:t>
      </w:r>
      <w:r>
        <w:rPr>
          <w:rFonts w:cs="Times New Roman"/>
        </w:rPr>
        <w:t>7</w:t>
      </w:r>
      <w:r>
        <w:rPr>
          <w:rFonts w:hint="eastAsia" w:cs="Times New Roman"/>
        </w:rPr>
        <w:t>条（不含高铁公交夜班线，不含区间车，下同），线路总长度为239.8公里，线网总里程79公里，配备车辆总数20</w:t>
      </w:r>
      <w:r>
        <w:rPr>
          <w:rFonts w:cs="Times New Roman"/>
        </w:rPr>
        <w:t>6</w:t>
      </w:r>
      <w:r>
        <w:rPr>
          <w:rFonts w:hint="eastAsia" w:cs="Times New Roman"/>
        </w:rPr>
        <w:t>台，折合标准车</w:t>
      </w:r>
      <w:r>
        <w:rPr>
          <w:rFonts w:cs="Times New Roman"/>
        </w:rPr>
        <w:t>267.8</w:t>
      </w:r>
      <w:r>
        <w:rPr>
          <w:rFonts w:hint="eastAsia" w:cs="Times New Roman"/>
        </w:rPr>
        <w:t>台，公交车拥有水平为</w:t>
      </w:r>
      <w:r>
        <w:rPr>
          <w:rFonts w:cs="Times New Roman"/>
        </w:rPr>
        <w:t>7.7标台</w:t>
      </w:r>
      <w:r>
        <w:rPr>
          <w:rFonts w:hint="eastAsia" w:cs="Times New Roman"/>
        </w:rPr>
        <w:t>/万人。</w:t>
      </w:r>
    </w:p>
    <w:p>
      <w:pPr>
        <w:spacing w:before="163" w:after="163"/>
        <w:ind w:firstLine="480"/>
        <w:rPr>
          <w:color w:val="auto"/>
        </w:rPr>
      </w:pPr>
      <w:r>
        <w:rPr>
          <w:rFonts w:cs="Times New Roman"/>
          <w:color w:val="auto"/>
        </w:rPr>
        <w:t>规划至</w:t>
      </w:r>
      <w:r>
        <w:rPr>
          <w:rFonts w:hint="eastAsia" w:cs="Times New Roman"/>
          <w:color w:val="auto"/>
        </w:rPr>
        <w:t>202</w:t>
      </w:r>
      <w:r>
        <w:rPr>
          <w:rFonts w:cs="Times New Roman"/>
          <w:color w:val="auto"/>
        </w:rPr>
        <w:t>0年</w:t>
      </w:r>
      <w:r>
        <w:rPr>
          <w:rFonts w:hint="eastAsia" w:cs="Times New Roman"/>
          <w:color w:val="auto"/>
        </w:rPr>
        <w:t>，</w:t>
      </w:r>
      <w:r>
        <w:rPr>
          <w:rFonts w:cs="Times New Roman"/>
          <w:color w:val="auto"/>
        </w:rPr>
        <w:t>资阳市</w:t>
      </w:r>
      <w:r>
        <w:rPr>
          <w:color w:val="auto"/>
        </w:rPr>
        <w:t>公交线路达到</w:t>
      </w:r>
      <w:r>
        <w:rPr>
          <w:rFonts w:hint="eastAsia"/>
          <w:color w:val="auto"/>
        </w:rPr>
        <w:t>1</w:t>
      </w:r>
      <w:r>
        <w:rPr>
          <w:color w:val="auto"/>
        </w:rPr>
        <w:t>8</w:t>
      </w:r>
      <w:r>
        <w:rPr>
          <w:rFonts w:hint="eastAsia"/>
          <w:color w:val="auto"/>
        </w:rPr>
        <w:t>条</w:t>
      </w:r>
      <w:r>
        <w:rPr>
          <w:color w:val="auto"/>
        </w:rPr>
        <w:t>，</w:t>
      </w:r>
      <w:r>
        <w:rPr>
          <w:rFonts w:hint="eastAsia"/>
          <w:color w:val="auto"/>
        </w:rPr>
        <w:t>形成</w:t>
      </w:r>
      <w:r>
        <w:rPr>
          <w:rFonts w:ascii="宋体" w:hAnsi="宋体"/>
          <w:color w:val="auto"/>
        </w:rPr>
        <w:t>“</w:t>
      </w:r>
      <w:r>
        <w:rPr>
          <w:rFonts w:hint="eastAsia"/>
          <w:color w:val="auto"/>
        </w:rPr>
        <w:t>2+4+</w:t>
      </w:r>
      <w:r>
        <w:rPr>
          <w:color w:val="auto"/>
        </w:rPr>
        <w:t>12</w:t>
      </w:r>
      <w:r>
        <w:rPr>
          <w:rFonts w:ascii="宋体" w:hAnsi="宋体"/>
          <w:color w:val="auto"/>
        </w:rPr>
        <w:t>”</w:t>
      </w:r>
      <w:r>
        <w:rPr>
          <w:rFonts w:hint="eastAsia" w:ascii="宋体" w:hAnsi="宋体"/>
          <w:color w:val="auto"/>
        </w:rPr>
        <w:t>的</w:t>
      </w:r>
      <w:r>
        <w:rPr>
          <w:rFonts w:ascii="宋体" w:hAnsi="宋体"/>
          <w:color w:val="auto"/>
        </w:rPr>
        <w:t>公交网络，</w:t>
      </w:r>
      <w:r>
        <w:rPr>
          <w:rFonts w:hint="eastAsia" w:ascii="宋体" w:hAnsi="宋体"/>
          <w:color w:val="auto"/>
        </w:rPr>
        <w:t>线路</w:t>
      </w:r>
      <w:r>
        <w:rPr>
          <w:rFonts w:ascii="宋体" w:hAnsi="宋体"/>
          <w:color w:val="auto"/>
        </w:rPr>
        <w:t>总</w:t>
      </w:r>
      <w:r>
        <w:rPr>
          <w:rFonts w:hint="eastAsia" w:ascii="宋体" w:hAnsi="宋体"/>
          <w:color w:val="auto"/>
        </w:rPr>
        <w:t>长度为</w:t>
      </w:r>
      <w:r>
        <w:rPr>
          <w:rFonts w:hint="eastAsia"/>
          <w:color w:val="auto"/>
        </w:rPr>
        <w:t>2</w:t>
      </w:r>
      <w:r>
        <w:rPr>
          <w:color w:val="auto"/>
        </w:rPr>
        <w:t>40.36</w:t>
      </w:r>
      <w:r>
        <w:rPr>
          <w:rFonts w:hint="eastAsia" w:ascii="宋体" w:hAnsi="宋体"/>
          <w:color w:val="auto"/>
        </w:rPr>
        <w:t>公里</w:t>
      </w:r>
      <w:r>
        <w:rPr>
          <w:rFonts w:ascii="宋体" w:hAnsi="宋体"/>
          <w:color w:val="auto"/>
        </w:rPr>
        <w:t>，配备车辆</w:t>
      </w:r>
      <w:r>
        <w:rPr>
          <w:rFonts w:hint="eastAsia"/>
          <w:color w:val="C00000"/>
        </w:rPr>
        <w:t>440</w:t>
      </w:r>
      <w:r>
        <w:rPr>
          <w:rFonts w:hint="eastAsia" w:ascii="宋体" w:hAnsi="宋体"/>
          <w:color w:val="auto"/>
        </w:rPr>
        <w:t>辆</w:t>
      </w:r>
      <w:r>
        <w:rPr>
          <w:rFonts w:ascii="宋体" w:hAnsi="宋体"/>
          <w:color w:val="auto"/>
        </w:rPr>
        <w:t>，</w:t>
      </w:r>
      <w:r>
        <w:rPr>
          <w:color w:val="auto"/>
        </w:rPr>
        <w:t>公交车拥有水平</w:t>
      </w:r>
      <w:r>
        <w:rPr>
          <w:rFonts w:hint="eastAsia"/>
          <w:color w:val="auto"/>
        </w:rPr>
        <w:t>达到</w:t>
      </w:r>
      <w:r>
        <w:rPr>
          <w:rFonts w:hint="eastAsia"/>
          <w:color w:val="C00000"/>
        </w:rPr>
        <w:t>1</w:t>
      </w:r>
      <w:r>
        <w:rPr>
          <w:color w:val="C00000"/>
        </w:rPr>
        <w:t>1.2</w:t>
      </w:r>
      <w:r>
        <w:rPr>
          <w:rFonts w:hint="eastAsia"/>
          <w:color w:val="auto"/>
        </w:rPr>
        <w:t>标台/万人。</w:t>
      </w:r>
    </w:p>
    <w:p>
      <w:pPr>
        <w:spacing w:before="163" w:after="163"/>
        <w:ind w:firstLine="480"/>
        <w:rPr>
          <w:rFonts w:cs="Times New Roman"/>
        </w:rPr>
      </w:pPr>
      <w:r>
        <w:rPr>
          <w:rFonts w:cs="Times New Roman"/>
        </w:rPr>
        <w:t>规划至</w:t>
      </w:r>
      <w:r>
        <w:rPr>
          <w:rFonts w:hint="eastAsia" w:cs="Times New Roman"/>
        </w:rPr>
        <w:t>20</w:t>
      </w:r>
      <w:r>
        <w:rPr>
          <w:rFonts w:cs="Times New Roman"/>
        </w:rPr>
        <w:t>30年</w:t>
      </w:r>
      <w:r>
        <w:rPr>
          <w:rFonts w:hint="eastAsia" w:cs="Times New Roman"/>
        </w:rPr>
        <w:t>，</w:t>
      </w:r>
      <w:r>
        <w:rPr>
          <w:rFonts w:cs="Times New Roman"/>
        </w:rPr>
        <w:t>资阳市</w:t>
      </w:r>
      <w:r>
        <w:t>公交线路达到</w:t>
      </w:r>
      <w:r>
        <w:rPr>
          <w:rFonts w:hint="eastAsia"/>
        </w:rPr>
        <w:t>2</w:t>
      </w:r>
      <w:r>
        <w:t>2</w:t>
      </w:r>
      <w:r>
        <w:rPr>
          <w:rFonts w:hint="eastAsia"/>
        </w:rPr>
        <w:t>条</w:t>
      </w:r>
      <w:r>
        <w:t>，</w:t>
      </w:r>
      <w:r>
        <w:rPr>
          <w:rFonts w:hint="eastAsia"/>
        </w:rPr>
        <w:t>形成</w:t>
      </w:r>
      <w:r>
        <w:rPr>
          <w:rFonts w:ascii="宋体" w:hAnsi="宋体"/>
        </w:rPr>
        <w:t>“</w:t>
      </w:r>
      <w:r>
        <w:rPr>
          <w:rFonts w:hint="eastAsia"/>
        </w:rPr>
        <w:t>4+</w:t>
      </w:r>
      <w:r>
        <w:t>4</w:t>
      </w:r>
      <w:r>
        <w:rPr>
          <w:rFonts w:hint="eastAsia"/>
        </w:rPr>
        <w:t>+1</w:t>
      </w:r>
      <w:r>
        <w:t>4</w:t>
      </w:r>
      <w:r>
        <w:rPr>
          <w:rFonts w:ascii="宋体" w:hAnsi="宋体"/>
        </w:rPr>
        <w:t>”</w:t>
      </w:r>
      <w:r>
        <w:rPr>
          <w:rFonts w:hint="eastAsia" w:ascii="宋体" w:hAnsi="宋体"/>
        </w:rPr>
        <w:t>的</w:t>
      </w:r>
      <w:r>
        <w:rPr>
          <w:rFonts w:ascii="宋体" w:hAnsi="宋体"/>
        </w:rPr>
        <w:t>公交网络，</w:t>
      </w:r>
      <w:r>
        <w:rPr>
          <w:rFonts w:hint="eastAsia" w:ascii="宋体" w:hAnsi="宋体"/>
        </w:rPr>
        <w:t>线路</w:t>
      </w:r>
      <w:r>
        <w:rPr>
          <w:rFonts w:ascii="宋体" w:hAnsi="宋体"/>
        </w:rPr>
        <w:t>总</w:t>
      </w:r>
      <w:r>
        <w:rPr>
          <w:rFonts w:hint="eastAsia" w:ascii="宋体" w:hAnsi="宋体"/>
        </w:rPr>
        <w:t>长度</w:t>
      </w:r>
      <w:r>
        <w:rPr>
          <w:rFonts w:ascii="宋体" w:hAnsi="宋体"/>
        </w:rPr>
        <w:t>达到</w:t>
      </w:r>
      <w:r>
        <w:rPr>
          <w:rFonts w:hint="eastAsia"/>
        </w:rPr>
        <w:t>3</w:t>
      </w:r>
      <w:r>
        <w:t>11.22</w:t>
      </w:r>
      <w:r>
        <w:rPr>
          <w:rFonts w:hint="eastAsia" w:ascii="宋体" w:hAnsi="宋体"/>
        </w:rPr>
        <w:t>公里</w:t>
      </w:r>
      <w:r>
        <w:rPr>
          <w:rFonts w:ascii="宋体" w:hAnsi="宋体"/>
        </w:rPr>
        <w:t>，配备车辆</w:t>
      </w:r>
      <w:r>
        <w:t>785</w:t>
      </w:r>
      <w:r>
        <w:rPr>
          <w:rFonts w:hint="eastAsia" w:ascii="宋体" w:hAnsi="宋体"/>
        </w:rPr>
        <w:t>辆</w:t>
      </w:r>
      <w:r>
        <w:rPr>
          <w:rFonts w:ascii="宋体" w:hAnsi="宋体"/>
        </w:rPr>
        <w:t>，</w:t>
      </w:r>
      <w:r>
        <w:t>公交车拥有水平</w:t>
      </w:r>
      <w:r>
        <w:rPr>
          <w:rFonts w:hint="eastAsia"/>
        </w:rPr>
        <w:t>达到</w:t>
      </w:r>
      <w:r>
        <w:t>11.7</w:t>
      </w:r>
      <w:r>
        <w:rPr>
          <w:rFonts w:hint="eastAsia"/>
        </w:rPr>
        <w:t>标台/万人。</w:t>
      </w:r>
    </w:p>
    <w:p>
      <w:pPr>
        <w:spacing w:before="163" w:after="163"/>
        <w:ind w:firstLine="480"/>
        <w:rPr>
          <w:rFonts w:cs="Times New Roman"/>
        </w:rPr>
      </w:pPr>
      <w:r>
        <w:rPr>
          <w:rFonts w:hint="eastAsia" w:cs="Times New Roman"/>
        </w:rPr>
        <w:t>具体规划情况见表1-1和表1-</w:t>
      </w:r>
      <w:r>
        <w:rPr>
          <w:rFonts w:cs="Times New Roman"/>
        </w:rPr>
        <w:t>2</w:t>
      </w:r>
      <w:r>
        <w:rPr>
          <w:rFonts w:hint="eastAsia" w:cs="Times New Roman"/>
        </w:rPr>
        <w:t>。</w:t>
      </w:r>
    </w:p>
    <w:p>
      <w:pPr>
        <w:pStyle w:val="113"/>
        <w:spacing w:before="163" w:after="163"/>
      </w:pPr>
      <w:bookmarkStart w:id="14" w:name="_Toc362543098"/>
      <w:r>
        <w:rPr>
          <w:rFonts w:hint="eastAsia"/>
        </w:rPr>
        <w:t>表1-1  资阳市近期（2018~</w:t>
      </w:r>
      <w:r>
        <w:t>2020</w:t>
      </w:r>
      <w:r>
        <w:rPr>
          <w:rFonts w:hint="eastAsia"/>
        </w:rPr>
        <w:t>）规划公交线网一览表</w:t>
      </w:r>
      <w:bookmarkEnd w:id="14"/>
    </w:p>
    <w:tbl>
      <w:tblPr>
        <w:tblStyle w:val="94"/>
        <w:tblW w:w="8306"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7"/>
        <w:gridCol w:w="1273"/>
        <w:gridCol w:w="2552"/>
        <w:gridCol w:w="1417"/>
        <w:gridCol w:w="851"/>
        <w:gridCol w:w="1076"/>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线路类别</w:t>
            </w:r>
          </w:p>
        </w:tc>
        <w:tc>
          <w:tcPr>
            <w:tcW w:w="1273"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线路编号</w:t>
            </w:r>
          </w:p>
        </w:tc>
        <w:tc>
          <w:tcPr>
            <w:tcW w:w="2552"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起讫点</w:t>
            </w:r>
          </w:p>
        </w:tc>
        <w:tc>
          <w:tcPr>
            <w:tcW w:w="1417"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线路长度（公里）</w:t>
            </w:r>
          </w:p>
        </w:tc>
        <w:tc>
          <w:tcPr>
            <w:tcW w:w="851"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配车数（辆）</w:t>
            </w:r>
          </w:p>
        </w:tc>
        <w:tc>
          <w:tcPr>
            <w:tcW w:w="1076"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方案类别</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restart"/>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快线</w:t>
            </w:r>
          </w:p>
        </w:tc>
        <w:tc>
          <w:tcPr>
            <w:tcW w:w="1273"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1</w:t>
            </w:r>
          </w:p>
        </w:tc>
        <w:tc>
          <w:tcPr>
            <w:tcW w:w="2552" w:type="dxa"/>
            <w:tcBorders>
              <w:top w:val="single" w:color="auto" w:sz="12" w:space="0"/>
            </w:tcBorders>
            <w:vAlign w:val="center"/>
          </w:tcPr>
          <w:p>
            <w:pPr>
              <w:pStyle w:val="123"/>
              <w:spacing w:before="0"/>
              <w:rPr>
                <w:rFonts w:ascii="Times New Roman" w:hAnsi="Times New Roman"/>
                <w:szCs w:val="21"/>
              </w:rPr>
            </w:pPr>
            <w:r>
              <w:rPr>
                <w:rFonts w:hint="eastAsia"/>
              </w:rPr>
              <w:t>成渝高速路口公交站—城东高铁站</w:t>
            </w:r>
          </w:p>
        </w:tc>
        <w:tc>
          <w:tcPr>
            <w:tcW w:w="1417"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rPr>
              <w:t>9.58</w:t>
            </w:r>
          </w:p>
        </w:tc>
        <w:tc>
          <w:tcPr>
            <w:tcW w:w="851" w:type="dxa"/>
            <w:tcBorders>
              <w:top w:val="single" w:color="auto" w:sz="12" w:space="0"/>
            </w:tcBorders>
            <w:vAlign w:val="center"/>
          </w:tcPr>
          <w:p>
            <w:pPr>
              <w:pStyle w:val="123"/>
              <w:spacing w:before="0"/>
              <w:rPr>
                <w:rFonts w:ascii="Times New Roman" w:hAnsi="Times New Roman"/>
                <w:color w:val="C00000"/>
                <w:szCs w:val="21"/>
              </w:rPr>
            </w:pPr>
            <w:r>
              <w:rPr>
                <w:rFonts w:hint="eastAsia" w:ascii="Times New Roman" w:hAnsi="Times New Roman"/>
                <w:color w:val="C00000"/>
                <w:szCs w:val="21"/>
              </w:rPr>
              <w:t>13</w:t>
            </w:r>
          </w:p>
        </w:tc>
        <w:tc>
          <w:tcPr>
            <w:tcW w:w="1076"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基本保持现状</w:t>
            </w:r>
            <w:r>
              <w:rPr>
                <w:rFonts w:hint="eastAsia" w:ascii="Times New Roman" w:hAnsi="Times New Roman"/>
                <w:szCs w:val="21"/>
              </w:rPr>
              <w:t>，</w:t>
            </w:r>
            <w:r>
              <w:rPr>
                <w:rFonts w:ascii="Times New Roman" w:hAnsi="Times New Roman"/>
                <w:szCs w:val="21"/>
              </w:rPr>
              <w:t>适当调整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2</w:t>
            </w:r>
          </w:p>
        </w:tc>
        <w:tc>
          <w:tcPr>
            <w:tcW w:w="2552" w:type="dxa"/>
            <w:vAlign w:val="center"/>
          </w:tcPr>
          <w:p>
            <w:pPr>
              <w:pStyle w:val="123"/>
              <w:spacing w:before="0"/>
              <w:rPr>
                <w:rFonts w:ascii="Times New Roman" w:hAnsi="Times New Roman"/>
                <w:szCs w:val="21"/>
              </w:rPr>
            </w:pPr>
            <w:r>
              <w:rPr>
                <w:rFonts w:hint="eastAsia"/>
              </w:rPr>
              <w:t>城东高铁站—教育园区</w:t>
            </w:r>
          </w:p>
        </w:tc>
        <w:tc>
          <w:tcPr>
            <w:tcW w:w="1417" w:type="dxa"/>
            <w:vAlign w:val="center"/>
          </w:tcPr>
          <w:p>
            <w:pPr>
              <w:pStyle w:val="123"/>
              <w:spacing w:before="0"/>
              <w:rPr>
                <w:rFonts w:ascii="Times New Roman" w:hAnsi="Times New Roman"/>
                <w:szCs w:val="21"/>
              </w:rPr>
            </w:pPr>
            <w:r>
              <w:rPr>
                <w:rFonts w:ascii="Times New Roman" w:hAnsi="Times New Roman"/>
              </w:rPr>
              <w:t>9.23</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13</w:t>
            </w:r>
          </w:p>
        </w:tc>
        <w:tc>
          <w:tcPr>
            <w:tcW w:w="1076" w:type="dxa"/>
            <w:vAlign w:val="center"/>
          </w:tcPr>
          <w:p>
            <w:pPr>
              <w:pStyle w:val="123"/>
              <w:spacing w:before="0"/>
              <w:rPr>
                <w:rFonts w:ascii="Times New Roman" w:hAnsi="Times New Roman"/>
                <w:szCs w:val="21"/>
              </w:rPr>
            </w:pPr>
            <w:r>
              <w:rPr>
                <w:rFonts w:ascii="Times New Roman" w:hAnsi="Times New Roman"/>
                <w:szCs w:val="21"/>
              </w:rPr>
              <w:t>基本保持现状</w:t>
            </w:r>
            <w:r>
              <w:rPr>
                <w:rFonts w:hint="eastAsia" w:ascii="Times New Roman" w:hAnsi="Times New Roman"/>
                <w:szCs w:val="21"/>
              </w:rPr>
              <w:t>，</w:t>
            </w:r>
            <w:r>
              <w:rPr>
                <w:rFonts w:ascii="Times New Roman" w:hAnsi="Times New Roman"/>
                <w:szCs w:val="21"/>
              </w:rPr>
              <w:t>适当调整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restart"/>
            <w:vAlign w:val="center"/>
          </w:tcPr>
          <w:p>
            <w:pPr>
              <w:pStyle w:val="123"/>
              <w:spacing w:before="0"/>
              <w:rPr>
                <w:rFonts w:ascii="Times New Roman" w:hAnsi="Times New Roman"/>
                <w:szCs w:val="21"/>
              </w:rPr>
            </w:pPr>
            <w:r>
              <w:rPr>
                <w:rFonts w:ascii="Times New Roman" w:hAnsi="Times New Roman"/>
                <w:szCs w:val="21"/>
              </w:rPr>
              <w:t>干线</w:t>
            </w: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1路</w:t>
            </w:r>
          </w:p>
        </w:tc>
        <w:tc>
          <w:tcPr>
            <w:tcW w:w="2552" w:type="dxa"/>
            <w:vAlign w:val="center"/>
          </w:tcPr>
          <w:p>
            <w:pPr>
              <w:pStyle w:val="123"/>
              <w:spacing w:before="0"/>
              <w:rPr>
                <w:rFonts w:ascii="Times New Roman" w:hAnsi="Times New Roman"/>
                <w:szCs w:val="21"/>
              </w:rPr>
            </w:pPr>
            <w:r>
              <w:rPr>
                <w:rFonts w:hint="eastAsia"/>
              </w:rPr>
              <w:t>汽车客运中心—清泉</w:t>
            </w:r>
          </w:p>
        </w:tc>
        <w:tc>
          <w:tcPr>
            <w:tcW w:w="1417" w:type="dxa"/>
            <w:vAlign w:val="center"/>
          </w:tcPr>
          <w:p>
            <w:pPr>
              <w:pStyle w:val="123"/>
              <w:spacing w:before="0"/>
              <w:rPr>
                <w:rFonts w:ascii="Times New Roman" w:hAnsi="Times New Roman"/>
                <w:szCs w:val="21"/>
              </w:rPr>
            </w:pPr>
            <w:r>
              <w:rPr>
                <w:rFonts w:ascii="Times New Roman" w:hAnsi="Times New Roman"/>
              </w:rPr>
              <w:t>12.15</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19</w:t>
            </w:r>
          </w:p>
        </w:tc>
        <w:tc>
          <w:tcPr>
            <w:tcW w:w="1076" w:type="dxa"/>
            <w:vAlign w:val="center"/>
          </w:tcPr>
          <w:p>
            <w:pPr>
              <w:pStyle w:val="123"/>
              <w:spacing w:before="0"/>
              <w:rPr>
                <w:rFonts w:ascii="Times New Roman" w:hAnsi="Times New Roman"/>
                <w:szCs w:val="21"/>
              </w:rPr>
            </w:pPr>
            <w:r>
              <w:rPr>
                <w:rFonts w:ascii="Times New Roman" w:hAnsi="Times New Roman"/>
                <w:szCs w:val="21"/>
              </w:rPr>
              <w:t>基本保持现状</w:t>
            </w:r>
            <w:r>
              <w:rPr>
                <w:rFonts w:hint="eastAsia" w:ascii="Times New Roman" w:hAnsi="Times New Roman"/>
                <w:szCs w:val="21"/>
              </w:rPr>
              <w:t>，</w:t>
            </w:r>
            <w:r>
              <w:rPr>
                <w:rFonts w:ascii="Times New Roman" w:hAnsi="Times New Roman"/>
                <w:szCs w:val="21"/>
              </w:rPr>
              <w:t>适当调整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3路</w:t>
            </w:r>
          </w:p>
        </w:tc>
        <w:tc>
          <w:tcPr>
            <w:tcW w:w="2552" w:type="dxa"/>
            <w:vAlign w:val="center"/>
          </w:tcPr>
          <w:p>
            <w:pPr>
              <w:pStyle w:val="123"/>
              <w:spacing w:before="0"/>
              <w:rPr>
                <w:rFonts w:ascii="Times New Roman" w:hAnsi="Times New Roman"/>
                <w:szCs w:val="21"/>
              </w:rPr>
            </w:pPr>
            <w:r>
              <w:rPr>
                <w:rFonts w:hint="eastAsia"/>
              </w:rPr>
              <w:t>汽车客运中心—教育园区</w:t>
            </w:r>
          </w:p>
        </w:tc>
        <w:tc>
          <w:tcPr>
            <w:tcW w:w="1417" w:type="dxa"/>
            <w:vAlign w:val="center"/>
          </w:tcPr>
          <w:p>
            <w:pPr>
              <w:pStyle w:val="123"/>
              <w:spacing w:before="0"/>
              <w:rPr>
                <w:rFonts w:ascii="Times New Roman" w:hAnsi="Times New Roman"/>
                <w:szCs w:val="21"/>
              </w:rPr>
            </w:pPr>
            <w:r>
              <w:rPr>
                <w:rFonts w:ascii="Times New Roman" w:hAnsi="Times New Roman"/>
              </w:rPr>
              <w:t>10.03</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17</w:t>
            </w:r>
          </w:p>
        </w:tc>
        <w:tc>
          <w:tcPr>
            <w:tcW w:w="1076" w:type="dxa"/>
            <w:vAlign w:val="center"/>
          </w:tcPr>
          <w:p>
            <w:pPr>
              <w:pStyle w:val="123"/>
              <w:spacing w:before="0"/>
              <w:rPr>
                <w:rFonts w:ascii="Times New Roman" w:hAnsi="Times New Roman"/>
                <w:szCs w:val="21"/>
              </w:rPr>
            </w:pPr>
            <w:r>
              <w:rPr>
                <w:rFonts w:hint="eastAsia"/>
              </w:rPr>
              <w:t>截弯取直</w:t>
            </w:r>
            <w:r>
              <w:t>，配套支线</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6路</w:t>
            </w:r>
          </w:p>
        </w:tc>
        <w:tc>
          <w:tcPr>
            <w:tcW w:w="2552" w:type="dxa"/>
            <w:vAlign w:val="center"/>
          </w:tcPr>
          <w:p>
            <w:pPr>
              <w:pStyle w:val="123"/>
              <w:spacing w:before="0"/>
              <w:rPr>
                <w:rFonts w:ascii="Times New Roman" w:hAnsi="Times New Roman"/>
                <w:szCs w:val="21"/>
              </w:rPr>
            </w:pPr>
            <w:r>
              <w:rPr>
                <w:rFonts w:hint="eastAsia"/>
              </w:rPr>
              <w:t>成渝高速路口公交站—马站</w:t>
            </w:r>
          </w:p>
        </w:tc>
        <w:tc>
          <w:tcPr>
            <w:tcW w:w="1417" w:type="dxa"/>
            <w:vAlign w:val="center"/>
          </w:tcPr>
          <w:p>
            <w:pPr>
              <w:pStyle w:val="123"/>
              <w:spacing w:before="0"/>
              <w:rPr>
                <w:rFonts w:ascii="Times New Roman" w:hAnsi="Times New Roman"/>
                <w:szCs w:val="21"/>
              </w:rPr>
            </w:pPr>
            <w:r>
              <w:rPr>
                <w:rFonts w:ascii="Times New Roman" w:hAnsi="Times New Roman"/>
              </w:rPr>
              <w:t>13.95</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22</w:t>
            </w:r>
          </w:p>
        </w:tc>
        <w:tc>
          <w:tcPr>
            <w:tcW w:w="1076" w:type="dxa"/>
            <w:vAlign w:val="center"/>
          </w:tcPr>
          <w:p>
            <w:pPr>
              <w:pStyle w:val="123"/>
              <w:spacing w:before="0"/>
              <w:rPr>
                <w:rFonts w:ascii="Times New Roman" w:hAnsi="Times New Roman"/>
                <w:szCs w:val="21"/>
              </w:rPr>
            </w:pPr>
            <w:r>
              <w:t>截弯取直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7路</w:t>
            </w:r>
          </w:p>
        </w:tc>
        <w:tc>
          <w:tcPr>
            <w:tcW w:w="2552" w:type="dxa"/>
            <w:vAlign w:val="center"/>
          </w:tcPr>
          <w:p>
            <w:pPr>
              <w:pStyle w:val="123"/>
              <w:spacing w:before="0"/>
              <w:rPr>
                <w:rFonts w:ascii="Times New Roman" w:hAnsi="Times New Roman"/>
                <w:szCs w:val="21"/>
              </w:rPr>
            </w:pPr>
            <w:r>
              <w:rPr>
                <w:rFonts w:hint="eastAsia"/>
              </w:rPr>
              <w:t>沱江新城—教育园区</w:t>
            </w:r>
          </w:p>
        </w:tc>
        <w:tc>
          <w:tcPr>
            <w:tcW w:w="1417" w:type="dxa"/>
            <w:vAlign w:val="center"/>
          </w:tcPr>
          <w:p>
            <w:pPr>
              <w:pStyle w:val="123"/>
              <w:spacing w:before="0"/>
              <w:rPr>
                <w:rFonts w:ascii="Times New Roman" w:hAnsi="Times New Roman"/>
                <w:szCs w:val="21"/>
              </w:rPr>
            </w:pPr>
            <w:r>
              <w:rPr>
                <w:rFonts w:ascii="Times New Roman" w:hAnsi="Times New Roman"/>
              </w:rPr>
              <w:t>17.16</w:t>
            </w:r>
          </w:p>
        </w:tc>
        <w:tc>
          <w:tcPr>
            <w:tcW w:w="851" w:type="dxa"/>
            <w:vAlign w:val="center"/>
          </w:tcPr>
          <w:p>
            <w:pPr>
              <w:pStyle w:val="123"/>
              <w:spacing w:before="0"/>
              <w:rPr>
                <w:rFonts w:ascii="Times New Roman" w:hAnsi="Times New Roman"/>
                <w:color w:val="C00000"/>
                <w:szCs w:val="21"/>
              </w:rPr>
            </w:pPr>
            <w:r>
              <w:rPr>
                <w:rFonts w:ascii="Times New Roman" w:hAnsi="Times New Roman"/>
                <w:color w:val="C00000"/>
                <w:szCs w:val="21"/>
              </w:rPr>
              <w:t>2</w:t>
            </w:r>
            <w:r>
              <w:rPr>
                <w:rFonts w:hint="eastAsia" w:ascii="Times New Roman" w:hAnsi="Times New Roman"/>
                <w:color w:val="C00000"/>
                <w:szCs w:val="21"/>
              </w:rPr>
              <w:t>6</w:t>
            </w:r>
          </w:p>
        </w:tc>
        <w:tc>
          <w:tcPr>
            <w:tcW w:w="1076" w:type="dxa"/>
            <w:vAlign w:val="center"/>
          </w:tcPr>
          <w:p>
            <w:pPr>
              <w:pStyle w:val="123"/>
              <w:spacing w:before="0"/>
              <w:rPr>
                <w:rFonts w:ascii="Times New Roman" w:hAnsi="Times New Roman"/>
                <w:szCs w:val="21"/>
              </w:rPr>
            </w:pPr>
            <w:r>
              <w:t>截弯取直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99" w:hRule="atLeast"/>
          <w:jc w:val="center"/>
        </w:trPr>
        <w:tc>
          <w:tcPr>
            <w:tcW w:w="1137" w:type="dxa"/>
            <w:vMerge w:val="restart"/>
            <w:vAlign w:val="center"/>
          </w:tcPr>
          <w:p>
            <w:pPr>
              <w:pStyle w:val="123"/>
              <w:spacing w:before="0"/>
              <w:rPr>
                <w:rFonts w:ascii="Times New Roman" w:hAnsi="Times New Roman"/>
                <w:szCs w:val="21"/>
              </w:rPr>
            </w:pPr>
            <w:r>
              <w:rPr>
                <w:rFonts w:ascii="Times New Roman" w:hAnsi="Times New Roman"/>
                <w:szCs w:val="21"/>
              </w:rPr>
              <w:t>支线</w:t>
            </w: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2路</w:t>
            </w:r>
          </w:p>
        </w:tc>
        <w:tc>
          <w:tcPr>
            <w:tcW w:w="2552" w:type="dxa"/>
            <w:vAlign w:val="center"/>
          </w:tcPr>
          <w:p>
            <w:pPr>
              <w:pStyle w:val="123"/>
              <w:spacing w:before="0"/>
              <w:rPr>
                <w:rFonts w:ascii="Times New Roman" w:hAnsi="Times New Roman"/>
                <w:szCs w:val="21"/>
              </w:rPr>
            </w:pPr>
            <w:r>
              <w:rPr>
                <w:rFonts w:hint="eastAsia"/>
              </w:rPr>
              <w:t>成渝高速路口公交站—成渝高速路口公交站（环线）</w:t>
            </w:r>
          </w:p>
        </w:tc>
        <w:tc>
          <w:tcPr>
            <w:tcW w:w="1417" w:type="dxa"/>
            <w:vAlign w:val="center"/>
          </w:tcPr>
          <w:p>
            <w:pPr>
              <w:pStyle w:val="123"/>
              <w:spacing w:before="0"/>
              <w:rPr>
                <w:rFonts w:ascii="Times New Roman" w:hAnsi="Times New Roman"/>
                <w:szCs w:val="21"/>
              </w:rPr>
            </w:pPr>
            <w:r>
              <w:rPr>
                <w:rFonts w:ascii="Times New Roman" w:hAnsi="Times New Roman"/>
              </w:rPr>
              <w:t>17.11</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33</w:t>
            </w:r>
          </w:p>
        </w:tc>
        <w:tc>
          <w:tcPr>
            <w:tcW w:w="1076" w:type="dxa"/>
            <w:vAlign w:val="center"/>
          </w:tcPr>
          <w:p>
            <w:pPr>
              <w:pStyle w:val="123"/>
              <w:spacing w:before="0"/>
              <w:rPr>
                <w:rFonts w:ascii="Times New Roman" w:hAnsi="Times New Roman"/>
                <w:szCs w:val="21"/>
              </w:rPr>
            </w:pPr>
            <w:r>
              <w:rPr>
                <w:rFonts w:hint="eastAsia"/>
              </w:rPr>
              <w:t>截弯取直</w:t>
            </w:r>
            <w:r>
              <w:t>，延伸线路、服务新区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4路</w:t>
            </w:r>
          </w:p>
        </w:tc>
        <w:tc>
          <w:tcPr>
            <w:tcW w:w="2552" w:type="dxa"/>
            <w:vAlign w:val="center"/>
          </w:tcPr>
          <w:p>
            <w:pPr>
              <w:pStyle w:val="123"/>
              <w:spacing w:before="0"/>
              <w:rPr>
                <w:rFonts w:ascii="Times New Roman" w:hAnsi="Times New Roman"/>
                <w:szCs w:val="21"/>
              </w:rPr>
            </w:pPr>
            <w:r>
              <w:rPr>
                <w:rFonts w:hint="eastAsia"/>
              </w:rPr>
              <w:t>城东高铁站—教育园区</w:t>
            </w:r>
          </w:p>
        </w:tc>
        <w:tc>
          <w:tcPr>
            <w:tcW w:w="1417" w:type="dxa"/>
            <w:vAlign w:val="center"/>
          </w:tcPr>
          <w:p>
            <w:pPr>
              <w:pStyle w:val="123"/>
              <w:spacing w:before="0"/>
              <w:rPr>
                <w:rFonts w:ascii="Times New Roman" w:hAnsi="Times New Roman"/>
                <w:szCs w:val="21"/>
              </w:rPr>
            </w:pPr>
            <w:r>
              <w:rPr>
                <w:rFonts w:ascii="Times New Roman" w:hAnsi="Times New Roman"/>
              </w:rPr>
              <w:t>15.99</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31</w:t>
            </w:r>
          </w:p>
        </w:tc>
        <w:tc>
          <w:tcPr>
            <w:tcW w:w="1076" w:type="dxa"/>
            <w:vAlign w:val="center"/>
          </w:tcPr>
          <w:p>
            <w:pPr>
              <w:pStyle w:val="123"/>
              <w:spacing w:before="0"/>
              <w:rPr>
                <w:rFonts w:ascii="Times New Roman" w:hAnsi="Times New Roman"/>
                <w:szCs w:val="21"/>
              </w:rPr>
            </w:pPr>
            <w:r>
              <w:rPr>
                <w:rFonts w:hint="eastAsia"/>
              </w:rPr>
              <w:t>调整线路、服务新区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5路</w:t>
            </w:r>
          </w:p>
        </w:tc>
        <w:tc>
          <w:tcPr>
            <w:tcW w:w="2552" w:type="dxa"/>
            <w:vAlign w:val="center"/>
          </w:tcPr>
          <w:p>
            <w:pPr>
              <w:pStyle w:val="123"/>
              <w:spacing w:before="0"/>
              <w:rPr>
                <w:rFonts w:ascii="Times New Roman" w:hAnsi="Times New Roman"/>
                <w:szCs w:val="21"/>
              </w:rPr>
            </w:pPr>
            <w:r>
              <w:rPr>
                <w:rFonts w:hint="eastAsia"/>
              </w:rPr>
              <w:t>汽车客运中心—魏家湾</w:t>
            </w:r>
          </w:p>
        </w:tc>
        <w:tc>
          <w:tcPr>
            <w:tcW w:w="1417" w:type="dxa"/>
            <w:vAlign w:val="center"/>
          </w:tcPr>
          <w:p>
            <w:pPr>
              <w:pStyle w:val="123"/>
              <w:spacing w:before="0"/>
              <w:rPr>
                <w:rFonts w:ascii="Times New Roman" w:hAnsi="Times New Roman"/>
                <w:szCs w:val="21"/>
              </w:rPr>
            </w:pPr>
            <w:r>
              <w:rPr>
                <w:rFonts w:ascii="Times New Roman" w:hAnsi="Times New Roman"/>
              </w:rPr>
              <w:t>15.08</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29</w:t>
            </w:r>
          </w:p>
        </w:tc>
        <w:tc>
          <w:tcPr>
            <w:tcW w:w="1076" w:type="dxa"/>
            <w:vAlign w:val="center"/>
          </w:tcPr>
          <w:p>
            <w:pPr>
              <w:pStyle w:val="123"/>
              <w:spacing w:before="0"/>
              <w:rPr>
                <w:rFonts w:ascii="Times New Roman" w:hAnsi="Times New Roman"/>
                <w:szCs w:val="21"/>
              </w:rPr>
            </w:pPr>
            <w:r>
              <w:rPr>
                <w:rFonts w:hint="eastAsia"/>
              </w:rPr>
              <w:t>基本保留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8路</w:t>
            </w:r>
          </w:p>
        </w:tc>
        <w:tc>
          <w:tcPr>
            <w:tcW w:w="2552" w:type="dxa"/>
            <w:vAlign w:val="center"/>
          </w:tcPr>
          <w:p>
            <w:pPr>
              <w:pStyle w:val="123"/>
              <w:spacing w:before="0"/>
              <w:rPr>
                <w:rFonts w:ascii="Times New Roman" w:hAnsi="Times New Roman"/>
                <w:szCs w:val="21"/>
              </w:rPr>
            </w:pPr>
            <w:r>
              <w:rPr>
                <w:rFonts w:hint="eastAsia"/>
              </w:rPr>
              <w:t>汽车客运中心—教育园区</w:t>
            </w:r>
          </w:p>
        </w:tc>
        <w:tc>
          <w:tcPr>
            <w:tcW w:w="1417" w:type="dxa"/>
            <w:vAlign w:val="center"/>
          </w:tcPr>
          <w:p>
            <w:pPr>
              <w:pStyle w:val="123"/>
              <w:spacing w:before="0"/>
              <w:rPr>
                <w:rFonts w:ascii="Times New Roman" w:hAnsi="Times New Roman"/>
                <w:szCs w:val="21"/>
              </w:rPr>
            </w:pPr>
            <w:r>
              <w:rPr>
                <w:rFonts w:ascii="Times New Roman" w:hAnsi="Times New Roman"/>
              </w:rPr>
              <w:t>10.09</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21</w:t>
            </w:r>
          </w:p>
        </w:tc>
        <w:tc>
          <w:tcPr>
            <w:tcW w:w="1076" w:type="dxa"/>
            <w:vAlign w:val="center"/>
          </w:tcPr>
          <w:p>
            <w:pPr>
              <w:pStyle w:val="123"/>
              <w:spacing w:before="0"/>
              <w:rPr>
                <w:rFonts w:ascii="Times New Roman" w:hAnsi="Times New Roman"/>
                <w:szCs w:val="21"/>
              </w:rPr>
            </w:pPr>
            <w:r>
              <w:rPr>
                <w:rFonts w:hint="eastAsia"/>
              </w:rPr>
              <w:t>新增线路</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9路</w:t>
            </w:r>
          </w:p>
        </w:tc>
        <w:tc>
          <w:tcPr>
            <w:tcW w:w="2552" w:type="dxa"/>
            <w:vAlign w:val="center"/>
          </w:tcPr>
          <w:p>
            <w:pPr>
              <w:spacing w:before="163" w:after="0"/>
              <w:ind w:firstLine="0" w:firstLineChars="0"/>
              <w:jc w:val="center"/>
              <w:rPr>
                <w:rFonts w:cs="Times New Roman"/>
                <w:kern w:val="2"/>
                <w:sz w:val="21"/>
                <w:szCs w:val="21"/>
              </w:rPr>
            </w:pPr>
            <w:r>
              <w:rPr>
                <w:rFonts w:hint="eastAsia"/>
                <w:sz w:val="21"/>
                <w:szCs w:val="21"/>
              </w:rPr>
              <w:t>凤岭公园—董家湾</w:t>
            </w:r>
          </w:p>
        </w:tc>
        <w:tc>
          <w:tcPr>
            <w:tcW w:w="1417" w:type="dxa"/>
            <w:vAlign w:val="center"/>
          </w:tcPr>
          <w:p>
            <w:pPr>
              <w:pStyle w:val="123"/>
              <w:spacing w:before="0"/>
              <w:rPr>
                <w:rFonts w:ascii="Times New Roman" w:hAnsi="Times New Roman"/>
                <w:szCs w:val="21"/>
              </w:rPr>
            </w:pPr>
            <w:r>
              <w:rPr>
                <w:rFonts w:ascii="Times New Roman" w:hAnsi="Times New Roman"/>
              </w:rPr>
              <w:t>17.45</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33</w:t>
            </w:r>
          </w:p>
        </w:tc>
        <w:tc>
          <w:tcPr>
            <w:tcW w:w="1076" w:type="dxa"/>
            <w:vAlign w:val="center"/>
          </w:tcPr>
          <w:p>
            <w:pPr>
              <w:pStyle w:val="123"/>
              <w:spacing w:before="0"/>
              <w:rPr>
                <w:rFonts w:ascii="Times New Roman" w:hAnsi="Times New Roman"/>
                <w:szCs w:val="21"/>
              </w:rPr>
            </w:pPr>
            <w:r>
              <w:rPr>
                <w:rFonts w:ascii="Times New Roman" w:hAnsi="Times New Roman"/>
                <w:szCs w:val="21"/>
              </w:rPr>
              <w:t>延伸线路</w:t>
            </w:r>
            <w:r>
              <w:rPr>
                <w:rFonts w:hint="eastAsia" w:ascii="Times New Roman" w:hAnsi="Times New Roman"/>
                <w:szCs w:val="21"/>
              </w:rPr>
              <w:t>，</w:t>
            </w:r>
            <w:r>
              <w:rPr>
                <w:rFonts w:ascii="Times New Roman" w:hAnsi="Times New Roman"/>
                <w:szCs w:val="21"/>
              </w:rPr>
              <w:t>覆盖新区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10路</w:t>
            </w:r>
          </w:p>
        </w:tc>
        <w:tc>
          <w:tcPr>
            <w:tcW w:w="2552" w:type="dxa"/>
            <w:vAlign w:val="center"/>
          </w:tcPr>
          <w:p>
            <w:pPr>
              <w:pStyle w:val="123"/>
              <w:spacing w:before="0"/>
              <w:rPr>
                <w:rFonts w:ascii="Times New Roman" w:hAnsi="Times New Roman"/>
                <w:szCs w:val="21"/>
              </w:rPr>
            </w:pPr>
            <w:r>
              <w:rPr>
                <w:rFonts w:hint="eastAsia"/>
              </w:rPr>
              <w:t>成渝高速路口公交站—清巍汽车</w:t>
            </w:r>
            <w:r>
              <w:rPr>
                <w:rFonts w:ascii="Times New Roman" w:hAnsi="Times New Roman"/>
              </w:rPr>
              <w:t>4S</w:t>
            </w:r>
            <w:r>
              <w:rPr>
                <w:rFonts w:hint="eastAsia"/>
              </w:rPr>
              <w:t>商城</w:t>
            </w:r>
          </w:p>
        </w:tc>
        <w:tc>
          <w:tcPr>
            <w:tcW w:w="1417" w:type="dxa"/>
            <w:vAlign w:val="center"/>
          </w:tcPr>
          <w:p>
            <w:pPr>
              <w:pStyle w:val="123"/>
              <w:spacing w:before="0"/>
              <w:rPr>
                <w:rFonts w:ascii="Times New Roman" w:hAnsi="Times New Roman"/>
                <w:szCs w:val="21"/>
              </w:rPr>
            </w:pPr>
            <w:r>
              <w:rPr>
                <w:rFonts w:ascii="Times New Roman" w:hAnsi="Times New Roman"/>
              </w:rPr>
              <w:t>15.44</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30</w:t>
            </w:r>
          </w:p>
        </w:tc>
        <w:tc>
          <w:tcPr>
            <w:tcW w:w="1076" w:type="dxa"/>
            <w:vAlign w:val="center"/>
          </w:tcPr>
          <w:p>
            <w:pPr>
              <w:pStyle w:val="123"/>
              <w:spacing w:before="0"/>
              <w:rPr>
                <w:rFonts w:ascii="Times New Roman" w:hAnsi="Times New Roman"/>
                <w:szCs w:val="21"/>
              </w:rPr>
            </w:pPr>
            <w:r>
              <w:rPr>
                <w:rFonts w:hint="eastAsia"/>
              </w:rPr>
              <w:t>延伸线路</w:t>
            </w:r>
            <w:r>
              <w:t>，覆盖新区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11路</w:t>
            </w:r>
          </w:p>
        </w:tc>
        <w:tc>
          <w:tcPr>
            <w:tcW w:w="2552" w:type="dxa"/>
            <w:vAlign w:val="center"/>
          </w:tcPr>
          <w:p>
            <w:pPr>
              <w:pStyle w:val="123"/>
              <w:spacing w:before="0"/>
              <w:rPr>
                <w:rFonts w:ascii="Times New Roman" w:hAnsi="Times New Roman"/>
                <w:szCs w:val="21"/>
              </w:rPr>
            </w:pPr>
            <w:r>
              <w:rPr>
                <w:rFonts w:hint="eastAsia"/>
              </w:rPr>
              <w:t>沱江新城—幸福谷</w:t>
            </w:r>
          </w:p>
        </w:tc>
        <w:tc>
          <w:tcPr>
            <w:tcW w:w="1417" w:type="dxa"/>
            <w:vAlign w:val="center"/>
          </w:tcPr>
          <w:p>
            <w:pPr>
              <w:pStyle w:val="123"/>
              <w:spacing w:before="0"/>
              <w:rPr>
                <w:rFonts w:ascii="Times New Roman" w:hAnsi="Times New Roman"/>
                <w:szCs w:val="21"/>
              </w:rPr>
            </w:pPr>
            <w:r>
              <w:rPr>
                <w:rFonts w:ascii="Times New Roman" w:hAnsi="Times New Roman"/>
              </w:rPr>
              <w:t>16.40</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32</w:t>
            </w:r>
          </w:p>
        </w:tc>
        <w:tc>
          <w:tcPr>
            <w:tcW w:w="1076" w:type="dxa"/>
            <w:vAlign w:val="center"/>
          </w:tcPr>
          <w:p>
            <w:pPr>
              <w:pStyle w:val="123"/>
              <w:spacing w:before="0"/>
              <w:rPr>
                <w:rFonts w:ascii="Times New Roman" w:hAnsi="Times New Roman"/>
                <w:szCs w:val="21"/>
              </w:rPr>
            </w:pPr>
            <w:r>
              <w:t>取消线路</w:t>
            </w:r>
            <w:r>
              <w:rPr>
                <w:rFonts w:hint="eastAsia"/>
              </w:rPr>
              <w:t>（原</w:t>
            </w:r>
            <w:r>
              <w:rPr>
                <w:rFonts w:ascii="Times New Roman" w:hAnsi="Times New Roman"/>
              </w:rPr>
              <w:t>15</w:t>
            </w:r>
            <w:r>
              <w:rPr>
                <w:rFonts w:hint="eastAsia"/>
              </w:rPr>
              <w:t>路）</w:t>
            </w:r>
            <w:r>
              <w:t>，节约运力</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12路</w:t>
            </w:r>
          </w:p>
        </w:tc>
        <w:tc>
          <w:tcPr>
            <w:tcW w:w="2552" w:type="dxa"/>
            <w:vAlign w:val="center"/>
          </w:tcPr>
          <w:p>
            <w:pPr>
              <w:pStyle w:val="123"/>
              <w:spacing w:before="0"/>
            </w:pPr>
            <w:r>
              <w:rPr>
                <w:rFonts w:hint="eastAsia"/>
              </w:rPr>
              <w:t>成渝高速路口公交站—莲花办事处</w:t>
            </w:r>
          </w:p>
        </w:tc>
        <w:tc>
          <w:tcPr>
            <w:tcW w:w="1417" w:type="dxa"/>
            <w:vAlign w:val="center"/>
          </w:tcPr>
          <w:p>
            <w:pPr>
              <w:pStyle w:val="123"/>
              <w:spacing w:before="0"/>
              <w:rPr>
                <w:rFonts w:ascii="Times New Roman" w:hAnsi="Times New Roman"/>
                <w:szCs w:val="21"/>
              </w:rPr>
            </w:pPr>
            <w:r>
              <w:rPr>
                <w:rFonts w:ascii="Times New Roman" w:hAnsi="Times New Roman"/>
              </w:rPr>
              <w:t>6.36</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14</w:t>
            </w:r>
          </w:p>
        </w:tc>
        <w:tc>
          <w:tcPr>
            <w:tcW w:w="1076" w:type="dxa"/>
            <w:vAlign w:val="center"/>
          </w:tcPr>
          <w:p>
            <w:pPr>
              <w:pStyle w:val="123"/>
              <w:spacing w:before="0"/>
            </w:pPr>
            <w:r>
              <w:t>新增线路</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w:t>
            </w:r>
            <w:r>
              <w:rPr>
                <w:rFonts w:ascii="Times New Roman" w:hAnsi="Times New Roman"/>
                <w:szCs w:val="21"/>
              </w:rPr>
              <w:t>4</w:t>
            </w:r>
            <w:r>
              <w:rPr>
                <w:rFonts w:hint="eastAsia" w:ascii="Times New Roman" w:hAnsi="Times New Roman"/>
                <w:szCs w:val="21"/>
              </w:rPr>
              <w:t>路</w:t>
            </w:r>
          </w:p>
        </w:tc>
        <w:tc>
          <w:tcPr>
            <w:tcW w:w="2552" w:type="dxa"/>
            <w:vAlign w:val="center"/>
          </w:tcPr>
          <w:p>
            <w:pPr>
              <w:pStyle w:val="123"/>
              <w:spacing w:before="0"/>
              <w:rPr>
                <w:rFonts w:ascii="Times New Roman" w:hAnsi="Times New Roman"/>
                <w:szCs w:val="21"/>
              </w:rPr>
            </w:pPr>
            <w:r>
              <w:rPr>
                <w:rFonts w:hint="eastAsia"/>
              </w:rPr>
              <w:t>城东高铁站—教育园区</w:t>
            </w:r>
          </w:p>
        </w:tc>
        <w:tc>
          <w:tcPr>
            <w:tcW w:w="1417" w:type="dxa"/>
            <w:vAlign w:val="center"/>
          </w:tcPr>
          <w:p>
            <w:pPr>
              <w:pStyle w:val="123"/>
              <w:spacing w:before="0"/>
              <w:rPr>
                <w:rFonts w:ascii="Times New Roman" w:hAnsi="Times New Roman"/>
                <w:szCs w:val="21"/>
              </w:rPr>
            </w:pPr>
            <w:r>
              <w:rPr>
                <w:rFonts w:ascii="Times New Roman" w:hAnsi="Times New Roman"/>
              </w:rPr>
              <w:t>15.63</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30</w:t>
            </w:r>
          </w:p>
        </w:tc>
        <w:tc>
          <w:tcPr>
            <w:tcW w:w="1076" w:type="dxa"/>
            <w:vAlign w:val="center"/>
          </w:tcPr>
          <w:p>
            <w:pPr>
              <w:pStyle w:val="123"/>
              <w:spacing w:before="0"/>
              <w:rPr>
                <w:rFonts w:ascii="Times New Roman" w:hAnsi="Times New Roman"/>
                <w:szCs w:val="21"/>
              </w:rPr>
            </w:pPr>
            <w:r>
              <w:rPr>
                <w:rFonts w:ascii="Times New Roman" w:hAnsi="Times New Roman"/>
                <w:szCs w:val="21"/>
              </w:rPr>
              <w:t>保持现状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16路</w:t>
            </w:r>
          </w:p>
        </w:tc>
        <w:tc>
          <w:tcPr>
            <w:tcW w:w="2552" w:type="dxa"/>
            <w:vAlign w:val="center"/>
          </w:tcPr>
          <w:p>
            <w:pPr>
              <w:pStyle w:val="123"/>
              <w:spacing w:before="0"/>
              <w:rPr>
                <w:rFonts w:ascii="Times New Roman" w:hAnsi="Times New Roman"/>
                <w:szCs w:val="21"/>
              </w:rPr>
            </w:pPr>
            <w:r>
              <w:rPr>
                <w:rFonts w:hint="eastAsia"/>
              </w:rPr>
              <w:t>凤岭公园—侯家坪富友公司</w:t>
            </w:r>
          </w:p>
        </w:tc>
        <w:tc>
          <w:tcPr>
            <w:tcW w:w="1417" w:type="dxa"/>
            <w:vAlign w:val="center"/>
          </w:tcPr>
          <w:p>
            <w:pPr>
              <w:pStyle w:val="123"/>
              <w:spacing w:before="0"/>
              <w:rPr>
                <w:rFonts w:ascii="Times New Roman" w:hAnsi="Times New Roman"/>
                <w:szCs w:val="21"/>
              </w:rPr>
            </w:pPr>
            <w:r>
              <w:rPr>
                <w:rFonts w:ascii="Times New Roman" w:hAnsi="Times New Roman"/>
              </w:rPr>
              <w:t>13.26</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26</w:t>
            </w:r>
          </w:p>
        </w:tc>
        <w:tc>
          <w:tcPr>
            <w:tcW w:w="1076" w:type="dxa"/>
            <w:vAlign w:val="center"/>
          </w:tcPr>
          <w:p>
            <w:pPr>
              <w:pStyle w:val="123"/>
              <w:spacing w:before="0"/>
              <w:rPr>
                <w:rFonts w:ascii="Times New Roman" w:hAnsi="Times New Roman"/>
                <w:szCs w:val="21"/>
              </w:rPr>
            </w:pPr>
            <w:r>
              <w:rPr>
                <w:rFonts w:ascii="Times New Roman" w:hAnsi="Times New Roman"/>
                <w:szCs w:val="21"/>
              </w:rPr>
              <w:t>保持现状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17路</w:t>
            </w:r>
          </w:p>
        </w:tc>
        <w:tc>
          <w:tcPr>
            <w:tcW w:w="2552" w:type="dxa"/>
            <w:vAlign w:val="center"/>
          </w:tcPr>
          <w:p>
            <w:pPr>
              <w:pStyle w:val="123"/>
              <w:spacing w:before="0"/>
              <w:rPr>
                <w:rFonts w:ascii="Times New Roman" w:hAnsi="Times New Roman"/>
                <w:szCs w:val="21"/>
              </w:rPr>
            </w:pPr>
            <w:r>
              <w:rPr>
                <w:rFonts w:hint="eastAsia"/>
              </w:rPr>
              <w:t>沱江新城—侯家坪派出所</w:t>
            </w:r>
          </w:p>
        </w:tc>
        <w:tc>
          <w:tcPr>
            <w:tcW w:w="1417" w:type="dxa"/>
            <w:vAlign w:val="center"/>
          </w:tcPr>
          <w:p>
            <w:pPr>
              <w:pStyle w:val="123"/>
              <w:spacing w:before="0"/>
              <w:rPr>
                <w:rFonts w:ascii="Times New Roman" w:hAnsi="Times New Roman"/>
                <w:szCs w:val="21"/>
              </w:rPr>
            </w:pPr>
            <w:r>
              <w:rPr>
                <w:rFonts w:ascii="Times New Roman" w:hAnsi="Times New Roman"/>
              </w:rPr>
              <w:t>9.30</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20</w:t>
            </w:r>
          </w:p>
        </w:tc>
        <w:tc>
          <w:tcPr>
            <w:tcW w:w="1076" w:type="dxa"/>
            <w:vAlign w:val="center"/>
          </w:tcPr>
          <w:p>
            <w:pPr>
              <w:pStyle w:val="123"/>
              <w:spacing w:before="0"/>
              <w:rPr>
                <w:rFonts w:ascii="Times New Roman" w:hAnsi="Times New Roman"/>
                <w:szCs w:val="21"/>
              </w:rPr>
            </w:pPr>
            <w:r>
              <w:rPr>
                <w:rFonts w:ascii="Times New Roman" w:hAnsi="Times New Roman"/>
                <w:szCs w:val="21"/>
              </w:rPr>
              <w:t>保持现状</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273" w:type="dxa"/>
            <w:vAlign w:val="center"/>
          </w:tcPr>
          <w:p>
            <w:pPr>
              <w:pStyle w:val="123"/>
              <w:spacing w:before="0"/>
              <w:rPr>
                <w:rFonts w:ascii="Times New Roman" w:hAnsi="Times New Roman"/>
                <w:szCs w:val="21"/>
              </w:rPr>
            </w:pPr>
            <w:r>
              <w:rPr>
                <w:rFonts w:hint="eastAsia" w:ascii="Times New Roman" w:hAnsi="Times New Roman"/>
                <w:szCs w:val="21"/>
              </w:rPr>
              <w:t>18路</w:t>
            </w:r>
          </w:p>
        </w:tc>
        <w:tc>
          <w:tcPr>
            <w:tcW w:w="2552" w:type="dxa"/>
            <w:vAlign w:val="center"/>
          </w:tcPr>
          <w:p>
            <w:pPr>
              <w:pStyle w:val="123"/>
              <w:spacing w:before="0"/>
              <w:rPr>
                <w:rFonts w:ascii="Times New Roman" w:hAnsi="Times New Roman"/>
                <w:szCs w:val="21"/>
              </w:rPr>
            </w:pPr>
            <w:r>
              <w:rPr>
                <w:rFonts w:hint="eastAsia" w:eastAsiaTheme="majorEastAsia"/>
                <w:szCs w:val="21"/>
              </w:rPr>
              <w:t>城东高铁站</w:t>
            </w:r>
            <w:r>
              <w:rPr>
                <w:rFonts w:eastAsiaTheme="majorEastAsia"/>
                <w:szCs w:val="21"/>
              </w:rPr>
              <w:t>—</w:t>
            </w:r>
            <w:r>
              <w:rPr>
                <w:rFonts w:hint="eastAsia" w:eastAsiaTheme="majorEastAsia"/>
                <w:szCs w:val="21"/>
              </w:rPr>
              <w:t>四川现代</w:t>
            </w:r>
          </w:p>
        </w:tc>
        <w:tc>
          <w:tcPr>
            <w:tcW w:w="1417" w:type="dxa"/>
            <w:vAlign w:val="center"/>
          </w:tcPr>
          <w:p>
            <w:pPr>
              <w:pStyle w:val="123"/>
              <w:spacing w:before="0"/>
              <w:rPr>
                <w:rFonts w:ascii="Times New Roman" w:hAnsi="Times New Roman"/>
                <w:szCs w:val="21"/>
              </w:rPr>
            </w:pPr>
            <w:r>
              <w:rPr>
                <w:rFonts w:ascii="Times New Roman" w:hAnsi="Times New Roman"/>
              </w:rPr>
              <w:t>16.15</w:t>
            </w:r>
          </w:p>
        </w:tc>
        <w:tc>
          <w:tcPr>
            <w:tcW w:w="851" w:type="dxa"/>
            <w:vAlign w:val="center"/>
          </w:tcPr>
          <w:p>
            <w:pPr>
              <w:pStyle w:val="123"/>
              <w:spacing w:before="0"/>
              <w:rPr>
                <w:rFonts w:ascii="Times New Roman" w:hAnsi="Times New Roman"/>
                <w:color w:val="C00000"/>
                <w:szCs w:val="21"/>
              </w:rPr>
            </w:pPr>
            <w:r>
              <w:rPr>
                <w:rFonts w:hint="eastAsia" w:ascii="Times New Roman" w:hAnsi="Times New Roman"/>
                <w:color w:val="C00000"/>
                <w:szCs w:val="21"/>
              </w:rPr>
              <w:t>31</w:t>
            </w:r>
          </w:p>
        </w:tc>
        <w:tc>
          <w:tcPr>
            <w:tcW w:w="1076" w:type="dxa"/>
            <w:vAlign w:val="center"/>
          </w:tcPr>
          <w:p>
            <w:pPr>
              <w:pStyle w:val="123"/>
              <w:spacing w:before="0"/>
              <w:rPr>
                <w:rFonts w:ascii="Times New Roman" w:hAnsi="Times New Roman"/>
                <w:szCs w:val="21"/>
              </w:rPr>
            </w:pPr>
            <w:r>
              <w:t>延长线路，覆盖新区</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2410" w:type="dxa"/>
            <w:gridSpan w:val="2"/>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合计</w:t>
            </w:r>
          </w:p>
        </w:tc>
        <w:tc>
          <w:tcPr>
            <w:tcW w:w="2552"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w:t>
            </w:r>
          </w:p>
        </w:tc>
        <w:tc>
          <w:tcPr>
            <w:tcW w:w="1417"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240.36</w:t>
            </w:r>
          </w:p>
        </w:tc>
        <w:tc>
          <w:tcPr>
            <w:tcW w:w="851"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hint="eastAsia" w:ascii="Times New Roman" w:hAnsi="Times New Roman"/>
                <w:b/>
                <w:szCs w:val="21"/>
              </w:rPr>
              <w:t>440</w:t>
            </w:r>
          </w:p>
        </w:tc>
        <w:tc>
          <w:tcPr>
            <w:tcW w:w="1076"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w:t>
            </w:r>
          </w:p>
        </w:tc>
      </w:tr>
    </w:tbl>
    <w:p>
      <w:pPr>
        <w:adjustRightInd/>
        <w:snapToGrid/>
        <w:spacing w:before="0" w:after="200" w:line="276" w:lineRule="auto"/>
        <w:ind w:firstLine="0" w:firstLineChars="0"/>
        <w:jc w:val="left"/>
        <w:rPr>
          <w:rFonts w:eastAsia="黑体" w:cs="宋体"/>
          <w:bCs/>
          <w:kern w:val="2"/>
          <w:szCs w:val="21"/>
        </w:rPr>
      </w:pPr>
      <w:bookmarkStart w:id="15" w:name="_Toc362543099"/>
      <w:r>
        <w:br w:type="page"/>
      </w:r>
    </w:p>
    <w:bookmarkEnd w:id="15"/>
    <w:p>
      <w:pPr>
        <w:pStyle w:val="113"/>
        <w:spacing w:before="163" w:after="163"/>
      </w:pPr>
      <w:r>
        <w:rPr>
          <w:rFonts w:hint="eastAsia"/>
        </w:rPr>
        <w:t>表1</w:t>
      </w:r>
      <w:r>
        <w:t>-2</w:t>
      </w:r>
      <w:r>
        <w:rPr>
          <w:rFonts w:hint="eastAsia"/>
        </w:rPr>
        <w:t xml:space="preserve">  资阳市中远期（2020~</w:t>
      </w:r>
      <w:r>
        <w:t>2030</w:t>
      </w:r>
      <w:r>
        <w:rPr>
          <w:rFonts w:hint="eastAsia"/>
        </w:rPr>
        <w:t>）规划公交线网一览表</w:t>
      </w:r>
    </w:p>
    <w:tbl>
      <w:tblPr>
        <w:tblStyle w:val="94"/>
        <w:tblW w:w="8306" w:type="dxa"/>
        <w:jc w:val="center"/>
        <w:tblInd w:w="0" w:type="dxa"/>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37"/>
        <w:gridCol w:w="1699"/>
        <w:gridCol w:w="2405"/>
        <w:gridCol w:w="1168"/>
        <w:gridCol w:w="849"/>
        <w:gridCol w:w="1048"/>
      </w:tblGrid>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线路类别</w:t>
            </w:r>
          </w:p>
        </w:tc>
        <w:tc>
          <w:tcPr>
            <w:tcW w:w="1699"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线路编号</w:t>
            </w:r>
          </w:p>
        </w:tc>
        <w:tc>
          <w:tcPr>
            <w:tcW w:w="2405"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起讫点</w:t>
            </w:r>
          </w:p>
        </w:tc>
        <w:tc>
          <w:tcPr>
            <w:tcW w:w="1168"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线路长度（公里）</w:t>
            </w:r>
          </w:p>
        </w:tc>
        <w:tc>
          <w:tcPr>
            <w:tcW w:w="849"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配车数（辆）</w:t>
            </w:r>
          </w:p>
        </w:tc>
        <w:tc>
          <w:tcPr>
            <w:tcW w:w="1048" w:type="dxa"/>
            <w:tcBorders>
              <w:top w:val="single" w:color="auto" w:sz="12" w:space="0"/>
              <w:bottom w:val="single" w:color="auto" w:sz="12" w:space="0"/>
            </w:tcBorders>
            <w:shd w:val="clear" w:color="auto" w:fill="CCC0D9" w:themeFill="accent4" w:themeFillTint="66"/>
            <w:vAlign w:val="center"/>
          </w:tcPr>
          <w:p>
            <w:pPr>
              <w:pStyle w:val="123"/>
              <w:spacing w:before="0"/>
              <w:rPr>
                <w:rFonts w:ascii="Times New Roman" w:hAnsi="Times New Roman"/>
                <w:b/>
                <w:szCs w:val="21"/>
              </w:rPr>
            </w:pPr>
            <w:r>
              <w:rPr>
                <w:rFonts w:ascii="Times New Roman" w:hAnsi="Times New Roman"/>
                <w:b/>
                <w:szCs w:val="21"/>
              </w:rPr>
              <w:t>方案类别</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restart"/>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快线</w:t>
            </w:r>
          </w:p>
        </w:tc>
        <w:tc>
          <w:tcPr>
            <w:tcW w:w="1699"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1</w:t>
            </w:r>
          </w:p>
        </w:tc>
        <w:tc>
          <w:tcPr>
            <w:tcW w:w="2405" w:type="dxa"/>
            <w:tcBorders>
              <w:top w:val="single" w:color="auto" w:sz="12" w:space="0"/>
            </w:tcBorders>
            <w:vAlign w:val="center"/>
          </w:tcPr>
          <w:p>
            <w:pPr>
              <w:pStyle w:val="123"/>
              <w:spacing w:before="0"/>
              <w:rPr>
                <w:rFonts w:ascii="Times New Roman" w:hAnsi="Times New Roman"/>
                <w:szCs w:val="21"/>
              </w:rPr>
            </w:pPr>
            <w:r>
              <w:rPr>
                <w:rFonts w:hint="eastAsia"/>
              </w:rPr>
              <w:t>资阳西站—城东高铁站</w:t>
            </w:r>
          </w:p>
        </w:tc>
        <w:tc>
          <w:tcPr>
            <w:tcW w:w="1168"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13.43</w:t>
            </w:r>
          </w:p>
        </w:tc>
        <w:tc>
          <w:tcPr>
            <w:tcW w:w="849" w:type="dxa"/>
            <w:tcBorders>
              <w:top w:val="single" w:color="auto" w:sz="12" w:space="0"/>
            </w:tcBorders>
            <w:vAlign w:val="center"/>
          </w:tcPr>
          <w:p>
            <w:pPr>
              <w:pStyle w:val="123"/>
              <w:spacing w:before="0"/>
              <w:rPr>
                <w:rFonts w:ascii="Times New Roman" w:hAnsi="Times New Roman"/>
                <w:szCs w:val="21"/>
              </w:rPr>
            </w:pPr>
            <w:r>
              <w:rPr>
                <w:rFonts w:hint="eastAsia" w:ascii="Times New Roman" w:hAnsi="Times New Roman"/>
                <w:szCs w:val="21"/>
              </w:rPr>
              <w:t>17</w:t>
            </w:r>
          </w:p>
        </w:tc>
        <w:tc>
          <w:tcPr>
            <w:tcW w:w="1048" w:type="dxa"/>
            <w:tcBorders>
              <w:top w:val="single" w:color="auto" w:sz="12" w:space="0"/>
            </w:tcBorders>
            <w:vAlign w:val="center"/>
          </w:tcPr>
          <w:p>
            <w:pPr>
              <w:pStyle w:val="123"/>
              <w:spacing w:before="0"/>
              <w:rPr>
                <w:rFonts w:ascii="Times New Roman" w:hAnsi="Times New Roman"/>
                <w:szCs w:val="21"/>
              </w:rPr>
            </w:pPr>
            <w:r>
              <w:rPr>
                <w:rFonts w:ascii="Times New Roman" w:hAnsi="Times New Roman"/>
                <w:szCs w:val="21"/>
              </w:rPr>
              <w:t>延</w:t>
            </w:r>
            <w:r>
              <w:rPr>
                <w:rFonts w:hint="eastAsia" w:ascii="Times New Roman" w:hAnsi="Times New Roman"/>
                <w:szCs w:val="21"/>
              </w:rPr>
              <w:t>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2</w:t>
            </w:r>
          </w:p>
        </w:tc>
        <w:tc>
          <w:tcPr>
            <w:tcW w:w="2405" w:type="dxa"/>
            <w:vAlign w:val="center"/>
          </w:tcPr>
          <w:p>
            <w:pPr>
              <w:pStyle w:val="123"/>
              <w:spacing w:before="0"/>
              <w:rPr>
                <w:rFonts w:ascii="Times New Roman" w:hAnsi="Times New Roman"/>
                <w:szCs w:val="21"/>
              </w:rPr>
            </w:pPr>
            <w:r>
              <w:rPr>
                <w:rFonts w:hint="eastAsia"/>
              </w:rPr>
              <w:t>城东高铁站—教育园区</w:t>
            </w:r>
          </w:p>
        </w:tc>
        <w:tc>
          <w:tcPr>
            <w:tcW w:w="1168" w:type="dxa"/>
            <w:vAlign w:val="center"/>
          </w:tcPr>
          <w:p>
            <w:pPr>
              <w:pStyle w:val="123"/>
              <w:spacing w:before="0"/>
              <w:rPr>
                <w:rFonts w:ascii="Times New Roman" w:hAnsi="Times New Roman"/>
                <w:szCs w:val="21"/>
              </w:rPr>
            </w:pPr>
            <w:r>
              <w:rPr>
                <w:rFonts w:ascii="Times New Roman" w:hAnsi="Times New Roman"/>
                <w:szCs w:val="21"/>
              </w:rPr>
              <w:t>9.23</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13</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3</w:t>
            </w:r>
          </w:p>
        </w:tc>
        <w:tc>
          <w:tcPr>
            <w:tcW w:w="2405" w:type="dxa"/>
            <w:vAlign w:val="center"/>
          </w:tcPr>
          <w:p>
            <w:pPr>
              <w:pStyle w:val="123"/>
              <w:spacing w:before="0"/>
              <w:rPr>
                <w:rFonts w:ascii="Times New Roman" w:hAnsi="Times New Roman"/>
                <w:szCs w:val="21"/>
              </w:rPr>
            </w:pPr>
            <w:r>
              <w:rPr>
                <w:rFonts w:hint="eastAsia"/>
              </w:rPr>
              <w:t>临空经济区地铁站—城东高铁站</w:t>
            </w:r>
          </w:p>
        </w:tc>
        <w:tc>
          <w:tcPr>
            <w:tcW w:w="1168" w:type="dxa"/>
            <w:vAlign w:val="center"/>
          </w:tcPr>
          <w:p>
            <w:pPr>
              <w:pStyle w:val="123"/>
              <w:spacing w:before="0"/>
              <w:rPr>
                <w:rFonts w:ascii="Times New Roman" w:hAnsi="Times New Roman"/>
                <w:szCs w:val="21"/>
              </w:rPr>
            </w:pPr>
            <w:r>
              <w:rPr>
                <w:rFonts w:ascii="Times New Roman" w:hAnsi="Times New Roman"/>
                <w:szCs w:val="21"/>
              </w:rPr>
              <w:t>12.03</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16</w:t>
            </w:r>
          </w:p>
        </w:tc>
        <w:tc>
          <w:tcPr>
            <w:tcW w:w="1048" w:type="dxa"/>
            <w:vAlign w:val="center"/>
          </w:tcPr>
          <w:p>
            <w:pPr>
              <w:pStyle w:val="123"/>
              <w:spacing w:before="0"/>
              <w:rPr>
                <w:rFonts w:ascii="Times New Roman" w:hAnsi="Times New Roman"/>
                <w:szCs w:val="21"/>
              </w:rPr>
            </w:pPr>
            <w:r>
              <w:rPr>
                <w:rFonts w:ascii="Times New Roman" w:hAnsi="Times New Roman"/>
                <w:szCs w:val="21"/>
              </w:rPr>
              <w:t>新增</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ascii="Times New Roman" w:hAnsi="Times New Roman"/>
                <w:szCs w:val="21"/>
              </w:rPr>
              <w:t>高铁快线</w:t>
            </w:r>
            <w:r>
              <w:rPr>
                <w:rFonts w:hint="eastAsia" w:ascii="Times New Roman" w:hAnsi="Times New Roman"/>
                <w:szCs w:val="21"/>
              </w:rPr>
              <w:t>4</w:t>
            </w:r>
          </w:p>
        </w:tc>
        <w:tc>
          <w:tcPr>
            <w:tcW w:w="2405" w:type="dxa"/>
            <w:vAlign w:val="center"/>
          </w:tcPr>
          <w:p>
            <w:pPr>
              <w:pStyle w:val="123"/>
              <w:spacing w:before="0"/>
              <w:rPr>
                <w:rFonts w:ascii="Times New Roman" w:hAnsi="Times New Roman"/>
                <w:szCs w:val="21"/>
              </w:rPr>
            </w:pPr>
            <w:r>
              <w:rPr>
                <w:rFonts w:hint="eastAsia"/>
              </w:rPr>
              <w:t>资阳西站—城东高铁站</w:t>
            </w:r>
          </w:p>
        </w:tc>
        <w:tc>
          <w:tcPr>
            <w:tcW w:w="1168" w:type="dxa"/>
            <w:vAlign w:val="center"/>
          </w:tcPr>
          <w:p>
            <w:pPr>
              <w:pStyle w:val="123"/>
              <w:spacing w:before="0"/>
              <w:rPr>
                <w:rFonts w:ascii="Times New Roman" w:hAnsi="Times New Roman"/>
                <w:szCs w:val="21"/>
              </w:rPr>
            </w:pPr>
            <w:r>
              <w:rPr>
                <w:rFonts w:ascii="Times New Roman" w:hAnsi="Times New Roman"/>
                <w:szCs w:val="21"/>
              </w:rPr>
              <w:t>18.46</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22</w:t>
            </w:r>
          </w:p>
        </w:tc>
        <w:tc>
          <w:tcPr>
            <w:tcW w:w="1048" w:type="dxa"/>
            <w:vAlign w:val="center"/>
          </w:tcPr>
          <w:p>
            <w:pPr>
              <w:pStyle w:val="123"/>
              <w:spacing w:before="0"/>
              <w:rPr>
                <w:rFonts w:ascii="Times New Roman" w:hAnsi="Times New Roman"/>
                <w:szCs w:val="21"/>
              </w:rPr>
            </w:pPr>
            <w:r>
              <w:rPr>
                <w:rFonts w:ascii="Times New Roman" w:hAnsi="Times New Roman"/>
                <w:szCs w:val="21"/>
              </w:rPr>
              <w:t>新增</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restart"/>
            <w:vAlign w:val="center"/>
          </w:tcPr>
          <w:p>
            <w:pPr>
              <w:pStyle w:val="123"/>
              <w:spacing w:before="0"/>
              <w:rPr>
                <w:rFonts w:ascii="Times New Roman" w:hAnsi="Times New Roman"/>
                <w:szCs w:val="21"/>
              </w:rPr>
            </w:pPr>
            <w:r>
              <w:rPr>
                <w:rFonts w:ascii="Times New Roman" w:hAnsi="Times New Roman"/>
                <w:szCs w:val="21"/>
              </w:rPr>
              <w:t>干线</w:t>
            </w: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1路</w:t>
            </w:r>
          </w:p>
        </w:tc>
        <w:tc>
          <w:tcPr>
            <w:tcW w:w="2405" w:type="dxa"/>
            <w:vAlign w:val="center"/>
          </w:tcPr>
          <w:p>
            <w:pPr>
              <w:pStyle w:val="123"/>
              <w:spacing w:before="0"/>
              <w:rPr>
                <w:rFonts w:ascii="Times New Roman" w:hAnsi="Times New Roman"/>
                <w:szCs w:val="21"/>
              </w:rPr>
            </w:pPr>
            <w:r>
              <w:rPr>
                <w:rFonts w:hint="eastAsia"/>
              </w:rPr>
              <w:t>汽车客运中心—清泉</w:t>
            </w:r>
          </w:p>
        </w:tc>
        <w:tc>
          <w:tcPr>
            <w:tcW w:w="1168" w:type="dxa"/>
            <w:vAlign w:val="center"/>
          </w:tcPr>
          <w:p>
            <w:pPr>
              <w:pStyle w:val="123"/>
              <w:spacing w:before="0"/>
              <w:rPr>
                <w:rFonts w:ascii="Times New Roman" w:hAnsi="Times New Roman"/>
                <w:szCs w:val="21"/>
              </w:rPr>
            </w:pPr>
            <w:r>
              <w:rPr>
                <w:rFonts w:ascii="Times New Roman" w:hAnsi="Times New Roman"/>
                <w:szCs w:val="21"/>
              </w:rPr>
              <w:t>12.15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27</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3路</w:t>
            </w:r>
          </w:p>
        </w:tc>
        <w:tc>
          <w:tcPr>
            <w:tcW w:w="2405" w:type="dxa"/>
            <w:vAlign w:val="center"/>
          </w:tcPr>
          <w:p>
            <w:pPr>
              <w:pStyle w:val="123"/>
              <w:spacing w:before="0"/>
              <w:rPr>
                <w:rFonts w:ascii="Times New Roman" w:hAnsi="Times New Roman"/>
                <w:szCs w:val="21"/>
              </w:rPr>
            </w:pPr>
            <w:r>
              <w:rPr>
                <w:rFonts w:hint="eastAsia"/>
              </w:rPr>
              <w:t>教育园区—四川现代</w:t>
            </w:r>
          </w:p>
        </w:tc>
        <w:tc>
          <w:tcPr>
            <w:tcW w:w="1168" w:type="dxa"/>
            <w:vAlign w:val="center"/>
          </w:tcPr>
          <w:p>
            <w:pPr>
              <w:pStyle w:val="123"/>
              <w:spacing w:before="0"/>
              <w:rPr>
                <w:rFonts w:ascii="Times New Roman" w:hAnsi="Times New Roman"/>
                <w:szCs w:val="21"/>
              </w:rPr>
            </w:pPr>
            <w:r>
              <w:rPr>
                <w:rFonts w:ascii="Times New Roman" w:hAnsi="Times New Roman"/>
                <w:szCs w:val="21"/>
              </w:rPr>
              <w:t>16.50</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35</w:t>
            </w:r>
          </w:p>
        </w:tc>
        <w:tc>
          <w:tcPr>
            <w:tcW w:w="1048" w:type="dxa"/>
            <w:vAlign w:val="center"/>
          </w:tcPr>
          <w:p>
            <w:pPr>
              <w:pStyle w:val="123"/>
              <w:spacing w:before="0"/>
              <w:rPr>
                <w:rFonts w:ascii="Times New Roman" w:hAnsi="Times New Roman"/>
                <w:szCs w:val="21"/>
              </w:rPr>
            </w:pPr>
            <w:r>
              <w:rPr>
                <w:rFonts w:ascii="Times New Roman" w:hAnsi="Times New Roman"/>
                <w:szCs w:val="21"/>
              </w:rPr>
              <w:t>延伸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6路</w:t>
            </w:r>
          </w:p>
        </w:tc>
        <w:tc>
          <w:tcPr>
            <w:tcW w:w="2405" w:type="dxa"/>
            <w:vAlign w:val="center"/>
          </w:tcPr>
          <w:p>
            <w:pPr>
              <w:pStyle w:val="123"/>
              <w:spacing w:before="0"/>
              <w:rPr>
                <w:rFonts w:ascii="Times New Roman" w:hAnsi="Times New Roman"/>
                <w:szCs w:val="21"/>
              </w:rPr>
            </w:pPr>
            <w:r>
              <w:rPr>
                <w:rFonts w:hint="eastAsia"/>
              </w:rPr>
              <w:t>成渝高速路口公交站—马站</w:t>
            </w:r>
          </w:p>
        </w:tc>
        <w:tc>
          <w:tcPr>
            <w:tcW w:w="1168" w:type="dxa"/>
            <w:vAlign w:val="center"/>
          </w:tcPr>
          <w:p>
            <w:pPr>
              <w:pStyle w:val="123"/>
              <w:spacing w:before="0"/>
              <w:rPr>
                <w:rFonts w:ascii="Times New Roman" w:hAnsi="Times New Roman"/>
                <w:szCs w:val="21"/>
              </w:rPr>
            </w:pPr>
            <w:r>
              <w:rPr>
                <w:rFonts w:ascii="Times New Roman" w:hAnsi="Times New Roman"/>
                <w:szCs w:val="21"/>
              </w:rPr>
              <w:t>13.95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30</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7路</w:t>
            </w:r>
          </w:p>
        </w:tc>
        <w:tc>
          <w:tcPr>
            <w:tcW w:w="2405" w:type="dxa"/>
            <w:vAlign w:val="center"/>
          </w:tcPr>
          <w:p>
            <w:pPr>
              <w:pStyle w:val="123"/>
              <w:spacing w:before="0"/>
              <w:rPr>
                <w:rFonts w:ascii="Times New Roman" w:hAnsi="Times New Roman"/>
                <w:szCs w:val="21"/>
              </w:rPr>
            </w:pPr>
            <w:r>
              <w:rPr>
                <w:rFonts w:hint="eastAsia"/>
              </w:rPr>
              <w:t>教育园区—沱江新城—教育园区</w:t>
            </w:r>
          </w:p>
        </w:tc>
        <w:tc>
          <w:tcPr>
            <w:tcW w:w="1168" w:type="dxa"/>
            <w:vAlign w:val="center"/>
          </w:tcPr>
          <w:p>
            <w:pPr>
              <w:pStyle w:val="123"/>
              <w:spacing w:before="0"/>
              <w:rPr>
                <w:rFonts w:ascii="Times New Roman" w:hAnsi="Times New Roman"/>
                <w:szCs w:val="21"/>
              </w:rPr>
            </w:pPr>
            <w:r>
              <w:rPr>
                <w:rFonts w:ascii="Times New Roman" w:hAnsi="Times New Roman"/>
                <w:szCs w:val="21"/>
              </w:rPr>
              <w:t>18.12</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3</w:t>
            </w:r>
            <w:r>
              <w:rPr>
                <w:rFonts w:ascii="Times New Roman" w:hAnsi="Times New Roman"/>
                <w:szCs w:val="21"/>
              </w:rPr>
              <w:t>8</w:t>
            </w:r>
          </w:p>
        </w:tc>
        <w:tc>
          <w:tcPr>
            <w:tcW w:w="1048" w:type="dxa"/>
            <w:vAlign w:val="center"/>
          </w:tcPr>
          <w:p>
            <w:pPr>
              <w:pStyle w:val="123"/>
              <w:spacing w:before="0"/>
              <w:rPr>
                <w:rFonts w:ascii="Times New Roman" w:hAnsi="Times New Roman"/>
                <w:szCs w:val="21"/>
              </w:rPr>
            </w:pPr>
            <w:r>
              <w:rPr>
                <w:rFonts w:ascii="Times New Roman" w:hAnsi="Times New Roman"/>
                <w:szCs w:val="21"/>
              </w:rPr>
              <w:t>调整</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19" w:hRule="atLeast"/>
          <w:jc w:val="center"/>
        </w:trPr>
        <w:tc>
          <w:tcPr>
            <w:tcW w:w="1137" w:type="dxa"/>
            <w:vMerge w:val="restart"/>
            <w:vAlign w:val="center"/>
          </w:tcPr>
          <w:p>
            <w:pPr>
              <w:pStyle w:val="123"/>
              <w:spacing w:before="0"/>
              <w:rPr>
                <w:rFonts w:ascii="Times New Roman" w:hAnsi="Times New Roman"/>
                <w:szCs w:val="21"/>
              </w:rPr>
            </w:pPr>
            <w:r>
              <w:rPr>
                <w:rFonts w:ascii="Times New Roman" w:hAnsi="Times New Roman"/>
                <w:szCs w:val="21"/>
              </w:rPr>
              <w:t>支线</w:t>
            </w: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2路</w:t>
            </w:r>
          </w:p>
        </w:tc>
        <w:tc>
          <w:tcPr>
            <w:tcW w:w="2405" w:type="dxa"/>
            <w:vAlign w:val="center"/>
          </w:tcPr>
          <w:p>
            <w:pPr>
              <w:pStyle w:val="123"/>
              <w:spacing w:before="0"/>
              <w:rPr>
                <w:rFonts w:ascii="Times New Roman" w:hAnsi="Times New Roman"/>
                <w:szCs w:val="21"/>
              </w:rPr>
            </w:pPr>
            <w:r>
              <w:rPr>
                <w:rFonts w:hint="eastAsia"/>
              </w:rPr>
              <w:t>成渝高速路口公交站—成渝高速路口公交站（环线）</w:t>
            </w:r>
          </w:p>
        </w:tc>
        <w:tc>
          <w:tcPr>
            <w:tcW w:w="1168" w:type="dxa"/>
            <w:vAlign w:val="center"/>
          </w:tcPr>
          <w:p>
            <w:pPr>
              <w:pStyle w:val="123"/>
              <w:spacing w:before="0"/>
              <w:rPr>
                <w:rFonts w:ascii="Times New Roman" w:hAnsi="Times New Roman"/>
                <w:szCs w:val="21"/>
              </w:rPr>
            </w:pPr>
            <w:r>
              <w:rPr>
                <w:rFonts w:ascii="Times New Roman" w:hAnsi="Times New Roman"/>
                <w:szCs w:val="21"/>
              </w:rPr>
              <w:t>17.11</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46</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4路</w:t>
            </w:r>
          </w:p>
        </w:tc>
        <w:tc>
          <w:tcPr>
            <w:tcW w:w="2405" w:type="dxa"/>
            <w:vAlign w:val="center"/>
          </w:tcPr>
          <w:p>
            <w:pPr>
              <w:pStyle w:val="123"/>
              <w:spacing w:before="0"/>
              <w:rPr>
                <w:rFonts w:ascii="Times New Roman" w:hAnsi="Times New Roman"/>
                <w:szCs w:val="21"/>
              </w:rPr>
            </w:pPr>
            <w:r>
              <w:rPr>
                <w:rFonts w:hint="eastAsia"/>
              </w:rPr>
              <w:t>城东高铁站—教育园区</w:t>
            </w:r>
          </w:p>
        </w:tc>
        <w:tc>
          <w:tcPr>
            <w:tcW w:w="1168" w:type="dxa"/>
            <w:vAlign w:val="center"/>
          </w:tcPr>
          <w:p>
            <w:pPr>
              <w:pStyle w:val="123"/>
              <w:spacing w:before="0"/>
              <w:rPr>
                <w:rFonts w:ascii="Times New Roman" w:hAnsi="Times New Roman"/>
                <w:szCs w:val="21"/>
              </w:rPr>
            </w:pPr>
            <w:r>
              <w:rPr>
                <w:rFonts w:ascii="Times New Roman" w:hAnsi="Times New Roman"/>
                <w:szCs w:val="21"/>
              </w:rPr>
              <w:t>15.99</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43</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5路</w:t>
            </w:r>
          </w:p>
        </w:tc>
        <w:tc>
          <w:tcPr>
            <w:tcW w:w="2405" w:type="dxa"/>
            <w:vAlign w:val="center"/>
          </w:tcPr>
          <w:p>
            <w:pPr>
              <w:pStyle w:val="123"/>
              <w:spacing w:before="0"/>
              <w:rPr>
                <w:rFonts w:ascii="Times New Roman" w:hAnsi="Times New Roman"/>
                <w:szCs w:val="21"/>
              </w:rPr>
            </w:pPr>
            <w:r>
              <w:rPr>
                <w:rFonts w:hint="eastAsia"/>
              </w:rPr>
              <w:t>汽车客运中心—魏家湾</w:t>
            </w:r>
          </w:p>
        </w:tc>
        <w:tc>
          <w:tcPr>
            <w:tcW w:w="1168" w:type="dxa"/>
            <w:vAlign w:val="center"/>
          </w:tcPr>
          <w:p>
            <w:pPr>
              <w:pStyle w:val="123"/>
              <w:spacing w:before="0"/>
              <w:rPr>
                <w:rFonts w:ascii="Times New Roman" w:hAnsi="Times New Roman"/>
                <w:szCs w:val="21"/>
              </w:rPr>
            </w:pPr>
            <w:r>
              <w:rPr>
                <w:rFonts w:ascii="Times New Roman" w:hAnsi="Times New Roman"/>
                <w:szCs w:val="21"/>
              </w:rPr>
              <w:t>15.08</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41</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8路</w:t>
            </w:r>
          </w:p>
        </w:tc>
        <w:tc>
          <w:tcPr>
            <w:tcW w:w="2405" w:type="dxa"/>
            <w:vAlign w:val="center"/>
          </w:tcPr>
          <w:p>
            <w:pPr>
              <w:pStyle w:val="123"/>
              <w:spacing w:before="0"/>
              <w:rPr>
                <w:rFonts w:ascii="Times New Roman" w:hAnsi="Times New Roman"/>
                <w:szCs w:val="21"/>
              </w:rPr>
            </w:pPr>
            <w:r>
              <w:rPr>
                <w:rFonts w:hint="eastAsia"/>
              </w:rPr>
              <w:t>侯家坪派出所—教育园区</w:t>
            </w:r>
          </w:p>
        </w:tc>
        <w:tc>
          <w:tcPr>
            <w:tcW w:w="1168" w:type="dxa"/>
            <w:vAlign w:val="center"/>
          </w:tcPr>
          <w:p>
            <w:pPr>
              <w:pStyle w:val="123"/>
              <w:spacing w:before="0"/>
              <w:rPr>
                <w:rFonts w:ascii="Times New Roman" w:hAnsi="Times New Roman"/>
                <w:szCs w:val="21"/>
              </w:rPr>
            </w:pPr>
            <w:r>
              <w:rPr>
                <w:rFonts w:ascii="Times New Roman" w:hAnsi="Times New Roman"/>
                <w:szCs w:val="21"/>
              </w:rPr>
              <w:t>13.33</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37</w:t>
            </w:r>
          </w:p>
        </w:tc>
        <w:tc>
          <w:tcPr>
            <w:tcW w:w="1048" w:type="dxa"/>
            <w:vAlign w:val="center"/>
          </w:tcPr>
          <w:p>
            <w:pPr>
              <w:pStyle w:val="123"/>
              <w:spacing w:before="0"/>
              <w:rPr>
                <w:rFonts w:ascii="Times New Roman" w:hAnsi="Times New Roman"/>
                <w:szCs w:val="21"/>
              </w:rPr>
            </w:pPr>
            <w:r>
              <w:rPr>
                <w:rFonts w:ascii="Times New Roman" w:hAnsi="Times New Roman"/>
                <w:szCs w:val="21"/>
              </w:rPr>
              <w:t>延伸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9路</w:t>
            </w:r>
          </w:p>
        </w:tc>
        <w:tc>
          <w:tcPr>
            <w:tcW w:w="2405" w:type="dxa"/>
            <w:vAlign w:val="center"/>
          </w:tcPr>
          <w:p>
            <w:pPr>
              <w:pStyle w:val="123"/>
              <w:spacing w:before="0"/>
              <w:rPr>
                <w:szCs w:val="21"/>
              </w:rPr>
            </w:pPr>
            <w:r>
              <w:rPr>
                <w:rFonts w:hint="eastAsia"/>
              </w:rPr>
              <w:t>凤岭公园—四川现代</w:t>
            </w:r>
          </w:p>
        </w:tc>
        <w:tc>
          <w:tcPr>
            <w:tcW w:w="1168" w:type="dxa"/>
            <w:vAlign w:val="center"/>
          </w:tcPr>
          <w:p>
            <w:pPr>
              <w:pStyle w:val="123"/>
              <w:spacing w:before="0"/>
              <w:rPr>
                <w:rFonts w:ascii="Times New Roman" w:hAnsi="Times New Roman"/>
                <w:szCs w:val="21"/>
              </w:rPr>
            </w:pPr>
            <w:r>
              <w:rPr>
                <w:rFonts w:ascii="Times New Roman" w:hAnsi="Times New Roman"/>
                <w:szCs w:val="21"/>
              </w:rPr>
              <w:t>17.45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47</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10路</w:t>
            </w:r>
          </w:p>
        </w:tc>
        <w:tc>
          <w:tcPr>
            <w:tcW w:w="2405" w:type="dxa"/>
            <w:vAlign w:val="center"/>
          </w:tcPr>
          <w:p>
            <w:pPr>
              <w:pStyle w:val="123"/>
              <w:spacing w:before="0"/>
              <w:rPr>
                <w:rFonts w:ascii="Times New Roman" w:hAnsi="Times New Roman"/>
                <w:szCs w:val="21"/>
              </w:rPr>
            </w:pPr>
            <w:r>
              <w:rPr>
                <w:rFonts w:hint="eastAsia"/>
              </w:rPr>
              <w:t>成渝高速路口公交站—清巍汽车</w:t>
            </w:r>
            <w:r>
              <w:rPr>
                <w:rFonts w:ascii="Times New Roman" w:hAnsi="Times New Roman"/>
              </w:rPr>
              <w:t>4S</w:t>
            </w:r>
            <w:r>
              <w:rPr>
                <w:rFonts w:hint="eastAsia"/>
              </w:rPr>
              <w:t>商城（规划）</w:t>
            </w:r>
          </w:p>
        </w:tc>
        <w:tc>
          <w:tcPr>
            <w:tcW w:w="1168" w:type="dxa"/>
            <w:vAlign w:val="center"/>
          </w:tcPr>
          <w:p>
            <w:pPr>
              <w:pStyle w:val="123"/>
              <w:spacing w:before="0"/>
              <w:rPr>
                <w:rFonts w:ascii="Times New Roman" w:hAnsi="Times New Roman"/>
                <w:szCs w:val="21"/>
              </w:rPr>
            </w:pPr>
            <w:r>
              <w:rPr>
                <w:rFonts w:ascii="Times New Roman" w:hAnsi="Times New Roman"/>
                <w:szCs w:val="21"/>
              </w:rPr>
              <w:t>15.44</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42</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11路</w:t>
            </w:r>
          </w:p>
        </w:tc>
        <w:tc>
          <w:tcPr>
            <w:tcW w:w="2405" w:type="dxa"/>
            <w:vAlign w:val="center"/>
          </w:tcPr>
          <w:p>
            <w:pPr>
              <w:pStyle w:val="123"/>
              <w:spacing w:before="0"/>
              <w:rPr>
                <w:rFonts w:ascii="Times New Roman" w:hAnsi="Times New Roman"/>
                <w:szCs w:val="21"/>
              </w:rPr>
            </w:pPr>
            <w:r>
              <w:rPr>
                <w:rFonts w:hint="eastAsia"/>
              </w:rPr>
              <w:t>沱江新城—临空经济区地铁站</w:t>
            </w:r>
          </w:p>
        </w:tc>
        <w:tc>
          <w:tcPr>
            <w:tcW w:w="1168" w:type="dxa"/>
            <w:vAlign w:val="center"/>
          </w:tcPr>
          <w:p>
            <w:pPr>
              <w:pStyle w:val="123"/>
              <w:spacing w:before="0"/>
              <w:rPr>
                <w:rFonts w:ascii="Times New Roman" w:hAnsi="Times New Roman"/>
                <w:szCs w:val="21"/>
              </w:rPr>
            </w:pPr>
            <w:r>
              <w:rPr>
                <w:rFonts w:ascii="Times New Roman" w:hAnsi="Times New Roman"/>
                <w:szCs w:val="21"/>
              </w:rPr>
              <w:t>17.27</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46</w:t>
            </w:r>
          </w:p>
        </w:tc>
        <w:tc>
          <w:tcPr>
            <w:tcW w:w="1048" w:type="dxa"/>
            <w:vAlign w:val="center"/>
          </w:tcPr>
          <w:p>
            <w:pPr>
              <w:pStyle w:val="123"/>
              <w:spacing w:before="0"/>
              <w:rPr>
                <w:rFonts w:ascii="Times New Roman" w:hAnsi="Times New Roman"/>
                <w:szCs w:val="21"/>
              </w:rPr>
            </w:pPr>
            <w:r>
              <w:rPr>
                <w:rFonts w:ascii="Times New Roman" w:hAnsi="Times New Roman"/>
                <w:szCs w:val="21"/>
              </w:rPr>
              <w:t>延伸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12路</w:t>
            </w:r>
          </w:p>
        </w:tc>
        <w:tc>
          <w:tcPr>
            <w:tcW w:w="2405" w:type="dxa"/>
            <w:vAlign w:val="center"/>
          </w:tcPr>
          <w:p>
            <w:pPr>
              <w:pStyle w:val="123"/>
              <w:spacing w:before="0"/>
              <w:rPr>
                <w:rFonts w:ascii="Times New Roman" w:hAnsi="Times New Roman"/>
                <w:szCs w:val="21"/>
              </w:rPr>
            </w:pPr>
            <w:r>
              <w:rPr>
                <w:rFonts w:hint="eastAsia"/>
              </w:rPr>
              <w:t>成渝高速路口公交站—莲花办事处</w:t>
            </w:r>
          </w:p>
        </w:tc>
        <w:tc>
          <w:tcPr>
            <w:tcW w:w="1168" w:type="dxa"/>
            <w:vAlign w:val="center"/>
          </w:tcPr>
          <w:p>
            <w:pPr>
              <w:pStyle w:val="123"/>
              <w:spacing w:before="0"/>
              <w:rPr>
                <w:rFonts w:ascii="Times New Roman" w:hAnsi="Times New Roman"/>
                <w:szCs w:val="21"/>
              </w:rPr>
            </w:pPr>
            <w:r>
              <w:rPr>
                <w:rFonts w:ascii="Times New Roman" w:hAnsi="Times New Roman"/>
                <w:szCs w:val="21"/>
              </w:rPr>
              <w:t>6.36</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20</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w:t>
            </w:r>
            <w:r>
              <w:rPr>
                <w:rFonts w:ascii="Times New Roman" w:hAnsi="Times New Roman"/>
                <w:szCs w:val="21"/>
              </w:rPr>
              <w:t>4</w:t>
            </w:r>
            <w:r>
              <w:rPr>
                <w:rFonts w:hint="eastAsia" w:ascii="Times New Roman" w:hAnsi="Times New Roman"/>
                <w:szCs w:val="21"/>
              </w:rPr>
              <w:t>路</w:t>
            </w:r>
          </w:p>
        </w:tc>
        <w:tc>
          <w:tcPr>
            <w:tcW w:w="2405" w:type="dxa"/>
            <w:vAlign w:val="center"/>
          </w:tcPr>
          <w:p>
            <w:pPr>
              <w:pStyle w:val="123"/>
              <w:spacing w:before="0"/>
              <w:rPr>
                <w:rFonts w:ascii="Times New Roman" w:hAnsi="Times New Roman"/>
                <w:szCs w:val="21"/>
              </w:rPr>
            </w:pPr>
            <w:r>
              <w:rPr>
                <w:rFonts w:hint="eastAsia"/>
              </w:rPr>
              <w:t>城东高铁站—教育园区</w:t>
            </w:r>
          </w:p>
        </w:tc>
        <w:tc>
          <w:tcPr>
            <w:tcW w:w="1168" w:type="dxa"/>
            <w:vAlign w:val="center"/>
          </w:tcPr>
          <w:p>
            <w:pPr>
              <w:pStyle w:val="123"/>
              <w:spacing w:before="0"/>
              <w:rPr>
                <w:rFonts w:ascii="Times New Roman" w:hAnsi="Times New Roman"/>
                <w:szCs w:val="21"/>
              </w:rPr>
            </w:pPr>
            <w:r>
              <w:rPr>
                <w:rFonts w:ascii="Times New Roman" w:hAnsi="Times New Roman"/>
                <w:szCs w:val="21"/>
              </w:rPr>
              <w:t>15.63</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43</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15路</w:t>
            </w:r>
          </w:p>
        </w:tc>
        <w:tc>
          <w:tcPr>
            <w:tcW w:w="2405" w:type="dxa"/>
            <w:vAlign w:val="center"/>
          </w:tcPr>
          <w:p>
            <w:pPr>
              <w:pStyle w:val="123"/>
              <w:spacing w:before="0"/>
              <w:rPr>
                <w:rFonts w:ascii="Times New Roman" w:hAnsi="Times New Roman"/>
                <w:szCs w:val="21"/>
              </w:rPr>
            </w:pPr>
            <w:r>
              <w:rPr>
                <w:rFonts w:hint="eastAsia"/>
              </w:rPr>
              <w:t>清泉—汽车客运中心</w:t>
            </w:r>
          </w:p>
        </w:tc>
        <w:tc>
          <w:tcPr>
            <w:tcW w:w="1168" w:type="dxa"/>
            <w:vAlign w:val="center"/>
          </w:tcPr>
          <w:p>
            <w:pPr>
              <w:pStyle w:val="123"/>
              <w:spacing w:before="0"/>
              <w:rPr>
                <w:rFonts w:ascii="Times New Roman" w:hAnsi="Times New Roman"/>
                <w:szCs w:val="21"/>
              </w:rPr>
            </w:pPr>
            <w:r>
              <w:rPr>
                <w:rFonts w:ascii="Times New Roman" w:hAnsi="Times New Roman"/>
                <w:szCs w:val="21"/>
              </w:rPr>
              <w:t>20.39</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54</w:t>
            </w:r>
          </w:p>
        </w:tc>
        <w:tc>
          <w:tcPr>
            <w:tcW w:w="1048" w:type="dxa"/>
            <w:vAlign w:val="center"/>
          </w:tcPr>
          <w:p>
            <w:pPr>
              <w:pStyle w:val="123"/>
              <w:spacing w:before="0"/>
              <w:rPr>
                <w:rFonts w:ascii="Times New Roman" w:hAnsi="Times New Roman"/>
                <w:szCs w:val="21"/>
              </w:rPr>
            </w:pPr>
            <w:r>
              <w:rPr>
                <w:rFonts w:ascii="Times New Roman" w:hAnsi="Times New Roman"/>
                <w:szCs w:val="21"/>
              </w:rPr>
              <w:t>新增</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16路</w:t>
            </w:r>
          </w:p>
        </w:tc>
        <w:tc>
          <w:tcPr>
            <w:tcW w:w="2405" w:type="dxa"/>
            <w:vAlign w:val="center"/>
          </w:tcPr>
          <w:p>
            <w:pPr>
              <w:pStyle w:val="123"/>
              <w:spacing w:before="0"/>
              <w:rPr>
                <w:rFonts w:ascii="Times New Roman" w:hAnsi="Times New Roman"/>
                <w:szCs w:val="21"/>
              </w:rPr>
            </w:pPr>
            <w:r>
              <w:rPr>
                <w:rFonts w:hint="eastAsia"/>
              </w:rPr>
              <w:t>教育园区—侯家坪富友公司</w:t>
            </w:r>
          </w:p>
        </w:tc>
        <w:tc>
          <w:tcPr>
            <w:tcW w:w="1168" w:type="dxa"/>
            <w:vAlign w:val="center"/>
          </w:tcPr>
          <w:p>
            <w:pPr>
              <w:pStyle w:val="123"/>
              <w:spacing w:before="0"/>
              <w:rPr>
                <w:rFonts w:ascii="Times New Roman" w:hAnsi="Times New Roman"/>
                <w:szCs w:val="21"/>
              </w:rPr>
            </w:pPr>
            <w:r>
              <w:rPr>
                <w:rFonts w:ascii="Times New Roman" w:hAnsi="Times New Roman"/>
                <w:szCs w:val="21"/>
              </w:rPr>
              <w:t>16.05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44</w:t>
            </w:r>
          </w:p>
        </w:tc>
        <w:tc>
          <w:tcPr>
            <w:tcW w:w="1048" w:type="dxa"/>
            <w:vAlign w:val="center"/>
          </w:tcPr>
          <w:p>
            <w:pPr>
              <w:pStyle w:val="123"/>
              <w:spacing w:before="0"/>
              <w:rPr>
                <w:rFonts w:ascii="Times New Roman" w:hAnsi="Times New Roman"/>
                <w:szCs w:val="21"/>
              </w:rPr>
            </w:pPr>
            <w:r>
              <w:rPr>
                <w:rFonts w:ascii="Times New Roman" w:hAnsi="Times New Roman"/>
                <w:szCs w:val="21"/>
              </w:rPr>
              <w:t>延伸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17路</w:t>
            </w:r>
          </w:p>
        </w:tc>
        <w:tc>
          <w:tcPr>
            <w:tcW w:w="2405" w:type="dxa"/>
            <w:vAlign w:val="center"/>
          </w:tcPr>
          <w:p>
            <w:pPr>
              <w:pStyle w:val="123"/>
              <w:spacing w:before="0"/>
              <w:rPr>
                <w:rFonts w:ascii="Times New Roman" w:hAnsi="Times New Roman"/>
                <w:szCs w:val="21"/>
              </w:rPr>
            </w:pPr>
            <w:r>
              <w:rPr>
                <w:rFonts w:hint="eastAsia"/>
              </w:rPr>
              <w:t>侯家坪派出所—城东高铁站</w:t>
            </w:r>
          </w:p>
        </w:tc>
        <w:tc>
          <w:tcPr>
            <w:tcW w:w="1168" w:type="dxa"/>
            <w:vAlign w:val="center"/>
          </w:tcPr>
          <w:p>
            <w:pPr>
              <w:pStyle w:val="123"/>
              <w:spacing w:before="0"/>
              <w:rPr>
                <w:rFonts w:ascii="Times New Roman" w:hAnsi="Times New Roman"/>
                <w:szCs w:val="21"/>
              </w:rPr>
            </w:pPr>
            <w:r>
              <w:rPr>
                <w:rFonts w:ascii="Times New Roman" w:hAnsi="Times New Roman"/>
                <w:szCs w:val="21"/>
              </w:rPr>
              <w:t>14.15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39</w:t>
            </w:r>
          </w:p>
        </w:tc>
        <w:tc>
          <w:tcPr>
            <w:tcW w:w="1048" w:type="dxa"/>
            <w:vAlign w:val="center"/>
          </w:tcPr>
          <w:p>
            <w:pPr>
              <w:pStyle w:val="123"/>
              <w:spacing w:before="0"/>
              <w:rPr>
                <w:rFonts w:ascii="Times New Roman" w:hAnsi="Times New Roman"/>
                <w:szCs w:val="21"/>
              </w:rPr>
            </w:pPr>
            <w:r>
              <w:rPr>
                <w:rFonts w:ascii="Times New Roman" w:hAnsi="Times New Roman"/>
                <w:szCs w:val="21"/>
              </w:rPr>
              <w:t>延伸</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18路</w:t>
            </w:r>
          </w:p>
        </w:tc>
        <w:tc>
          <w:tcPr>
            <w:tcW w:w="2405" w:type="dxa"/>
            <w:vAlign w:val="center"/>
          </w:tcPr>
          <w:p>
            <w:pPr>
              <w:pStyle w:val="123"/>
              <w:spacing w:before="0"/>
              <w:rPr>
                <w:rFonts w:ascii="Times New Roman" w:hAnsi="Times New Roman"/>
                <w:szCs w:val="21"/>
              </w:rPr>
            </w:pPr>
            <w:r>
              <w:rPr>
                <w:rFonts w:hint="eastAsia"/>
              </w:rPr>
              <w:t>城东高铁站—四川现代</w:t>
            </w:r>
          </w:p>
        </w:tc>
        <w:tc>
          <w:tcPr>
            <w:tcW w:w="1168" w:type="dxa"/>
            <w:vAlign w:val="center"/>
          </w:tcPr>
          <w:p>
            <w:pPr>
              <w:pStyle w:val="123"/>
              <w:spacing w:before="0"/>
              <w:rPr>
                <w:rFonts w:ascii="Times New Roman" w:hAnsi="Times New Roman"/>
                <w:szCs w:val="21"/>
              </w:rPr>
            </w:pPr>
            <w:r>
              <w:rPr>
                <w:rFonts w:ascii="Times New Roman" w:hAnsi="Times New Roman"/>
                <w:szCs w:val="21"/>
              </w:rPr>
              <w:t>16.15</w:t>
            </w:r>
          </w:p>
        </w:tc>
        <w:tc>
          <w:tcPr>
            <w:tcW w:w="849" w:type="dxa"/>
            <w:vAlign w:val="center"/>
          </w:tcPr>
          <w:p>
            <w:pPr>
              <w:pStyle w:val="123"/>
              <w:spacing w:before="0"/>
              <w:rPr>
                <w:rFonts w:ascii="Times New Roman" w:hAnsi="Times New Roman"/>
                <w:szCs w:val="21"/>
              </w:rPr>
            </w:pPr>
            <w:r>
              <w:rPr>
                <w:rFonts w:hint="eastAsia" w:ascii="Times New Roman" w:hAnsi="Times New Roman"/>
                <w:szCs w:val="21"/>
              </w:rPr>
              <w:t>44</w:t>
            </w:r>
          </w:p>
        </w:tc>
        <w:tc>
          <w:tcPr>
            <w:tcW w:w="1048" w:type="dxa"/>
            <w:vAlign w:val="center"/>
          </w:tcPr>
          <w:p>
            <w:pPr>
              <w:pStyle w:val="123"/>
              <w:spacing w:before="0"/>
              <w:rPr>
                <w:rFonts w:ascii="Times New Roman" w:hAnsi="Times New Roman"/>
                <w:szCs w:val="21"/>
              </w:rPr>
            </w:pPr>
            <w:r>
              <w:rPr>
                <w:rFonts w:ascii="Times New Roman" w:hAnsi="Times New Roman"/>
                <w:szCs w:val="21"/>
              </w:rPr>
              <w:t>保留</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680" w:hRule="atLeast"/>
          <w:jc w:val="center"/>
        </w:trPr>
        <w:tc>
          <w:tcPr>
            <w:tcW w:w="1137" w:type="dxa"/>
            <w:vMerge w:val="continue"/>
            <w:vAlign w:val="center"/>
          </w:tcPr>
          <w:p>
            <w:pPr>
              <w:pStyle w:val="123"/>
              <w:spacing w:before="0"/>
              <w:rPr>
                <w:rFonts w:ascii="Times New Roman" w:hAnsi="Times New Roman"/>
                <w:szCs w:val="21"/>
              </w:rPr>
            </w:pPr>
          </w:p>
        </w:tc>
        <w:tc>
          <w:tcPr>
            <w:tcW w:w="1699" w:type="dxa"/>
            <w:vAlign w:val="center"/>
          </w:tcPr>
          <w:p>
            <w:pPr>
              <w:pStyle w:val="123"/>
              <w:spacing w:before="0"/>
              <w:rPr>
                <w:rFonts w:ascii="Times New Roman" w:hAnsi="Times New Roman"/>
                <w:szCs w:val="21"/>
              </w:rPr>
            </w:pPr>
            <w:r>
              <w:rPr>
                <w:rFonts w:hint="eastAsia" w:ascii="Times New Roman" w:hAnsi="Times New Roman"/>
                <w:szCs w:val="21"/>
              </w:rPr>
              <w:t>19路</w:t>
            </w:r>
          </w:p>
        </w:tc>
        <w:tc>
          <w:tcPr>
            <w:tcW w:w="2405" w:type="dxa"/>
            <w:vAlign w:val="center"/>
          </w:tcPr>
          <w:p>
            <w:pPr>
              <w:pStyle w:val="123"/>
              <w:spacing w:before="0"/>
              <w:rPr>
                <w:rFonts w:ascii="Times New Roman" w:hAnsi="Times New Roman"/>
                <w:szCs w:val="21"/>
              </w:rPr>
            </w:pPr>
            <w:r>
              <w:rPr>
                <w:rFonts w:hint="eastAsia"/>
              </w:rPr>
              <w:t>四川现代—魏家湾</w:t>
            </w:r>
          </w:p>
        </w:tc>
        <w:tc>
          <w:tcPr>
            <w:tcW w:w="1168" w:type="dxa"/>
            <w:vAlign w:val="center"/>
          </w:tcPr>
          <w:p>
            <w:pPr>
              <w:spacing w:before="0" w:after="0" w:line="240" w:lineRule="auto"/>
              <w:ind w:firstLine="0" w:firstLineChars="0"/>
              <w:jc w:val="center"/>
              <w:rPr>
                <w:rFonts w:cs="Times New Roman"/>
                <w:kern w:val="2"/>
                <w:sz w:val="21"/>
                <w:szCs w:val="21"/>
              </w:rPr>
            </w:pPr>
            <w:r>
              <w:rPr>
                <w:rFonts w:cs="Times New Roman"/>
                <w:sz w:val="21"/>
                <w:szCs w:val="21"/>
              </w:rPr>
              <w:t>15.07</w:t>
            </w:r>
          </w:p>
        </w:tc>
        <w:tc>
          <w:tcPr>
            <w:tcW w:w="849" w:type="dxa"/>
            <w:vAlign w:val="center"/>
          </w:tcPr>
          <w:p>
            <w:pPr>
              <w:spacing w:before="0" w:after="0" w:line="240" w:lineRule="auto"/>
              <w:ind w:firstLine="0" w:firstLineChars="0"/>
              <w:jc w:val="center"/>
              <w:rPr>
                <w:rFonts w:cs="Times New Roman"/>
                <w:kern w:val="2"/>
                <w:sz w:val="21"/>
                <w:szCs w:val="21"/>
              </w:rPr>
            </w:pPr>
            <w:r>
              <w:rPr>
                <w:rFonts w:hint="eastAsia" w:cs="Times New Roman"/>
                <w:kern w:val="2"/>
                <w:sz w:val="21"/>
                <w:szCs w:val="21"/>
              </w:rPr>
              <w:t>41</w:t>
            </w:r>
          </w:p>
        </w:tc>
        <w:tc>
          <w:tcPr>
            <w:tcW w:w="1048" w:type="dxa"/>
            <w:vAlign w:val="center"/>
          </w:tcPr>
          <w:p>
            <w:pPr>
              <w:spacing w:before="0" w:after="0" w:line="240" w:lineRule="auto"/>
              <w:ind w:firstLine="0" w:firstLineChars="0"/>
              <w:jc w:val="center"/>
              <w:rPr>
                <w:rFonts w:cs="Times New Roman"/>
                <w:kern w:val="2"/>
                <w:sz w:val="21"/>
                <w:szCs w:val="21"/>
              </w:rPr>
            </w:pPr>
            <w:r>
              <w:rPr>
                <w:rFonts w:cs="Times New Roman"/>
                <w:kern w:val="2"/>
                <w:sz w:val="21"/>
                <w:szCs w:val="21"/>
              </w:rPr>
              <w:t>新增</w:t>
            </w:r>
          </w:p>
        </w:tc>
      </w:tr>
      <w:tr>
        <w:tblPrEx>
          <w:tblBorders>
            <w:top w:val="single" w:color="auto" w:sz="18" w:space="0"/>
            <w:left w:val="none" w:color="auto" w:sz="0" w:space="0"/>
            <w:bottom w:val="single" w:color="auto" w:sz="18" w:space="0"/>
            <w:right w:val="none" w:color="auto" w:sz="0" w:space="0"/>
            <w:insideH w:val="single" w:color="auto" w:sz="4" w:space="0"/>
            <w:insideV w:val="single" w:color="auto" w:sz="4" w:space="0"/>
          </w:tblBorders>
          <w:tblLayout w:type="fixed"/>
        </w:tblPrEx>
        <w:trPr>
          <w:trHeight w:val="680" w:hRule="atLeast"/>
          <w:jc w:val="center"/>
        </w:trPr>
        <w:tc>
          <w:tcPr>
            <w:tcW w:w="2836" w:type="dxa"/>
            <w:gridSpan w:val="2"/>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合计</w:t>
            </w:r>
          </w:p>
        </w:tc>
        <w:tc>
          <w:tcPr>
            <w:tcW w:w="2405" w:type="dxa"/>
            <w:tcBorders>
              <w:top w:val="single" w:color="auto" w:sz="4" w:space="0"/>
              <w:bottom w:val="single" w:color="auto" w:sz="12" w:space="0"/>
            </w:tcBorders>
            <w:vAlign w:val="center"/>
          </w:tcPr>
          <w:p>
            <w:pPr>
              <w:pStyle w:val="123"/>
              <w:spacing w:before="0"/>
              <w:rPr>
                <w:rFonts w:ascii="Times New Roman" w:hAnsi="Times New Roman"/>
                <w:szCs w:val="21"/>
              </w:rPr>
            </w:pPr>
            <w:r>
              <w:rPr>
                <w:rFonts w:hint="eastAsia" w:ascii="Times New Roman" w:hAnsi="Times New Roman"/>
                <w:szCs w:val="21"/>
              </w:rPr>
              <w:t>—</w:t>
            </w:r>
          </w:p>
        </w:tc>
        <w:tc>
          <w:tcPr>
            <w:tcW w:w="1168"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hint="eastAsia" w:ascii="Times New Roman" w:hAnsi="Times New Roman"/>
                <w:b/>
                <w:szCs w:val="21"/>
              </w:rPr>
              <w:t>3</w:t>
            </w:r>
            <w:r>
              <w:rPr>
                <w:rFonts w:ascii="Times New Roman" w:hAnsi="Times New Roman"/>
                <w:b/>
                <w:szCs w:val="21"/>
              </w:rPr>
              <w:t>11.22</w:t>
            </w:r>
          </w:p>
        </w:tc>
        <w:tc>
          <w:tcPr>
            <w:tcW w:w="849"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785</w:t>
            </w:r>
          </w:p>
        </w:tc>
        <w:tc>
          <w:tcPr>
            <w:tcW w:w="1048" w:type="dxa"/>
            <w:tcBorders>
              <w:top w:val="single" w:color="auto" w:sz="4" w:space="0"/>
              <w:bottom w:val="single" w:color="auto" w:sz="12" w:space="0"/>
            </w:tcBorders>
            <w:vAlign w:val="center"/>
          </w:tcPr>
          <w:p>
            <w:pPr>
              <w:pStyle w:val="123"/>
              <w:spacing w:before="0"/>
              <w:rPr>
                <w:rFonts w:ascii="Times New Roman" w:hAnsi="Times New Roman"/>
                <w:b/>
                <w:szCs w:val="21"/>
              </w:rPr>
            </w:pPr>
            <w:r>
              <w:rPr>
                <w:rFonts w:ascii="Times New Roman" w:hAnsi="Times New Roman"/>
                <w:b/>
                <w:szCs w:val="21"/>
              </w:rPr>
              <w:t>--</w:t>
            </w:r>
          </w:p>
        </w:tc>
      </w:tr>
    </w:tbl>
    <w:p>
      <w:pPr>
        <w:pStyle w:val="113"/>
        <w:spacing w:before="0" w:after="0" w:line="240" w:lineRule="auto"/>
      </w:pPr>
    </w:p>
    <w:p>
      <w:pPr>
        <w:pStyle w:val="113"/>
        <w:spacing w:before="163" w:after="163"/>
        <w:sectPr>
          <w:pgSz w:w="11906" w:h="16838"/>
          <w:pgMar w:top="1440" w:right="1800" w:bottom="1440" w:left="1800" w:header="851" w:footer="992" w:gutter="0"/>
          <w:pgNumType w:start="1"/>
          <w:cols w:space="425" w:num="1"/>
          <w:docGrid w:type="lines" w:linePitch="326" w:charSpace="0"/>
        </w:sectPr>
      </w:pPr>
      <w:bookmarkStart w:id="16" w:name="_Toc362543100"/>
    </w:p>
    <w:bookmarkEnd w:id="16"/>
    <w:p>
      <w:pPr>
        <w:pStyle w:val="2"/>
        <w:spacing w:before="163" w:after="163"/>
      </w:pPr>
      <w:bookmarkStart w:id="17" w:name="_Toc518573647"/>
      <w:r>
        <w:rPr>
          <w:rFonts w:hint="eastAsia"/>
        </w:rPr>
        <w:t>第2章  城市公交发展现状分析</w:t>
      </w:r>
      <w:bookmarkEnd w:id="17"/>
    </w:p>
    <w:p>
      <w:pPr>
        <w:pStyle w:val="4"/>
        <w:spacing w:before="163" w:after="163"/>
      </w:pPr>
      <w:bookmarkStart w:id="18" w:name="_Toc518573648"/>
      <w:r>
        <w:rPr>
          <w:rFonts w:hint="eastAsia"/>
        </w:rPr>
        <w:t>2.1 城市发展现状分析</w:t>
      </w:r>
      <w:bookmarkEnd w:id="18"/>
    </w:p>
    <w:p>
      <w:pPr>
        <w:ind w:firstLine="482"/>
        <w:rPr>
          <w:b/>
        </w:rPr>
      </w:pPr>
      <w:r>
        <w:rPr>
          <w:rFonts w:hint="eastAsia"/>
          <w:b/>
        </w:rPr>
        <w:t>（1）路网格局</w:t>
      </w:r>
    </w:p>
    <w:p>
      <w:pPr>
        <w:ind w:firstLine="480"/>
      </w:pPr>
      <w:r>
        <w:t>资阳市城市道路网络布局可分为</w:t>
      </w:r>
      <w:r>
        <w:rPr>
          <w:rFonts w:hint="eastAsia"/>
        </w:rPr>
        <w:t>城中片、城南片、城北片及沱东片。城中片位于沱江与成渝铁路之间，是资阳市的老城区，路网结构接近方格网，路网分布集中，道路较窄；城北片位于成渝铁路西北方向，路网主要沿车城大道和娇子大道向北、向西扩展，其他区域道路密度较低；城南片位于沱江以西，侯家坪附近，路网为方格网结构，路网密度较低；沱东片位于沱江以东，路网沿沱江带状发展，道路大体平行或垂直于沱江方向。</w:t>
      </w:r>
    </w:p>
    <w:p>
      <w:pPr>
        <w:ind w:firstLine="480"/>
      </w:pPr>
      <w:r>
        <w:rPr>
          <w:rFonts w:hint="eastAsia"/>
        </w:rPr>
        <w:t>沱江两岸通过三座大桥连接，自北向南分别为沱江三桥、沱江一桥、沱江二桥。沱江三桥和沱江一桥将城中片和沱东片相连，而沱江二桥沟通了沱东片与城南片。</w:t>
      </w:r>
    </w:p>
    <w:p>
      <w:pPr>
        <w:pStyle w:val="115"/>
        <w:spacing w:before="163" w:after="163" w:line="360" w:lineRule="auto"/>
        <w:ind w:firstLine="482"/>
        <w:jc w:val="both"/>
        <w:rPr>
          <w:sz w:val="24"/>
          <w:szCs w:val="24"/>
        </w:rPr>
      </w:pPr>
      <w:r>
        <w:rPr>
          <w:rFonts w:hint="eastAsia"/>
          <w:sz w:val="24"/>
          <w:szCs w:val="24"/>
        </w:rPr>
        <w:t>（</w:t>
      </w:r>
      <w:r>
        <w:rPr>
          <w:rFonts w:ascii="Times New Roman" w:hAnsi="Times New Roman" w:cs="Times New Roman"/>
          <w:sz w:val="24"/>
          <w:szCs w:val="24"/>
        </w:rPr>
        <w:t>2</w:t>
      </w:r>
      <w:r>
        <w:rPr>
          <w:rFonts w:hint="eastAsia"/>
          <w:sz w:val="24"/>
          <w:szCs w:val="24"/>
        </w:rPr>
        <w:t>）公路客运站</w:t>
      </w:r>
    </w:p>
    <w:p>
      <w:pPr>
        <w:spacing w:before="163" w:after="163"/>
        <w:ind w:firstLine="480"/>
      </w:pPr>
      <w:r>
        <w:t>目前</w:t>
      </w:r>
      <w:r>
        <w:rPr>
          <w:rFonts w:hint="eastAsia"/>
        </w:rPr>
        <w:t>，资阳市中心城区共有资阳汽车客运中心和资阳市汽车客运站2个客运站。</w:t>
      </w:r>
    </w:p>
    <w:p>
      <w:pPr>
        <w:spacing w:before="163" w:after="163"/>
        <w:ind w:firstLine="480"/>
      </w:pPr>
      <w:r>
        <w:rPr>
          <w:rFonts w:hint="eastAsia"/>
        </w:rPr>
        <w:t>资阳汽车客运中心是一级客运站，位于书台路，占地面积72.6亩，日均运输旅客6500余人，主要开行以南以西方向的区内班车和开往</w:t>
      </w:r>
      <w:r>
        <w:t>成都、内江、泸州、简阳等跨市班车</w:t>
      </w:r>
      <w:r>
        <w:rPr>
          <w:rFonts w:hint="eastAsia"/>
        </w:rPr>
        <w:t>以及开往重庆、广州、东莞等地的跨省班车。</w:t>
      </w:r>
    </w:p>
    <w:p>
      <w:pPr>
        <w:spacing w:before="163" w:after="163"/>
        <w:ind w:firstLine="480"/>
      </w:pPr>
      <w:r>
        <w:t>资阳客运站位于建设东路</w:t>
      </w:r>
      <w:r>
        <w:rPr>
          <w:rFonts w:hint="eastAsia"/>
        </w:rPr>
        <w:t>，</w:t>
      </w:r>
      <w:r>
        <w:t>主要发往以北、东方向的区内班车</w:t>
      </w:r>
      <w:r>
        <w:rPr>
          <w:rFonts w:hint="eastAsia"/>
        </w:rPr>
        <w:t>以及</w:t>
      </w:r>
      <w:r>
        <w:t>发往省内遂宁、乐至、安岳的跨市班车</w:t>
      </w:r>
      <w:r>
        <w:rPr>
          <w:rFonts w:hint="eastAsia"/>
        </w:rPr>
        <w:t>。由于交通拥堵、场地狭窄，不能满足需要，规划搬迁至高铁资阳北站周边的城东客运枢纽站。</w:t>
      </w:r>
    </w:p>
    <w:p>
      <w:pPr>
        <w:pStyle w:val="134"/>
        <w:spacing w:before="163"/>
      </w:pPr>
      <w:r>
        <w:drawing>
          <wp:inline distT="0" distB="0" distL="0" distR="0">
            <wp:extent cx="3412490" cy="3487420"/>
            <wp:effectExtent l="19050" t="19050" r="16510" b="1778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30"/>
                    <a:stretch>
                      <a:fillRect/>
                    </a:stretch>
                  </pic:blipFill>
                  <pic:spPr>
                    <a:xfrm>
                      <a:off x="0" y="0"/>
                      <a:ext cx="3412800" cy="3487992"/>
                    </a:xfrm>
                    <a:prstGeom prst="rect">
                      <a:avLst/>
                    </a:prstGeom>
                    <a:ln>
                      <a:solidFill>
                        <a:schemeClr val="tx1"/>
                      </a:solidFill>
                    </a:ln>
                  </pic:spPr>
                </pic:pic>
              </a:graphicData>
            </a:graphic>
          </wp:inline>
        </w:drawing>
      </w:r>
    </w:p>
    <w:p>
      <w:pPr>
        <w:pStyle w:val="117"/>
      </w:pPr>
      <w:r>
        <w:rPr>
          <w:rFonts w:hint="eastAsia"/>
        </w:rPr>
        <w:t>图2-</w:t>
      </w:r>
      <w:r>
        <w:t xml:space="preserve">1  </w:t>
      </w:r>
      <w:r>
        <w:rPr>
          <w:rFonts w:hint="eastAsia"/>
        </w:rPr>
        <w:t>资阳市公路</w:t>
      </w:r>
      <w:r>
        <w:t>客运场站布局图</w:t>
      </w:r>
    </w:p>
    <w:p>
      <w:pPr>
        <w:pStyle w:val="115"/>
        <w:spacing w:before="163" w:after="163" w:line="360" w:lineRule="auto"/>
        <w:ind w:firstLine="482"/>
        <w:jc w:val="both"/>
        <w:rPr>
          <w:sz w:val="24"/>
          <w:szCs w:val="24"/>
        </w:rPr>
      </w:pPr>
      <w:r>
        <w:rPr>
          <w:rFonts w:hint="eastAsia"/>
          <w:sz w:val="24"/>
          <w:szCs w:val="24"/>
        </w:rPr>
        <w:t>（</w:t>
      </w:r>
      <w:r>
        <w:rPr>
          <w:rFonts w:ascii="Times New Roman" w:hAnsi="Times New Roman" w:cs="Times New Roman"/>
          <w:sz w:val="24"/>
          <w:szCs w:val="24"/>
        </w:rPr>
        <w:t>3</w:t>
      </w:r>
      <w:r>
        <w:rPr>
          <w:rFonts w:hint="eastAsia"/>
          <w:sz w:val="24"/>
          <w:szCs w:val="24"/>
        </w:rPr>
        <w:t>）铁路客运站</w:t>
      </w:r>
    </w:p>
    <w:p>
      <w:pPr>
        <w:pStyle w:val="115"/>
        <w:spacing w:before="163" w:after="163" w:line="360" w:lineRule="auto"/>
        <w:ind w:firstLine="480"/>
        <w:jc w:val="both"/>
        <w:rPr>
          <w:rFonts w:ascii="Times New Roman" w:hAnsi="Times New Roman" w:eastAsia="宋体"/>
          <w:b w:val="0"/>
          <w:kern w:val="0"/>
          <w:sz w:val="24"/>
          <w:szCs w:val="22"/>
        </w:rPr>
      </w:pPr>
      <w:r>
        <w:rPr>
          <w:rFonts w:hint="eastAsia" w:ascii="Times New Roman" w:hAnsi="Times New Roman" w:eastAsia="宋体"/>
          <w:b w:val="0"/>
          <w:kern w:val="0"/>
          <w:sz w:val="24"/>
          <w:szCs w:val="22"/>
        </w:rPr>
        <w:t>成渝铁路和成渝高铁过境资阳，</w:t>
      </w:r>
      <w:r>
        <w:rPr>
          <w:rFonts w:ascii="Times New Roman" w:hAnsi="Times New Roman" w:eastAsia="宋体"/>
          <w:b w:val="0"/>
          <w:kern w:val="0"/>
          <w:sz w:val="24"/>
          <w:szCs w:val="22"/>
        </w:rPr>
        <w:t>在中心城区</w:t>
      </w:r>
      <w:r>
        <w:rPr>
          <w:rFonts w:hint="eastAsia" w:ascii="Times New Roman" w:hAnsi="Times New Roman" w:eastAsia="宋体"/>
          <w:b w:val="0"/>
          <w:kern w:val="0"/>
          <w:sz w:val="24"/>
          <w:szCs w:val="22"/>
        </w:rPr>
        <w:t>各</w:t>
      </w:r>
      <w:r>
        <w:rPr>
          <w:rFonts w:ascii="Times New Roman" w:hAnsi="Times New Roman" w:eastAsia="宋体"/>
          <w:b w:val="0"/>
          <w:kern w:val="0"/>
          <w:sz w:val="24"/>
          <w:szCs w:val="22"/>
        </w:rPr>
        <w:t>设置一个</w:t>
      </w:r>
      <w:r>
        <w:rPr>
          <w:rFonts w:hint="eastAsia" w:ascii="Times New Roman" w:hAnsi="Times New Roman" w:eastAsia="宋体"/>
          <w:b w:val="0"/>
          <w:kern w:val="0"/>
          <w:sz w:val="24"/>
          <w:szCs w:val="22"/>
        </w:rPr>
        <w:t>客</w:t>
      </w:r>
      <w:r>
        <w:rPr>
          <w:rFonts w:ascii="Times New Roman" w:hAnsi="Times New Roman" w:eastAsia="宋体"/>
          <w:b w:val="0"/>
          <w:kern w:val="0"/>
          <w:sz w:val="24"/>
          <w:szCs w:val="22"/>
        </w:rPr>
        <w:t>运站</w:t>
      </w:r>
      <w:r>
        <w:rPr>
          <w:rFonts w:hint="eastAsia" w:ascii="Times New Roman" w:hAnsi="Times New Roman" w:eastAsia="宋体"/>
          <w:b w:val="0"/>
          <w:kern w:val="0"/>
          <w:sz w:val="24"/>
          <w:szCs w:val="22"/>
        </w:rPr>
        <w:t>，</w:t>
      </w:r>
      <w:r>
        <w:rPr>
          <w:rFonts w:ascii="Times New Roman" w:hAnsi="Times New Roman" w:eastAsia="宋体"/>
          <w:b w:val="0"/>
          <w:kern w:val="0"/>
          <w:sz w:val="24"/>
          <w:szCs w:val="22"/>
        </w:rPr>
        <w:t>分别</w:t>
      </w:r>
      <w:r>
        <w:rPr>
          <w:rFonts w:hint="eastAsia" w:ascii="Times New Roman" w:hAnsi="Times New Roman" w:eastAsia="宋体"/>
          <w:b w:val="0"/>
          <w:kern w:val="0"/>
          <w:sz w:val="24"/>
          <w:szCs w:val="22"/>
        </w:rPr>
        <w:t>为</w:t>
      </w:r>
      <w:r>
        <w:rPr>
          <w:rFonts w:ascii="Times New Roman" w:hAnsi="Times New Roman" w:eastAsia="宋体"/>
          <w:b w:val="0"/>
          <w:kern w:val="0"/>
          <w:sz w:val="24"/>
          <w:szCs w:val="22"/>
        </w:rPr>
        <w:t>资阳站和资阳北站</w:t>
      </w:r>
      <w:r>
        <w:rPr>
          <w:rFonts w:hint="eastAsia" w:ascii="Times New Roman" w:hAnsi="Times New Roman" w:eastAsia="宋体"/>
          <w:b w:val="0"/>
          <w:kern w:val="0"/>
          <w:sz w:val="24"/>
          <w:szCs w:val="22"/>
        </w:rPr>
        <w:t>。资阳站位于城中片北部，距成都站122km，距重庆站382km，隶属于中国铁路成都局集团有限公司成都车务段，现为三等站，主要直通客流为成都、昆明、广州等方向；资阳北站位于沱东片区，隶属于中国铁路成都局集团有限公司，现为一等站。</w:t>
      </w:r>
    </w:p>
    <w:p>
      <w:pPr>
        <w:pStyle w:val="134"/>
        <w:spacing w:before="163"/>
      </w:pPr>
      <w:r>
        <w:drawing>
          <wp:inline distT="0" distB="0" distL="0" distR="0">
            <wp:extent cx="3411220" cy="3698240"/>
            <wp:effectExtent l="19050" t="19050" r="17780" b="1651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31"/>
                    <a:stretch>
                      <a:fillRect/>
                    </a:stretch>
                  </pic:blipFill>
                  <pic:spPr>
                    <a:xfrm>
                      <a:off x="0" y="0"/>
                      <a:ext cx="3431164" cy="3719503"/>
                    </a:xfrm>
                    <a:prstGeom prst="rect">
                      <a:avLst/>
                    </a:prstGeom>
                    <a:ln>
                      <a:solidFill>
                        <a:schemeClr val="tx1"/>
                      </a:solidFill>
                    </a:ln>
                  </pic:spPr>
                </pic:pic>
              </a:graphicData>
            </a:graphic>
          </wp:inline>
        </w:drawing>
      </w:r>
    </w:p>
    <w:p>
      <w:pPr>
        <w:pStyle w:val="117"/>
      </w:pPr>
      <w:r>
        <w:rPr>
          <w:rFonts w:hint="eastAsia"/>
        </w:rPr>
        <w:t>图2-</w:t>
      </w:r>
      <w:r>
        <w:t>2</w:t>
      </w:r>
      <w:r>
        <w:rPr>
          <w:rFonts w:hint="eastAsia"/>
        </w:rPr>
        <w:t xml:space="preserve">  资阳市铁路客运场站布局图</w:t>
      </w:r>
    </w:p>
    <w:p>
      <w:pPr>
        <w:pStyle w:val="4"/>
        <w:spacing w:before="163" w:after="163" w:line="416" w:lineRule="auto"/>
      </w:pPr>
      <w:bookmarkStart w:id="19" w:name="_Toc518573649"/>
      <w:r>
        <w:rPr>
          <w:rFonts w:hint="eastAsia"/>
        </w:rPr>
        <w:t>2.2</w:t>
      </w:r>
      <w:r>
        <w:t xml:space="preserve"> </w:t>
      </w:r>
      <w:r>
        <w:rPr>
          <w:rFonts w:hint="eastAsia"/>
        </w:rPr>
        <w:t>公交企业经运营</w:t>
      </w:r>
      <w:r>
        <w:t>现状分析</w:t>
      </w:r>
      <w:bookmarkEnd w:id="19"/>
    </w:p>
    <w:p>
      <w:pPr>
        <w:spacing w:before="163" w:after="163"/>
        <w:ind w:firstLine="480"/>
      </w:pPr>
      <w:r>
        <w:t>资阳市城市公共交通有限责任公司是承接资阳市公共交通业务的国有企业</w:t>
      </w:r>
      <w:r>
        <w:rPr>
          <w:rFonts w:hint="eastAsia"/>
        </w:rPr>
        <w:t>，于2017年12月1日完成注册，2018年1月19日正式接管中心城区的城市公交业务。截至2018年3月16日，公司在职员工299人，其中驾驶员186人，拥有城市公交车206辆，预计2018年新购置60辆新能源公交车。开行公交线路17条，有公交场站三处，总占地面积94亩。</w:t>
      </w:r>
    </w:p>
    <w:p>
      <w:pPr>
        <w:pStyle w:val="4"/>
        <w:spacing w:before="163" w:after="163"/>
      </w:pPr>
      <w:bookmarkStart w:id="20" w:name="_Toc518573650"/>
      <w:r>
        <w:rPr>
          <w:rFonts w:hint="eastAsia"/>
        </w:rPr>
        <w:t>2.3</w:t>
      </w:r>
      <w:r>
        <w:t xml:space="preserve"> </w:t>
      </w:r>
      <w:r>
        <w:rPr>
          <w:rFonts w:hint="eastAsia"/>
        </w:rPr>
        <w:t>公交</w:t>
      </w:r>
      <w:r>
        <w:t>客流分析</w:t>
      </w:r>
      <w:bookmarkEnd w:id="20"/>
    </w:p>
    <w:p>
      <w:pPr>
        <w:pStyle w:val="5"/>
      </w:pPr>
      <w:bookmarkStart w:id="21" w:name="_Toc518573651"/>
      <w:r>
        <w:rPr>
          <w:rFonts w:hint="eastAsia"/>
        </w:rPr>
        <w:t>2.3.1</w:t>
      </w:r>
      <w:r>
        <w:t xml:space="preserve"> </w:t>
      </w:r>
      <w:r>
        <w:rPr>
          <w:rFonts w:hint="eastAsia"/>
        </w:rPr>
        <w:t>日均客流量</w:t>
      </w:r>
      <w:r>
        <w:t>分析</w:t>
      </w:r>
      <w:bookmarkEnd w:id="21"/>
    </w:p>
    <w:p>
      <w:pPr>
        <w:ind w:firstLine="480"/>
      </w:pPr>
      <w:r>
        <w:rPr>
          <w:rFonts w:hint="eastAsia"/>
        </w:rPr>
        <w:t>通过调研发现</w:t>
      </w:r>
      <w:r>
        <w:t>，</w:t>
      </w:r>
      <w:r>
        <w:rPr>
          <w:rFonts w:hint="eastAsia"/>
        </w:rPr>
        <w:t>资阳</w:t>
      </w:r>
      <w:r>
        <w:t>市中心城区公交线路的日均</w:t>
      </w:r>
      <w:r>
        <w:rPr>
          <w:rFonts w:hint="eastAsia"/>
        </w:rPr>
        <w:t>客流</w:t>
      </w:r>
      <w:r>
        <w:t>强度水平为226</w:t>
      </w:r>
      <w:r>
        <w:rPr>
          <w:rFonts w:hint="eastAsia"/>
        </w:rPr>
        <w:t>人次/km，线路</w:t>
      </w:r>
      <w:r>
        <w:t>日均客流强度最高达到513</w:t>
      </w:r>
      <w:r>
        <w:rPr>
          <w:rFonts w:hint="eastAsia"/>
        </w:rPr>
        <w:t>人次/</w:t>
      </w:r>
      <w:r>
        <w:t>km</w:t>
      </w:r>
      <w:r>
        <w:rPr>
          <w:rFonts w:hint="eastAsia"/>
        </w:rPr>
        <w:t>，</w:t>
      </w:r>
      <w:r>
        <w:t>为1</w:t>
      </w:r>
      <w:r>
        <w:rPr>
          <w:rFonts w:hint="eastAsia"/>
        </w:rPr>
        <w:t>路</w:t>
      </w:r>
      <w:r>
        <w:t>；</w:t>
      </w:r>
      <w:r>
        <w:rPr>
          <w:rFonts w:hint="eastAsia"/>
        </w:rPr>
        <w:t>线路</w:t>
      </w:r>
      <w:r>
        <w:t>日均客流强度最</w:t>
      </w:r>
      <w:r>
        <w:rPr>
          <w:rFonts w:hint="eastAsia"/>
        </w:rPr>
        <w:t>低为</w:t>
      </w:r>
      <w:r>
        <w:t>18</w:t>
      </w:r>
      <w:r>
        <w:rPr>
          <w:rFonts w:hint="eastAsia"/>
        </w:rPr>
        <w:t>人次/</w:t>
      </w:r>
      <w:r>
        <w:t>km</w:t>
      </w:r>
      <w:r>
        <w:rPr>
          <w:rFonts w:hint="eastAsia"/>
        </w:rPr>
        <w:t>，</w:t>
      </w:r>
      <w:r>
        <w:t>为11</w:t>
      </w:r>
      <w:r>
        <w:rPr>
          <w:rFonts w:hint="eastAsia"/>
        </w:rPr>
        <w:t>路</w:t>
      </w:r>
      <w:r>
        <w:t>。城区现状</w:t>
      </w:r>
      <w:r>
        <w:rPr>
          <w:rFonts w:hint="eastAsia"/>
        </w:rPr>
        <w:t>17条线路中，有</w:t>
      </w:r>
      <w:r>
        <w:t>8</w:t>
      </w:r>
      <w:r>
        <w:rPr>
          <w:rFonts w:hint="eastAsia"/>
        </w:rPr>
        <w:t>条线路的日均客流强度低于平均水平，约占47%。资阳市线路日均客流强度水平如图2</w:t>
      </w:r>
      <w:r>
        <w:t>-3</w:t>
      </w:r>
      <w:r>
        <w:rPr>
          <w:rFonts w:hint="eastAsia"/>
        </w:rPr>
        <w:t>所示。</w:t>
      </w:r>
    </w:p>
    <w:p>
      <w:pPr>
        <w:pStyle w:val="117"/>
      </w:pPr>
      <w:r>
        <w:rPr>
          <w:rFonts w:hint="eastAsia"/>
        </w:rPr>
        <w:drawing>
          <wp:inline distT="0" distB="0" distL="0" distR="0">
            <wp:extent cx="5274310" cy="3076575"/>
            <wp:effectExtent l="0" t="0" r="2540" b="9525"/>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Pr>
          <w:rFonts w:hint="eastAsia"/>
        </w:rPr>
        <w:t>图2-</w:t>
      </w:r>
      <w:r>
        <w:t>3</w:t>
      </w:r>
      <w:r>
        <w:rPr>
          <w:rFonts w:hint="eastAsia"/>
        </w:rPr>
        <w:t xml:space="preserve">  线路</w:t>
      </w:r>
      <w:r>
        <w:t>日均客流强度统计（</w:t>
      </w:r>
      <w:r>
        <w:rPr>
          <w:rFonts w:hint="eastAsia"/>
        </w:rPr>
        <w:t>人次/km</w:t>
      </w:r>
      <w:r>
        <w:t>）</w:t>
      </w:r>
    </w:p>
    <w:p>
      <w:pPr>
        <w:ind w:firstLine="480"/>
      </w:pPr>
      <w:r>
        <w:t>另外</w:t>
      </w:r>
      <w:r>
        <w:rPr>
          <w:rFonts w:hint="eastAsia"/>
        </w:rPr>
        <w:t>，以单辆公交车为研究对象，可以得出每条线路的单车日均客流强度分布情况（见图2-</w:t>
      </w:r>
      <w:r>
        <w:t>4</w:t>
      </w:r>
      <w:r>
        <w:rPr>
          <w:rFonts w:hint="eastAsia"/>
        </w:rPr>
        <w:t>）。可以看出，资阳</w:t>
      </w:r>
      <w:r>
        <w:t>中心城区公交客流在不同线路</w:t>
      </w:r>
      <w:r>
        <w:rPr>
          <w:rFonts w:hint="eastAsia"/>
        </w:rPr>
        <w:t>的</w:t>
      </w:r>
      <w:r>
        <w:t>分布较为均匀</w:t>
      </w:r>
      <w:r>
        <w:rPr>
          <w:rFonts w:hint="eastAsia"/>
        </w:rPr>
        <w:t>，1路单车日均客流强度</w:t>
      </w:r>
      <w:r>
        <w:t>最高</w:t>
      </w:r>
      <w:r>
        <w:rPr>
          <w:rFonts w:hint="eastAsia"/>
        </w:rPr>
        <w:t>，</w:t>
      </w:r>
      <w:r>
        <w:t>为</w:t>
      </w:r>
      <w:r>
        <w:rPr>
          <w:rFonts w:hint="eastAsia"/>
        </w:rPr>
        <w:t>384人次/车，1</w:t>
      </w:r>
      <w:r>
        <w:t>8</w:t>
      </w:r>
      <w:r>
        <w:rPr>
          <w:rFonts w:hint="eastAsia"/>
        </w:rPr>
        <w:t>路单车日均客流强度</w:t>
      </w:r>
      <w:r>
        <w:t>最</w:t>
      </w:r>
      <w:r>
        <w:rPr>
          <w:rFonts w:hint="eastAsia"/>
        </w:rPr>
        <w:t>低，</w:t>
      </w:r>
      <w:r>
        <w:t>为66</w:t>
      </w:r>
      <w:r>
        <w:rPr>
          <w:rFonts w:hint="eastAsia"/>
        </w:rPr>
        <w:t>人次/车。平均单车日客流强度为263人次/车，有47%的线路低于该水平。除18路外，9路、1</w:t>
      </w:r>
      <w:r>
        <w:t>1路</w:t>
      </w:r>
      <w:r>
        <w:rPr>
          <w:rFonts w:hint="eastAsia"/>
        </w:rPr>
        <w:t>的单车日均客流强度也低于100人次/车，为90人次/车。</w:t>
      </w:r>
    </w:p>
    <w:p>
      <w:pPr>
        <w:pStyle w:val="134"/>
        <w:spacing w:before="163"/>
      </w:pPr>
      <w:r>
        <w:rPr>
          <w:rFonts w:hint="eastAsia"/>
        </w:rPr>
        <w:drawing>
          <wp:inline distT="0" distB="0" distL="0" distR="0">
            <wp:extent cx="5274310" cy="3076575"/>
            <wp:effectExtent l="0" t="0" r="2540" b="9525"/>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pPr>
        <w:pStyle w:val="117"/>
      </w:pPr>
      <w:r>
        <w:rPr>
          <w:rFonts w:hint="eastAsia"/>
        </w:rPr>
        <w:t>图2-</w:t>
      </w:r>
      <w:r>
        <w:t>4</w:t>
      </w:r>
      <w:r>
        <w:rPr>
          <w:rFonts w:hint="eastAsia"/>
        </w:rPr>
        <w:t xml:space="preserve">  单车</w:t>
      </w:r>
      <w:r>
        <w:t>日均客流强度统计（</w:t>
      </w:r>
      <w:r>
        <w:rPr>
          <w:rFonts w:hint="eastAsia"/>
        </w:rPr>
        <w:t>人次/车</w:t>
      </w:r>
      <w:r>
        <w:t>）</w:t>
      </w:r>
    </w:p>
    <w:p>
      <w:pPr>
        <w:pStyle w:val="117"/>
        <w:sectPr>
          <w:pgSz w:w="11906" w:h="16838"/>
          <w:pgMar w:top="1440" w:right="1800" w:bottom="1440" w:left="1800" w:header="851" w:footer="992" w:gutter="0"/>
          <w:cols w:space="425" w:num="1"/>
          <w:docGrid w:type="lines" w:linePitch="326" w:charSpace="0"/>
        </w:sectPr>
      </w:pPr>
    </w:p>
    <w:p>
      <w:pPr>
        <w:pStyle w:val="113"/>
        <w:spacing w:before="163" w:after="163"/>
      </w:pPr>
      <w:r>
        <w:t xml:space="preserve">表2-1 </w:t>
      </w:r>
      <w:r>
        <w:rPr>
          <w:rFonts w:hint="eastAsia"/>
        </w:rPr>
        <w:t xml:space="preserve"> 资阳</w:t>
      </w:r>
      <w:r>
        <w:t>城区公交线路现状客流量统计表</w:t>
      </w:r>
    </w:p>
    <w:tbl>
      <w:tblPr>
        <w:tblStyle w:val="94"/>
        <w:tblW w:w="13958" w:type="dxa"/>
        <w:jc w:val="center"/>
        <w:tblInd w:w="0" w:type="dxa"/>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197"/>
        <w:gridCol w:w="2970"/>
        <w:gridCol w:w="1544"/>
        <w:gridCol w:w="1390"/>
        <w:gridCol w:w="1234"/>
        <w:gridCol w:w="1851"/>
        <w:gridCol w:w="1851"/>
        <w:gridCol w:w="1921"/>
      </w:tblGrid>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928" w:hRule="atLeast"/>
          <w:tblHeader/>
          <w:jc w:val="center"/>
        </w:trPr>
        <w:tc>
          <w:tcPr>
            <w:tcW w:w="1197" w:type="dxa"/>
            <w:tcBorders>
              <w:top w:val="single" w:color="auto" w:sz="12" w:space="0"/>
              <w:left w:val="nil"/>
              <w:bottom w:val="single" w:color="auto" w:sz="12" w:space="0"/>
            </w:tcBorders>
            <w:shd w:val="clear" w:color="auto" w:fill="CCC0D9" w:themeFill="accent4" w:themeFillTint="66"/>
            <w:vAlign w:val="center"/>
          </w:tcPr>
          <w:p>
            <w:pPr>
              <w:pStyle w:val="151"/>
              <w:rPr>
                <w:rFonts w:cs="仿宋_GB2312"/>
                <w:b/>
              </w:rPr>
            </w:pPr>
            <w:r>
              <w:rPr>
                <w:rFonts w:hint="eastAsia" w:cs="仿宋_GB2312"/>
                <w:b/>
              </w:rPr>
              <w:t>线路编号</w:t>
            </w:r>
          </w:p>
        </w:tc>
        <w:tc>
          <w:tcPr>
            <w:tcW w:w="2970"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起讫点</w:t>
            </w:r>
          </w:p>
        </w:tc>
        <w:tc>
          <w:tcPr>
            <w:tcW w:w="1544"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单边里程（</w:t>
            </w:r>
            <w:r>
              <w:rPr>
                <w:rFonts w:cs="仿宋_GB2312"/>
                <w:b/>
              </w:rPr>
              <w:t>km</w:t>
            </w:r>
            <w:r>
              <w:rPr>
                <w:rFonts w:hint="eastAsia" w:cs="仿宋_GB2312"/>
                <w:b/>
              </w:rPr>
              <w:t>）</w:t>
            </w:r>
          </w:p>
        </w:tc>
        <w:tc>
          <w:tcPr>
            <w:tcW w:w="1390"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中途站点数（个）</w:t>
            </w:r>
          </w:p>
        </w:tc>
        <w:tc>
          <w:tcPr>
            <w:tcW w:w="1234"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车辆数（辆）</w:t>
            </w:r>
          </w:p>
        </w:tc>
        <w:tc>
          <w:tcPr>
            <w:tcW w:w="1851"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单车日均客运量（人次）</w:t>
            </w:r>
          </w:p>
        </w:tc>
        <w:tc>
          <w:tcPr>
            <w:tcW w:w="1851" w:type="dxa"/>
            <w:tcBorders>
              <w:top w:val="single" w:color="auto" w:sz="12" w:space="0"/>
              <w:bottom w:val="single" w:color="auto" w:sz="12" w:space="0"/>
            </w:tcBorders>
            <w:shd w:val="clear" w:color="auto" w:fill="CCC0D9" w:themeFill="accent4" w:themeFillTint="66"/>
            <w:vAlign w:val="center"/>
          </w:tcPr>
          <w:p>
            <w:pPr>
              <w:pStyle w:val="151"/>
              <w:rPr>
                <w:rFonts w:cs="仿宋_GB2312"/>
                <w:b/>
              </w:rPr>
            </w:pPr>
            <w:r>
              <w:rPr>
                <w:rFonts w:hint="eastAsia" w:cs="仿宋_GB2312"/>
                <w:b/>
              </w:rPr>
              <w:t>线路日均客流量（人次）</w:t>
            </w:r>
          </w:p>
        </w:tc>
        <w:tc>
          <w:tcPr>
            <w:tcW w:w="1921" w:type="dxa"/>
            <w:tcBorders>
              <w:top w:val="single" w:color="auto" w:sz="12" w:space="0"/>
              <w:bottom w:val="single" w:color="auto" w:sz="12" w:space="0"/>
              <w:right w:val="nil"/>
            </w:tcBorders>
            <w:shd w:val="clear" w:color="auto" w:fill="CCC0D9" w:themeFill="accent4" w:themeFillTint="66"/>
            <w:vAlign w:val="center"/>
          </w:tcPr>
          <w:p>
            <w:pPr>
              <w:pStyle w:val="151"/>
              <w:rPr>
                <w:rFonts w:cs="仿宋_GB2312"/>
                <w:b/>
              </w:rPr>
            </w:pPr>
            <w:r>
              <w:rPr>
                <w:rFonts w:hint="eastAsia" w:cs="仿宋_GB2312"/>
                <w:b/>
              </w:rPr>
              <w:t>线路日均客流强度（人次</w:t>
            </w:r>
            <w:r>
              <w:rPr>
                <w:rFonts w:cs="仿宋_GB2312"/>
                <w:b/>
              </w:rPr>
              <w:t>/km</w:t>
            </w:r>
            <w:r>
              <w:rPr>
                <w:rFonts w:hint="eastAsia" w:cs="仿宋_GB2312"/>
                <w:b/>
              </w:rPr>
              <w:t>）</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12" w:space="0"/>
            </w:tcBorders>
            <w:vAlign w:val="center"/>
          </w:tcPr>
          <w:p>
            <w:pPr>
              <w:spacing w:after="0"/>
              <w:ind w:firstLine="0" w:firstLineChars="0"/>
              <w:jc w:val="center"/>
              <w:rPr>
                <w:sz w:val="21"/>
                <w:szCs w:val="21"/>
              </w:rPr>
            </w:pPr>
            <w:r>
              <w:rPr>
                <w:rFonts w:hint="eastAsia"/>
                <w:sz w:val="21"/>
                <w:szCs w:val="21"/>
              </w:rPr>
              <w:t>1路</w:t>
            </w:r>
          </w:p>
        </w:tc>
        <w:tc>
          <w:tcPr>
            <w:tcW w:w="2970" w:type="dxa"/>
            <w:tcBorders>
              <w:top w:val="single" w:color="auto" w:sz="12" w:space="0"/>
            </w:tcBorders>
            <w:vAlign w:val="center"/>
          </w:tcPr>
          <w:p>
            <w:pPr>
              <w:spacing w:after="0"/>
              <w:ind w:firstLine="0" w:firstLineChars="0"/>
              <w:jc w:val="center"/>
              <w:rPr>
                <w:sz w:val="21"/>
                <w:szCs w:val="21"/>
              </w:rPr>
            </w:pPr>
            <w:r>
              <w:rPr>
                <w:rFonts w:hint="eastAsia"/>
                <w:sz w:val="21"/>
                <w:szCs w:val="21"/>
              </w:rPr>
              <w:t>汽车客运中心—清泉</w:t>
            </w:r>
          </w:p>
        </w:tc>
        <w:tc>
          <w:tcPr>
            <w:tcW w:w="1544" w:type="dxa"/>
            <w:tcBorders>
              <w:top w:val="single" w:color="auto" w:sz="12" w:space="0"/>
            </w:tcBorders>
            <w:vAlign w:val="center"/>
          </w:tcPr>
          <w:p>
            <w:pPr>
              <w:spacing w:after="0"/>
              <w:ind w:firstLine="0" w:firstLineChars="0"/>
              <w:jc w:val="center"/>
              <w:rPr>
                <w:sz w:val="21"/>
                <w:szCs w:val="21"/>
              </w:rPr>
            </w:pPr>
            <w:r>
              <w:rPr>
                <w:sz w:val="21"/>
                <w:szCs w:val="21"/>
              </w:rPr>
              <w:t>12.7</w:t>
            </w:r>
          </w:p>
        </w:tc>
        <w:tc>
          <w:tcPr>
            <w:tcW w:w="1390" w:type="dxa"/>
            <w:tcBorders>
              <w:top w:val="single" w:color="auto" w:sz="12" w:space="0"/>
            </w:tcBorders>
            <w:vAlign w:val="center"/>
          </w:tcPr>
          <w:p>
            <w:pPr>
              <w:spacing w:after="0"/>
              <w:ind w:firstLine="0" w:firstLineChars="0"/>
              <w:jc w:val="center"/>
              <w:rPr>
                <w:sz w:val="21"/>
                <w:szCs w:val="21"/>
              </w:rPr>
            </w:pPr>
            <w:r>
              <w:rPr>
                <w:sz w:val="21"/>
                <w:szCs w:val="21"/>
              </w:rPr>
              <w:t>23</w:t>
            </w:r>
          </w:p>
        </w:tc>
        <w:tc>
          <w:tcPr>
            <w:tcW w:w="1234" w:type="dxa"/>
            <w:tcBorders>
              <w:top w:val="single" w:color="auto" w:sz="12" w:space="0"/>
            </w:tcBorders>
            <w:vAlign w:val="center"/>
          </w:tcPr>
          <w:p>
            <w:pPr>
              <w:spacing w:after="0"/>
              <w:ind w:firstLine="0" w:firstLineChars="0"/>
              <w:jc w:val="center"/>
              <w:rPr>
                <w:sz w:val="21"/>
                <w:szCs w:val="21"/>
              </w:rPr>
            </w:pPr>
            <w:r>
              <w:rPr>
                <w:sz w:val="21"/>
                <w:szCs w:val="21"/>
              </w:rPr>
              <w:t>17</w:t>
            </w:r>
          </w:p>
        </w:tc>
        <w:tc>
          <w:tcPr>
            <w:tcW w:w="1851" w:type="dxa"/>
            <w:tcBorders>
              <w:top w:val="single" w:color="auto" w:sz="12" w:space="0"/>
            </w:tcBorders>
            <w:vAlign w:val="center"/>
          </w:tcPr>
          <w:p>
            <w:pPr>
              <w:spacing w:after="0"/>
              <w:ind w:firstLine="0" w:firstLineChars="0"/>
              <w:jc w:val="center"/>
              <w:rPr>
                <w:sz w:val="21"/>
                <w:szCs w:val="21"/>
              </w:rPr>
            </w:pPr>
            <w:r>
              <w:rPr>
                <w:sz w:val="21"/>
                <w:szCs w:val="21"/>
              </w:rPr>
              <w:t>384</w:t>
            </w:r>
          </w:p>
        </w:tc>
        <w:tc>
          <w:tcPr>
            <w:tcW w:w="1851" w:type="dxa"/>
            <w:tcBorders>
              <w:top w:val="single" w:color="auto" w:sz="12" w:space="0"/>
            </w:tcBorders>
            <w:vAlign w:val="center"/>
          </w:tcPr>
          <w:p>
            <w:pPr>
              <w:spacing w:after="0"/>
              <w:ind w:firstLine="0" w:firstLineChars="0"/>
              <w:jc w:val="center"/>
              <w:rPr>
                <w:sz w:val="21"/>
                <w:szCs w:val="21"/>
              </w:rPr>
            </w:pPr>
            <w:r>
              <w:rPr>
                <w:sz w:val="21"/>
                <w:szCs w:val="21"/>
              </w:rPr>
              <w:t>6520</w:t>
            </w:r>
          </w:p>
        </w:tc>
        <w:tc>
          <w:tcPr>
            <w:tcW w:w="1921" w:type="dxa"/>
            <w:tcBorders>
              <w:top w:val="single" w:color="auto" w:sz="12" w:space="0"/>
            </w:tcBorders>
            <w:vAlign w:val="center"/>
          </w:tcPr>
          <w:p>
            <w:pPr>
              <w:spacing w:after="0"/>
              <w:ind w:firstLine="0" w:firstLineChars="0"/>
              <w:jc w:val="center"/>
              <w:rPr>
                <w:sz w:val="21"/>
                <w:szCs w:val="21"/>
              </w:rPr>
            </w:pPr>
            <w:r>
              <w:rPr>
                <w:sz w:val="21"/>
                <w:szCs w:val="21"/>
              </w:rPr>
              <w:t>513</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2路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汽车客运中心—成渝高速路口公交站</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16.5</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32</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16</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314</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5030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305</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3路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汽车客运中心—教育园区</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14</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38</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19</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283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5380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384</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4路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城东高铁站—教育园区</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19.6</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42</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20</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331</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6620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338</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5路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汽车客运中心—魏家湾</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14.8</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3</w:t>
            </w:r>
            <w:r>
              <w:rPr>
                <w:sz w:val="21"/>
                <w:szCs w:val="21"/>
              </w:rPr>
              <w:t>0</w:t>
            </w:r>
            <w:r>
              <w:rPr>
                <w:rFonts w:hint="eastAsia"/>
                <w:sz w:val="21"/>
                <w:szCs w:val="21"/>
              </w:rPr>
              <w:t>/29</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15</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303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4540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307</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6路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汽车客运中心—马站</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18.3</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35/36</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16</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239</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3830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209</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7路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沱江新城—教育园区</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15.6</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36</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12</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165</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1980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127</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9路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凤岭公园—四川现代</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15.5</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28/27</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6</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90</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540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35</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10路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成渝高速路口公交站—区职教中心</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13</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2</w:t>
            </w:r>
            <w:r>
              <w:rPr>
                <w:sz w:val="21"/>
                <w:szCs w:val="21"/>
              </w:rPr>
              <w:t>5</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353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4590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353</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11路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沱江新城—幸福谷</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15.2</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29</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90</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270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18</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14路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城东高铁站—教育园区</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16.3</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28</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16</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307</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4910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301</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15路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沱江新城—玉柴公司</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13.2</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35/</w:t>
            </w:r>
            <w:r>
              <w:rPr>
                <w:rFonts w:hint="eastAsia"/>
                <w:sz w:val="21"/>
                <w:szCs w:val="21"/>
              </w:rPr>
              <w:t>36</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8</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120</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960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73</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16路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凤岭公园—侯家坪富友公司</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13.8</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3</w:t>
            </w:r>
            <w:r>
              <w:rPr>
                <w:sz w:val="21"/>
                <w:szCs w:val="21"/>
              </w:rPr>
              <w:t>2</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13</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272</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3540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257</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17路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沱江新城—侯家坪派出所</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9.8</w:t>
            </w:r>
          </w:p>
        </w:tc>
        <w:tc>
          <w:tcPr>
            <w:tcW w:w="1390" w:type="dxa"/>
            <w:tcBorders>
              <w:top w:val="single" w:color="auto" w:sz="4" w:space="0"/>
            </w:tcBorders>
            <w:vAlign w:val="center"/>
          </w:tcPr>
          <w:p>
            <w:pPr>
              <w:spacing w:after="0"/>
              <w:ind w:firstLine="0" w:firstLineChars="0"/>
              <w:jc w:val="center"/>
              <w:rPr>
                <w:sz w:val="21"/>
                <w:szCs w:val="21"/>
              </w:rPr>
            </w:pPr>
            <w:r>
              <w:rPr>
                <w:sz w:val="21"/>
                <w:szCs w:val="21"/>
              </w:rPr>
              <w:t>19</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5</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274</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1370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140</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18路</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汽车客运中心—城东高铁站</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10.2</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1</w:t>
            </w:r>
            <w:r>
              <w:rPr>
                <w:sz w:val="21"/>
                <w:szCs w:val="21"/>
              </w:rPr>
              <w:t>2</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7</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66</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460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45</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jc w:val="center"/>
        </w:trPr>
        <w:tc>
          <w:tcPr>
            <w:tcW w:w="1197" w:type="dxa"/>
            <w:tcBorders>
              <w:top w:val="single" w:color="auto" w:sz="4" w:space="0"/>
            </w:tcBorders>
            <w:vAlign w:val="center"/>
          </w:tcPr>
          <w:p>
            <w:pPr>
              <w:spacing w:after="0"/>
              <w:ind w:firstLine="0" w:firstLineChars="0"/>
              <w:jc w:val="center"/>
              <w:rPr>
                <w:sz w:val="21"/>
                <w:szCs w:val="21"/>
              </w:rPr>
            </w:pPr>
            <w:r>
              <w:rPr>
                <w:rFonts w:hint="eastAsia"/>
                <w:sz w:val="21"/>
                <w:szCs w:val="21"/>
              </w:rPr>
              <w:t>高铁快线1</w:t>
            </w:r>
          </w:p>
        </w:tc>
        <w:tc>
          <w:tcPr>
            <w:tcW w:w="2970" w:type="dxa"/>
            <w:tcBorders>
              <w:top w:val="single" w:color="auto" w:sz="4" w:space="0"/>
            </w:tcBorders>
            <w:vAlign w:val="center"/>
          </w:tcPr>
          <w:p>
            <w:pPr>
              <w:spacing w:after="0"/>
              <w:ind w:firstLine="0" w:firstLineChars="0"/>
              <w:jc w:val="center"/>
              <w:rPr>
                <w:sz w:val="21"/>
                <w:szCs w:val="21"/>
              </w:rPr>
            </w:pPr>
            <w:r>
              <w:rPr>
                <w:rFonts w:hint="eastAsia"/>
                <w:sz w:val="21"/>
                <w:szCs w:val="21"/>
              </w:rPr>
              <w:t>城东高铁站—成渝高速路口公交站</w:t>
            </w:r>
          </w:p>
        </w:tc>
        <w:tc>
          <w:tcPr>
            <w:tcW w:w="1544" w:type="dxa"/>
            <w:tcBorders>
              <w:top w:val="single" w:color="auto" w:sz="4" w:space="0"/>
            </w:tcBorders>
            <w:vAlign w:val="center"/>
          </w:tcPr>
          <w:p>
            <w:pPr>
              <w:spacing w:after="0"/>
              <w:ind w:firstLine="0" w:firstLineChars="0"/>
              <w:jc w:val="center"/>
              <w:rPr>
                <w:sz w:val="21"/>
                <w:szCs w:val="21"/>
              </w:rPr>
            </w:pPr>
            <w:r>
              <w:rPr>
                <w:sz w:val="21"/>
                <w:szCs w:val="21"/>
              </w:rPr>
              <w:t>11.5</w:t>
            </w:r>
          </w:p>
        </w:tc>
        <w:tc>
          <w:tcPr>
            <w:tcW w:w="1390" w:type="dxa"/>
            <w:tcBorders>
              <w:top w:val="single" w:color="auto" w:sz="4" w:space="0"/>
            </w:tcBorders>
            <w:vAlign w:val="center"/>
          </w:tcPr>
          <w:p>
            <w:pPr>
              <w:spacing w:after="0"/>
              <w:ind w:firstLine="0" w:firstLineChars="0"/>
              <w:jc w:val="center"/>
              <w:rPr>
                <w:sz w:val="21"/>
                <w:szCs w:val="21"/>
              </w:rPr>
            </w:pPr>
            <w:r>
              <w:rPr>
                <w:rFonts w:hint="eastAsia"/>
                <w:sz w:val="21"/>
                <w:szCs w:val="21"/>
              </w:rPr>
              <w:t>1</w:t>
            </w:r>
            <w:r>
              <w:rPr>
                <w:sz w:val="21"/>
                <w:szCs w:val="21"/>
              </w:rPr>
              <w:t>1</w:t>
            </w:r>
          </w:p>
        </w:tc>
        <w:tc>
          <w:tcPr>
            <w:tcW w:w="1234" w:type="dxa"/>
            <w:tcBorders>
              <w:top w:val="single" w:color="auto" w:sz="4" w:space="0"/>
            </w:tcBorders>
            <w:vAlign w:val="center"/>
          </w:tcPr>
          <w:p>
            <w:pPr>
              <w:spacing w:after="0"/>
              <w:ind w:firstLine="0" w:firstLineChars="0"/>
              <w:jc w:val="center"/>
              <w:rPr>
                <w:sz w:val="21"/>
                <w:szCs w:val="21"/>
              </w:rPr>
            </w:pPr>
            <w:r>
              <w:rPr>
                <w:sz w:val="21"/>
                <w:szCs w:val="21"/>
              </w:rPr>
              <w:t>10</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105</w:t>
            </w:r>
          </w:p>
        </w:tc>
        <w:tc>
          <w:tcPr>
            <w:tcW w:w="1851" w:type="dxa"/>
            <w:tcBorders>
              <w:top w:val="single" w:color="auto" w:sz="4" w:space="0"/>
            </w:tcBorders>
            <w:vAlign w:val="center"/>
          </w:tcPr>
          <w:p>
            <w:pPr>
              <w:spacing w:after="0"/>
              <w:ind w:firstLine="0" w:firstLineChars="0"/>
              <w:jc w:val="center"/>
              <w:rPr>
                <w:sz w:val="21"/>
                <w:szCs w:val="21"/>
              </w:rPr>
            </w:pPr>
            <w:r>
              <w:rPr>
                <w:sz w:val="21"/>
                <w:szCs w:val="21"/>
              </w:rPr>
              <w:t>1050</w:t>
            </w:r>
          </w:p>
        </w:tc>
        <w:tc>
          <w:tcPr>
            <w:tcW w:w="1921" w:type="dxa"/>
            <w:tcBorders>
              <w:top w:val="single" w:color="auto" w:sz="4" w:space="0"/>
            </w:tcBorders>
            <w:vAlign w:val="center"/>
          </w:tcPr>
          <w:p>
            <w:pPr>
              <w:spacing w:after="0"/>
              <w:ind w:firstLine="0" w:firstLineChars="0"/>
              <w:jc w:val="center"/>
              <w:rPr>
                <w:sz w:val="21"/>
                <w:szCs w:val="21"/>
              </w:rPr>
            </w:pPr>
            <w:r>
              <w:rPr>
                <w:sz w:val="21"/>
                <w:szCs w:val="21"/>
              </w:rPr>
              <w:t>91</w:t>
            </w:r>
          </w:p>
        </w:tc>
      </w:tr>
      <w:tr>
        <w:tblPrEx>
          <w:tblBorders>
            <w:top w:val="single" w:color="auto" w:sz="8" w:space="0"/>
            <w:left w:val="none" w:color="auto" w:sz="0" w:space="0"/>
            <w:bottom w:val="single" w:color="auto" w:sz="8" w:space="0"/>
            <w:right w:val="none" w:color="auto" w:sz="0" w:space="0"/>
            <w:insideH w:val="single" w:color="auto" w:sz="4" w:space="0"/>
            <w:insideV w:val="single" w:color="auto" w:sz="4" w:space="0"/>
          </w:tblBorders>
          <w:tblLayout w:type="fixed"/>
        </w:tblPrEx>
        <w:trPr>
          <w:trHeight w:val="454" w:hRule="atLeast"/>
          <w:jc w:val="center"/>
        </w:trPr>
        <w:tc>
          <w:tcPr>
            <w:tcW w:w="1197" w:type="dxa"/>
            <w:tcBorders>
              <w:top w:val="single" w:color="auto" w:sz="4" w:space="0"/>
              <w:bottom w:val="single" w:color="auto" w:sz="12" w:space="0"/>
            </w:tcBorders>
            <w:vAlign w:val="center"/>
          </w:tcPr>
          <w:p>
            <w:pPr>
              <w:spacing w:after="0"/>
              <w:ind w:firstLine="0" w:firstLineChars="0"/>
              <w:jc w:val="center"/>
              <w:rPr>
                <w:sz w:val="21"/>
                <w:szCs w:val="21"/>
              </w:rPr>
            </w:pPr>
            <w:r>
              <w:rPr>
                <w:rFonts w:hint="eastAsia"/>
                <w:sz w:val="21"/>
                <w:szCs w:val="21"/>
              </w:rPr>
              <w:t>高铁快线2</w:t>
            </w:r>
          </w:p>
        </w:tc>
        <w:tc>
          <w:tcPr>
            <w:tcW w:w="2970" w:type="dxa"/>
            <w:tcBorders>
              <w:top w:val="single" w:color="auto" w:sz="4" w:space="0"/>
              <w:bottom w:val="single" w:color="auto" w:sz="12" w:space="0"/>
            </w:tcBorders>
            <w:vAlign w:val="center"/>
          </w:tcPr>
          <w:p>
            <w:pPr>
              <w:spacing w:after="0"/>
              <w:ind w:firstLine="0" w:firstLineChars="0"/>
              <w:jc w:val="center"/>
              <w:rPr>
                <w:sz w:val="21"/>
                <w:szCs w:val="21"/>
              </w:rPr>
            </w:pPr>
            <w:r>
              <w:rPr>
                <w:rFonts w:hint="eastAsia"/>
                <w:sz w:val="21"/>
                <w:szCs w:val="21"/>
              </w:rPr>
              <w:t>城东高铁站—教育园区</w:t>
            </w:r>
          </w:p>
        </w:tc>
        <w:tc>
          <w:tcPr>
            <w:tcW w:w="1544" w:type="dxa"/>
            <w:tcBorders>
              <w:top w:val="single" w:color="auto" w:sz="4" w:space="0"/>
              <w:bottom w:val="single" w:color="auto" w:sz="12" w:space="0"/>
            </w:tcBorders>
            <w:vAlign w:val="center"/>
          </w:tcPr>
          <w:p>
            <w:pPr>
              <w:spacing w:after="0"/>
              <w:ind w:firstLine="0" w:firstLineChars="0"/>
              <w:jc w:val="center"/>
              <w:rPr>
                <w:sz w:val="21"/>
                <w:szCs w:val="21"/>
              </w:rPr>
            </w:pPr>
            <w:r>
              <w:rPr>
                <w:sz w:val="21"/>
                <w:szCs w:val="21"/>
              </w:rPr>
              <w:t>9.8</w:t>
            </w:r>
          </w:p>
        </w:tc>
        <w:tc>
          <w:tcPr>
            <w:tcW w:w="1390" w:type="dxa"/>
            <w:tcBorders>
              <w:top w:val="single" w:color="auto" w:sz="4" w:space="0"/>
              <w:bottom w:val="single" w:color="auto" w:sz="12" w:space="0"/>
            </w:tcBorders>
            <w:vAlign w:val="center"/>
          </w:tcPr>
          <w:p>
            <w:pPr>
              <w:spacing w:after="0"/>
              <w:ind w:firstLine="0" w:firstLineChars="0"/>
              <w:jc w:val="center"/>
              <w:rPr>
                <w:sz w:val="21"/>
                <w:szCs w:val="21"/>
              </w:rPr>
            </w:pPr>
            <w:r>
              <w:rPr>
                <w:rFonts w:hint="eastAsia"/>
                <w:sz w:val="21"/>
                <w:szCs w:val="21"/>
              </w:rPr>
              <w:t>12</w:t>
            </w:r>
          </w:p>
        </w:tc>
        <w:tc>
          <w:tcPr>
            <w:tcW w:w="1234" w:type="dxa"/>
            <w:tcBorders>
              <w:top w:val="single" w:color="auto" w:sz="4" w:space="0"/>
              <w:bottom w:val="single" w:color="auto" w:sz="12" w:space="0"/>
            </w:tcBorders>
            <w:vAlign w:val="center"/>
          </w:tcPr>
          <w:p>
            <w:pPr>
              <w:spacing w:after="0"/>
              <w:ind w:firstLine="0" w:firstLineChars="0"/>
              <w:jc w:val="center"/>
              <w:rPr>
                <w:sz w:val="21"/>
                <w:szCs w:val="21"/>
              </w:rPr>
            </w:pPr>
            <w:r>
              <w:rPr>
                <w:sz w:val="21"/>
                <w:szCs w:val="21"/>
              </w:rPr>
              <w:t>10</w:t>
            </w:r>
          </w:p>
        </w:tc>
        <w:tc>
          <w:tcPr>
            <w:tcW w:w="1851" w:type="dxa"/>
            <w:tcBorders>
              <w:top w:val="single" w:color="auto" w:sz="4" w:space="0"/>
              <w:bottom w:val="single" w:color="auto" w:sz="12" w:space="0"/>
            </w:tcBorders>
            <w:vAlign w:val="center"/>
          </w:tcPr>
          <w:p>
            <w:pPr>
              <w:spacing w:after="0"/>
              <w:ind w:firstLine="0" w:firstLineChars="0"/>
              <w:jc w:val="center"/>
              <w:rPr>
                <w:sz w:val="21"/>
                <w:szCs w:val="21"/>
              </w:rPr>
            </w:pPr>
            <w:r>
              <w:rPr>
                <w:sz w:val="21"/>
                <w:szCs w:val="21"/>
              </w:rPr>
              <w:t>251</w:t>
            </w:r>
          </w:p>
        </w:tc>
        <w:tc>
          <w:tcPr>
            <w:tcW w:w="1851" w:type="dxa"/>
            <w:tcBorders>
              <w:top w:val="single" w:color="auto" w:sz="4" w:space="0"/>
              <w:bottom w:val="single" w:color="auto" w:sz="12" w:space="0"/>
            </w:tcBorders>
            <w:vAlign w:val="center"/>
          </w:tcPr>
          <w:p>
            <w:pPr>
              <w:spacing w:after="0"/>
              <w:ind w:firstLine="0" w:firstLineChars="0"/>
              <w:jc w:val="center"/>
              <w:rPr>
                <w:sz w:val="21"/>
                <w:szCs w:val="21"/>
              </w:rPr>
            </w:pPr>
            <w:r>
              <w:rPr>
                <w:sz w:val="21"/>
                <w:szCs w:val="21"/>
              </w:rPr>
              <w:t>2510</w:t>
            </w:r>
          </w:p>
        </w:tc>
        <w:tc>
          <w:tcPr>
            <w:tcW w:w="1921" w:type="dxa"/>
            <w:tcBorders>
              <w:top w:val="single" w:color="auto" w:sz="4" w:space="0"/>
              <w:bottom w:val="single" w:color="auto" w:sz="12" w:space="0"/>
            </w:tcBorders>
            <w:vAlign w:val="center"/>
          </w:tcPr>
          <w:p>
            <w:pPr>
              <w:spacing w:after="0"/>
              <w:ind w:firstLine="0" w:firstLineChars="0"/>
              <w:jc w:val="center"/>
              <w:rPr>
                <w:sz w:val="21"/>
                <w:szCs w:val="21"/>
              </w:rPr>
            </w:pPr>
            <w:r>
              <w:rPr>
                <w:sz w:val="21"/>
                <w:szCs w:val="21"/>
              </w:rPr>
              <w:t>256</w:t>
            </w:r>
          </w:p>
        </w:tc>
      </w:tr>
    </w:tbl>
    <w:p>
      <w:pPr>
        <w:ind w:firstLine="480"/>
      </w:pPr>
      <w:r>
        <w:rPr>
          <w:rFonts w:hint="eastAsia"/>
        </w:rPr>
        <w:t>注：*/*为上下行。</w:t>
      </w:r>
    </w:p>
    <w:p>
      <w:pPr>
        <w:ind w:firstLine="199" w:firstLineChars="83"/>
        <w:sectPr>
          <w:pgSz w:w="16838" w:h="11906" w:orient="landscape"/>
          <w:pgMar w:top="1800" w:right="1440" w:bottom="1800" w:left="1440" w:header="851" w:footer="992" w:gutter="0"/>
          <w:cols w:space="425" w:num="1"/>
          <w:docGrid w:type="lines" w:linePitch="326" w:charSpace="0"/>
        </w:sectPr>
      </w:pPr>
    </w:p>
    <w:p>
      <w:pPr>
        <w:pStyle w:val="5"/>
      </w:pPr>
      <w:bookmarkStart w:id="22" w:name="_Toc518573652"/>
      <w:r>
        <w:rPr>
          <w:rFonts w:hint="eastAsia"/>
        </w:rPr>
        <w:t>2.3.2</w:t>
      </w:r>
      <w:r>
        <w:t xml:space="preserve"> </w:t>
      </w:r>
      <w:r>
        <w:rPr>
          <w:rFonts w:hint="eastAsia"/>
        </w:rPr>
        <w:t>断面</w:t>
      </w:r>
      <w:r>
        <w:t>客流</w:t>
      </w:r>
      <w:r>
        <w:rPr>
          <w:rFonts w:hint="eastAsia"/>
        </w:rPr>
        <w:t>量</w:t>
      </w:r>
      <w:r>
        <w:t>分析</w:t>
      </w:r>
      <w:bookmarkEnd w:id="22"/>
    </w:p>
    <w:p>
      <w:pPr>
        <w:ind w:firstLine="480"/>
      </w:pPr>
      <w:r>
        <w:rPr>
          <w:rFonts w:hint="eastAsia"/>
        </w:rPr>
        <w:t>通过为期</w:t>
      </w:r>
      <w:r>
        <w:t>一周的时间，</w:t>
      </w:r>
      <w:r>
        <w:rPr>
          <w:rFonts w:hint="eastAsia"/>
        </w:rPr>
        <w:t>对资阳</w:t>
      </w:r>
      <w:r>
        <w:t>市主城区公交线路</w:t>
      </w:r>
      <w:r>
        <w:rPr>
          <w:rFonts w:hint="eastAsia"/>
        </w:rPr>
        <w:t>进行</w:t>
      </w:r>
      <w:r>
        <w:t>跟车调研，</w:t>
      </w:r>
      <w:r>
        <w:rPr>
          <w:rFonts w:hint="eastAsia"/>
        </w:rPr>
        <w:t>发现资阳市</w:t>
      </w:r>
      <w:r>
        <w:t>城区公交</w:t>
      </w:r>
      <w:r>
        <w:rPr>
          <w:rFonts w:hint="eastAsia"/>
        </w:rPr>
        <w:t>的</w:t>
      </w:r>
      <w:r>
        <w:t>断面客流呈现以下特征</w:t>
      </w:r>
      <w:r>
        <w:rPr>
          <w:rFonts w:hint="eastAsia"/>
        </w:rPr>
        <w:t>。</w:t>
      </w:r>
    </w:p>
    <w:p>
      <w:pPr>
        <w:ind w:firstLine="482"/>
        <w:rPr>
          <w:b/>
        </w:rPr>
      </w:pPr>
      <w:r>
        <w:rPr>
          <w:rFonts w:hint="eastAsia"/>
          <w:b/>
        </w:rPr>
        <w:t>（1）客流分布不均衡</w:t>
      </w:r>
    </w:p>
    <w:p>
      <w:pPr>
        <w:ind w:firstLine="480"/>
      </w:pPr>
      <w:r>
        <w:t>高峰期间</w:t>
      </w:r>
      <w:r>
        <w:rPr>
          <w:szCs w:val="24"/>
          <w:lang w:val="zh-CN"/>
        </w:rPr>
        <w:t>，东西方向与南北方向的部分路线客流量明显高于其他路线，形成客流走廊，如东西方向的6</w:t>
      </w:r>
      <w:r>
        <w:rPr>
          <w:rFonts w:hint="eastAsia"/>
          <w:szCs w:val="24"/>
          <w:lang w:val="zh-CN"/>
        </w:rPr>
        <w:t>路公交，南北方向的</w:t>
      </w:r>
      <w:r>
        <w:rPr>
          <w:szCs w:val="24"/>
          <w:lang w:val="zh-CN"/>
        </w:rPr>
        <w:t>1</w:t>
      </w:r>
      <w:r>
        <w:rPr>
          <w:rFonts w:hint="eastAsia"/>
          <w:szCs w:val="24"/>
          <w:lang w:val="zh-CN"/>
        </w:rPr>
        <w:t>路公交，在高峰时期流量较大。而9路、1</w:t>
      </w:r>
      <w:r>
        <w:rPr>
          <w:szCs w:val="24"/>
          <w:lang w:val="zh-CN"/>
        </w:rPr>
        <w:t>8路等线路断面客流量较小</w:t>
      </w:r>
      <w:r>
        <w:rPr>
          <w:rFonts w:hint="eastAsia"/>
          <w:szCs w:val="24"/>
          <w:lang w:val="zh-CN"/>
        </w:rPr>
        <w:t>。其断面客流量分布如图2-5至2-</w:t>
      </w:r>
      <w:r>
        <w:rPr>
          <w:szCs w:val="24"/>
          <w:lang w:val="zh-CN"/>
        </w:rPr>
        <w:t>8所示</w:t>
      </w:r>
      <w:r>
        <w:rPr>
          <w:rFonts w:hint="eastAsia"/>
          <w:szCs w:val="24"/>
          <w:lang w:val="zh-CN"/>
        </w:rPr>
        <w:t>。</w:t>
      </w:r>
    </w:p>
    <w:p>
      <w:pPr>
        <w:ind w:firstLine="0" w:firstLineChars="0"/>
        <w:jc w:val="center"/>
      </w:pPr>
      <w:r>
        <w:drawing>
          <wp:inline distT="0" distB="0" distL="0" distR="0">
            <wp:extent cx="2399030" cy="2205990"/>
            <wp:effectExtent l="0" t="0" r="1270" b="3810"/>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drawing>
          <wp:inline distT="0" distB="0" distL="0" distR="0">
            <wp:extent cx="2399030" cy="2205990"/>
            <wp:effectExtent l="0" t="0" r="1270" b="3810"/>
            <wp:docPr id="28" name="图表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pPr>
        <w:pStyle w:val="117"/>
      </w:pPr>
      <w:r>
        <w:rPr>
          <w:rFonts w:hint="eastAsia"/>
        </w:rPr>
        <w:t>图2-</w:t>
      </w:r>
      <w:r>
        <w:t xml:space="preserve">5 </w:t>
      </w:r>
      <w:r>
        <w:rPr>
          <w:rFonts w:hint="eastAsia"/>
        </w:rPr>
        <w:t xml:space="preserve"> </w:t>
      </w:r>
      <w:r>
        <w:t>6</w:t>
      </w:r>
      <w:r>
        <w:rPr>
          <w:rFonts w:hint="eastAsia"/>
        </w:rPr>
        <w:t>路</w:t>
      </w:r>
      <w:r>
        <w:t>早高峰</w:t>
      </w:r>
      <w:r>
        <w:rPr>
          <w:rFonts w:hint="eastAsia"/>
        </w:rPr>
        <w:t>上</w:t>
      </w:r>
      <w:r>
        <w:t>下行</w:t>
      </w:r>
      <w:r>
        <w:rPr>
          <w:rFonts w:hint="eastAsia"/>
        </w:rPr>
        <w:t>断面</w:t>
      </w:r>
      <w:r>
        <w:t>客流量</w:t>
      </w:r>
    </w:p>
    <w:p>
      <w:pPr>
        <w:ind w:firstLine="0" w:firstLineChars="0"/>
        <w:jc w:val="center"/>
      </w:pPr>
      <w:r>
        <w:drawing>
          <wp:inline distT="0" distB="0" distL="0" distR="0">
            <wp:extent cx="2399030" cy="2205990"/>
            <wp:effectExtent l="0" t="0" r="1270" b="3810"/>
            <wp:docPr id="29" name="图表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drawing>
          <wp:inline distT="0" distB="0" distL="0" distR="0">
            <wp:extent cx="2399030" cy="2205990"/>
            <wp:effectExtent l="0" t="0" r="1270" b="3810"/>
            <wp:docPr id="35" name="图表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pPr>
        <w:pStyle w:val="117"/>
      </w:pPr>
      <w:r>
        <w:rPr>
          <w:rFonts w:hint="eastAsia"/>
        </w:rPr>
        <w:t>图2-</w:t>
      </w:r>
      <w:r>
        <w:t xml:space="preserve">6 </w:t>
      </w:r>
      <w:r>
        <w:rPr>
          <w:rFonts w:hint="eastAsia"/>
        </w:rPr>
        <w:t xml:space="preserve"> </w:t>
      </w:r>
      <w:r>
        <w:t>1</w:t>
      </w:r>
      <w:r>
        <w:rPr>
          <w:rFonts w:hint="eastAsia"/>
        </w:rPr>
        <w:t>路</w:t>
      </w:r>
      <w:r>
        <w:t>早高峰</w:t>
      </w:r>
      <w:r>
        <w:rPr>
          <w:rFonts w:hint="eastAsia"/>
        </w:rPr>
        <w:t>上</w:t>
      </w:r>
      <w:r>
        <w:t>下行</w:t>
      </w:r>
      <w:r>
        <w:rPr>
          <w:rFonts w:hint="eastAsia"/>
        </w:rPr>
        <w:t>断面</w:t>
      </w:r>
      <w:r>
        <w:t>客流量</w:t>
      </w:r>
    </w:p>
    <w:p>
      <w:pPr>
        <w:ind w:firstLine="0" w:firstLineChars="0"/>
        <w:jc w:val="center"/>
      </w:pPr>
      <w:r>
        <w:drawing>
          <wp:inline distT="0" distB="0" distL="0" distR="0">
            <wp:extent cx="2399030" cy="2205990"/>
            <wp:effectExtent l="0" t="0" r="1270" b="3810"/>
            <wp:docPr id="36" name="图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drawing>
          <wp:inline distT="0" distB="0" distL="0" distR="0">
            <wp:extent cx="2399030" cy="2205990"/>
            <wp:effectExtent l="0" t="0" r="1270" b="3810"/>
            <wp:docPr id="37" name="图表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pPr>
        <w:pStyle w:val="117"/>
      </w:pPr>
      <w:r>
        <w:rPr>
          <w:rFonts w:hint="eastAsia"/>
        </w:rPr>
        <w:t>图2-</w:t>
      </w:r>
      <w:r>
        <w:t xml:space="preserve">7 </w:t>
      </w:r>
      <w:r>
        <w:rPr>
          <w:rFonts w:hint="eastAsia"/>
        </w:rPr>
        <w:t xml:space="preserve"> </w:t>
      </w:r>
      <w:r>
        <w:t>9</w:t>
      </w:r>
      <w:r>
        <w:rPr>
          <w:rFonts w:hint="eastAsia"/>
        </w:rPr>
        <w:t>路</w:t>
      </w:r>
      <w:r>
        <w:t>早高峰</w:t>
      </w:r>
      <w:r>
        <w:rPr>
          <w:rFonts w:hint="eastAsia"/>
        </w:rPr>
        <w:t>上</w:t>
      </w:r>
      <w:r>
        <w:t>下行</w:t>
      </w:r>
      <w:r>
        <w:rPr>
          <w:rFonts w:hint="eastAsia"/>
        </w:rPr>
        <w:t>断面</w:t>
      </w:r>
      <w:r>
        <w:t>客流量</w:t>
      </w:r>
    </w:p>
    <w:p>
      <w:pPr>
        <w:ind w:firstLine="0" w:firstLineChars="0"/>
        <w:jc w:val="center"/>
      </w:pPr>
      <w:r>
        <w:drawing>
          <wp:inline distT="0" distB="0" distL="0" distR="0">
            <wp:extent cx="2399030" cy="2205990"/>
            <wp:effectExtent l="0" t="0" r="1270" b="3810"/>
            <wp:docPr id="38" name="图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r>
        <w:drawing>
          <wp:inline distT="0" distB="0" distL="0" distR="0">
            <wp:extent cx="2399030" cy="2205990"/>
            <wp:effectExtent l="0" t="0" r="1270" b="381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pPr>
        <w:pStyle w:val="117"/>
      </w:pPr>
      <w:r>
        <w:rPr>
          <w:rFonts w:hint="eastAsia"/>
        </w:rPr>
        <w:t>图2-</w:t>
      </w:r>
      <w:r>
        <w:t xml:space="preserve">8 </w:t>
      </w:r>
      <w:r>
        <w:rPr>
          <w:rFonts w:hint="eastAsia"/>
        </w:rPr>
        <w:t xml:space="preserve"> </w:t>
      </w:r>
      <w:r>
        <w:t>18</w:t>
      </w:r>
      <w:r>
        <w:rPr>
          <w:rFonts w:hint="eastAsia"/>
        </w:rPr>
        <w:t>路</w:t>
      </w:r>
      <w:r>
        <w:t>早高峰</w:t>
      </w:r>
      <w:r>
        <w:rPr>
          <w:rFonts w:hint="eastAsia"/>
        </w:rPr>
        <w:t>上</w:t>
      </w:r>
      <w:r>
        <w:t>下行</w:t>
      </w:r>
      <w:r>
        <w:rPr>
          <w:rFonts w:hint="eastAsia"/>
        </w:rPr>
        <w:t>断面</w:t>
      </w:r>
      <w:r>
        <w:t>客流量</w:t>
      </w:r>
    </w:p>
    <w:p>
      <w:pPr>
        <w:ind w:firstLine="480"/>
      </w:pPr>
      <w:r>
        <w:rPr>
          <w:rFonts w:hint="eastAsia"/>
        </w:rPr>
        <w:t>通过以上图表可以发现，断面客流主要集中的车站包括：城中片的南门口、桥亭子、百货大楼、家乐福，城北片的交警一大队、电信大楼、市公安局，沱东片的城东区政府、半山风情、区公安局等。总体来说，城中片的客流量最高，城北片次之，城南片和沱东片较少。</w:t>
      </w:r>
    </w:p>
    <w:p>
      <w:pPr>
        <w:ind w:firstLine="482"/>
        <w:rPr>
          <w:b/>
        </w:rPr>
      </w:pPr>
      <w:r>
        <w:rPr>
          <w:rFonts w:hint="eastAsia"/>
          <w:b/>
        </w:rPr>
        <w:t>（2）断面</w:t>
      </w:r>
      <w:r>
        <w:rPr>
          <w:b/>
        </w:rPr>
        <w:t>客流</w:t>
      </w:r>
      <w:r>
        <w:rPr>
          <w:rFonts w:hint="eastAsia"/>
          <w:b/>
        </w:rPr>
        <w:t>存在</w:t>
      </w:r>
      <w:r>
        <w:rPr>
          <w:b/>
        </w:rPr>
        <w:t>时间差异性</w:t>
      </w:r>
    </w:p>
    <w:p>
      <w:pPr>
        <w:ind w:firstLine="480"/>
      </w:pPr>
      <w:r>
        <w:t>通过调研发现</w:t>
      </w:r>
      <w:r>
        <w:rPr>
          <w:rFonts w:hint="eastAsia"/>
        </w:rPr>
        <w:t>，一些线路的断面客流量存在时间差异性，主要表现为两方面：一方面是工作日和周末的差异，如14路；另一方面是一天之内早中晚高峰时段的差异，如15路。</w:t>
      </w:r>
      <w:r>
        <w:t>断面客流分布如图</w:t>
      </w:r>
      <w:r>
        <w:rPr>
          <w:rFonts w:hint="eastAsia"/>
        </w:rPr>
        <w:t>2-9和图2-</w:t>
      </w:r>
      <w:r>
        <w:t>10</w:t>
      </w:r>
      <w:r>
        <w:rPr>
          <w:rFonts w:hint="eastAsia"/>
        </w:rPr>
        <w:t>所示。</w:t>
      </w:r>
    </w:p>
    <w:p>
      <w:pPr>
        <w:ind w:firstLine="0" w:firstLineChars="0"/>
        <w:jc w:val="center"/>
      </w:pPr>
      <w:r>
        <w:drawing>
          <wp:inline distT="0" distB="0" distL="0" distR="0">
            <wp:extent cx="2399030" cy="2205990"/>
            <wp:effectExtent l="0" t="0" r="1270" b="3810"/>
            <wp:docPr id="15"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r>
        <w:drawing>
          <wp:inline distT="0" distB="0" distL="0" distR="0">
            <wp:extent cx="2399030" cy="2205990"/>
            <wp:effectExtent l="0" t="0" r="1270" b="381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pPr>
        <w:pStyle w:val="117"/>
      </w:pPr>
      <w:r>
        <w:rPr>
          <w:rFonts w:hint="eastAsia"/>
        </w:rPr>
        <w:t>图2-</w:t>
      </w:r>
      <w:r>
        <w:t xml:space="preserve">9 </w:t>
      </w:r>
      <w:r>
        <w:rPr>
          <w:rFonts w:hint="eastAsia"/>
        </w:rPr>
        <w:t xml:space="preserve"> </w:t>
      </w:r>
      <w:r>
        <w:t>14</w:t>
      </w:r>
      <w:r>
        <w:rPr>
          <w:rFonts w:hint="eastAsia"/>
        </w:rPr>
        <w:t>路</w:t>
      </w:r>
      <w:r>
        <w:t>早高峰</w:t>
      </w:r>
      <w:r>
        <w:rPr>
          <w:rFonts w:hint="eastAsia"/>
        </w:rPr>
        <w:t>上</w:t>
      </w:r>
      <w:r>
        <w:t>下行</w:t>
      </w:r>
      <w:r>
        <w:rPr>
          <w:rFonts w:hint="eastAsia"/>
        </w:rPr>
        <w:t>断面</w:t>
      </w:r>
      <w:r>
        <w:t>客流量</w:t>
      </w:r>
    </w:p>
    <w:p>
      <w:pPr>
        <w:ind w:firstLine="0" w:firstLineChars="0"/>
        <w:jc w:val="center"/>
      </w:pPr>
      <w:r>
        <w:rPr>
          <w:rFonts w:hint="eastAsia"/>
        </w:rPr>
        <w:drawing>
          <wp:inline distT="0" distB="0" distL="0" distR="0">
            <wp:extent cx="4781550" cy="2809875"/>
            <wp:effectExtent l="0" t="0" r="0" b="952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pPr>
        <w:pStyle w:val="117"/>
      </w:pPr>
      <w:r>
        <w:rPr>
          <w:rFonts w:hint="eastAsia"/>
        </w:rPr>
        <w:t>图2-10</w:t>
      </w:r>
      <w:r>
        <w:t xml:space="preserve"> </w:t>
      </w:r>
      <w:r>
        <w:rPr>
          <w:rFonts w:hint="eastAsia"/>
        </w:rPr>
        <w:t xml:space="preserve"> </w:t>
      </w:r>
      <w:r>
        <w:t>15</w:t>
      </w:r>
      <w:r>
        <w:rPr>
          <w:rFonts w:hint="eastAsia"/>
        </w:rPr>
        <w:t>路</w:t>
      </w:r>
      <w:r>
        <w:t>早高峰</w:t>
      </w:r>
      <w:r>
        <w:rPr>
          <w:rFonts w:hint="eastAsia"/>
        </w:rPr>
        <w:t>上</w:t>
      </w:r>
      <w:r>
        <w:t>行早中晚高峰</w:t>
      </w:r>
      <w:r>
        <w:rPr>
          <w:rFonts w:hint="eastAsia"/>
        </w:rPr>
        <w:t>断面</w:t>
      </w:r>
      <w:r>
        <w:t>客流量</w:t>
      </w:r>
      <w:r>
        <w:rPr>
          <w:rFonts w:hint="eastAsia"/>
        </w:rPr>
        <w:t>（工作日）</w:t>
      </w:r>
    </w:p>
    <w:p>
      <w:pPr>
        <w:ind w:firstLine="480"/>
      </w:pPr>
      <w:r>
        <w:rPr>
          <w:rFonts w:hint="eastAsia"/>
        </w:rPr>
        <w:t>通过分析</w:t>
      </w:r>
      <w:r>
        <w:t>发现，工作日和周末</w:t>
      </w:r>
      <w:r>
        <w:rPr>
          <w:rFonts w:hint="eastAsia"/>
        </w:rPr>
        <w:t>的</w:t>
      </w:r>
      <w:r>
        <w:t>差异性</w:t>
      </w:r>
      <w:r>
        <w:rPr>
          <w:rFonts w:hint="eastAsia"/>
        </w:rPr>
        <w:t>体现在：较多线路</w:t>
      </w:r>
      <w:r>
        <w:t>的工作日断面客流</w:t>
      </w:r>
      <w:r>
        <w:rPr>
          <w:rFonts w:hint="eastAsia"/>
        </w:rPr>
        <w:t>量</w:t>
      </w:r>
      <w:r>
        <w:t>明显多于周末，如</w:t>
      </w:r>
      <w:r>
        <w:rPr>
          <w:rFonts w:hint="eastAsia"/>
        </w:rPr>
        <w:t>14路，这些线路主要连接城中区和其他区域，工作日客流较大，周末客流较小。另一方面</w:t>
      </w:r>
      <w:r>
        <w:t>，</w:t>
      </w:r>
      <w:r>
        <w:rPr>
          <w:rFonts w:hint="eastAsia"/>
        </w:rPr>
        <w:t>对</w:t>
      </w:r>
      <w:r>
        <w:t>同一线路而言，其单向客流量在一天之中</w:t>
      </w:r>
      <w:r>
        <w:rPr>
          <w:rFonts w:hint="eastAsia"/>
        </w:rPr>
        <w:t>也呈现</w:t>
      </w:r>
      <w:r>
        <w:t>时间的</w:t>
      </w:r>
      <w:r>
        <w:rPr>
          <w:rFonts w:hint="eastAsia"/>
        </w:rPr>
        <w:t>差异性</w:t>
      </w:r>
      <w:r>
        <w:t>，一般呈现为</w:t>
      </w:r>
      <w:r>
        <w:rPr>
          <w:rFonts w:hint="eastAsia"/>
        </w:rPr>
        <w:t>早高峰</w:t>
      </w:r>
      <w:r>
        <w:t>的断面流量</w:t>
      </w:r>
      <w:r>
        <w:rPr>
          <w:rFonts w:hint="eastAsia"/>
        </w:rPr>
        <w:t>&gt;晚高峰</w:t>
      </w:r>
      <w:r>
        <w:t>断面客流量</w:t>
      </w:r>
      <w:r>
        <w:rPr>
          <w:rFonts w:hint="eastAsia"/>
        </w:rPr>
        <w:t>&gt;午高峰</w:t>
      </w:r>
      <w:r>
        <w:t>断面客流量，</w:t>
      </w:r>
      <w:r>
        <w:rPr>
          <w:rFonts w:hint="eastAsia"/>
        </w:rPr>
        <w:t>如</w:t>
      </w:r>
      <w:r>
        <w:t>15</w:t>
      </w:r>
      <w:r>
        <w:rPr>
          <w:rFonts w:hint="eastAsia"/>
        </w:rPr>
        <w:t>路</w:t>
      </w:r>
      <w:r>
        <w:t>。</w:t>
      </w:r>
    </w:p>
    <w:p>
      <w:pPr>
        <w:pStyle w:val="4"/>
      </w:pPr>
      <w:bookmarkStart w:id="23" w:name="_Toc518573653"/>
      <w:r>
        <w:rPr>
          <w:rFonts w:hint="eastAsia"/>
        </w:rPr>
        <w:t>2.4</w:t>
      </w:r>
      <w:r>
        <w:t xml:space="preserve"> </w:t>
      </w:r>
      <w:r>
        <w:rPr>
          <w:rFonts w:hint="eastAsia"/>
        </w:rPr>
        <w:t>公交</w:t>
      </w:r>
      <w:r>
        <w:t>线网分析</w:t>
      </w:r>
      <w:bookmarkEnd w:id="23"/>
    </w:p>
    <w:p>
      <w:pPr>
        <w:pStyle w:val="5"/>
        <w:tabs>
          <w:tab w:val="left" w:pos="0"/>
        </w:tabs>
      </w:pPr>
      <w:bookmarkStart w:id="24" w:name="_Toc518573654"/>
      <w:r>
        <w:rPr>
          <w:rFonts w:hint="eastAsia"/>
        </w:rPr>
        <w:t>2.4.1</w:t>
      </w:r>
      <w:r>
        <w:t xml:space="preserve"> </w:t>
      </w:r>
      <w:r>
        <w:rPr>
          <w:rFonts w:hint="eastAsia"/>
        </w:rPr>
        <w:t>线网布局</w:t>
      </w:r>
      <w:bookmarkEnd w:id="24"/>
    </w:p>
    <w:p>
      <w:pPr>
        <w:ind w:firstLine="480"/>
        <w:jc w:val="left"/>
      </w:pPr>
      <w:r>
        <w:t>中心城区公交线网分布如图</w:t>
      </w:r>
      <w:r>
        <w:rPr>
          <w:rFonts w:hint="eastAsia"/>
        </w:rPr>
        <w:t>2-11所示。</w:t>
      </w:r>
      <w:r>
        <w:t>资阳市中心城区的公交线网主要分布在城中片</w:t>
      </w:r>
      <w:r>
        <w:rPr>
          <w:rFonts w:hint="eastAsia"/>
        </w:rPr>
        <w:t>（老城）、沱东片（区政府驻地）、</w:t>
      </w:r>
      <w:r>
        <w:t>城北片</w:t>
      </w:r>
      <w:r>
        <w:rPr>
          <w:rFonts w:hint="eastAsia"/>
        </w:rPr>
        <w:t>（市政府驻地）。受沱江的分割以及城北片自身的特点，公交线路多设置在建设北路、和平路、车城大道、娇子大道、宝台大道等主干道上。由于建设北路位于城中片，交通压力相对较大。中心城区的17条线路中，有3条线路经过沱江三桥，4条线路经过沱江一桥，1条线路经过沱江二桥，其余线路起终点均在沱江以西。总体来看，城中片区公交线路最多（16条），城北片和沱东片相对较少，城南片只有3条线路经过，其他片区更是几乎可以忽略。</w:t>
      </w:r>
    </w:p>
    <w:p>
      <w:pPr>
        <w:pStyle w:val="134"/>
        <w:spacing w:before="163"/>
      </w:pPr>
      <w:r>
        <w:drawing>
          <wp:inline distT="0" distB="0" distL="0" distR="0">
            <wp:extent cx="3034665" cy="4019550"/>
            <wp:effectExtent l="19050" t="19050" r="13335" b="1905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45"/>
                    <a:stretch>
                      <a:fillRect/>
                    </a:stretch>
                  </pic:blipFill>
                  <pic:spPr>
                    <a:xfrm>
                      <a:off x="0" y="0"/>
                      <a:ext cx="3058460" cy="4051189"/>
                    </a:xfrm>
                    <a:prstGeom prst="rect">
                      <a:avLst/>
                    </a:prstGeom>
                    <a:ln>
                      <a:solidFill>
                        <a:schemeClr val="tx1"/>
                      </a:solidFill>
                    </a:ln>
                  </pic:spPr>
                </pic:pic>
              </a:graphicData>
            </a:graphic>
          </wp:inline>
        </w:drawing>
      </w:r>
    </w:p>
    <w:p>
      <w:pPr>
        <w:pStyle w:val="117"/>
      </w:pPr>
      <w:r>
        <w:rPr>
          <w:rFonts w:hint="eastAsia"/>
        </w:rPr>
        <w:t>图2-1</w:t>
      </w:r>
      <w:r>
        <w:t>1</w:t>
      </w:r>
      <w:r>
        <w:rPr>
          <w:rFonts w:hint="eastAsia"/>
        </w:rPr>
        <w:t xml:space="preserve">  资阳市中心城区公交线网现状布局图</w:t>
      </w:r>
    </w:p>
    <w:p>
      <w:pPr>
        <w:pStyle w:val="117"/>
      </w:pPr>
      <w:r>
        <w:rPr>
          <w:rFonts w:hint="eastAsia"/>
        </w:rPr>
        <w:t>（k1、k2分别代指高铁快线1、高铁快线2）</w:t>
      </w:r>
    </w:p>
    <w:p>
      <w:pPr>
        <w:pStyle w:val="5"/>
        <w:spacing w:before="163" w:after="163"/>
      </w:pPr>
      <w:bookmarkStart w:id="25" w:name="_Toc518573655"/>
      <w:r>
        <w:rPr>
          <w:rFonts w:hint="eastAsia"/>
        </w:rPr>
        <w:t>2</w:t>
      </w:r>
      <w:r>
        <w:t xml:space="preserve">.4.2 </w:t>
      </w:r>
      <w:r>
        <w:rPr>
          <w:rFonts w:hint="eastAsia"/>
        </w:rPr>
        <w:t>公交线网指标分析</w:t>
      </w:r>
      <w:bookmarkEnd w:id="25"/>
    </w:p>
    <w:p>
      <w:pPr>
        <w:spacing w:before="163" w:after="163"/>
        <w:ind w:firstLine="482"/>
        <w:rPr>
          <w:rFonts w:ascii="宋体" w:hAnsi="宋体"/>
          <w:b/>
        </w:rPr>
      </w:pPr>
      <w:r>
        <w:rPr>
          <w:rFonts w:hint="eastAsia" w:ascii="宋体" w:hAnsi="宋体"/>
          <w:b/>
        </w:rPr>
        <w:t>（</w:t>
      </w:r>
      <w:r>
        <w:rPr>
          <w:rFonts w:cs="Times New Roman"/>
          <w:b/>
        </w:rPr>
        <w:t>1</w:t>
      </w:r>
      <w:r>
        <w:rPr>
          <w:rFonts w:hint="eastAsia" w:ascii="宋体" w:hAnsi="宋体"/>
          <w:b/>
        </w:rPr>
        <w:t>）线路长度</w:t>
      </w:r>
    </w:p>
    <w:p>
      <w:pPr>
        <w:spacing w:before="163" w:after="163"/>
        <w:ind w:firstLine="480"/>
      </w:pPr>
      <w:r>
        <w:t>资阳市中心城区目前开行公交</w:t>
      </w:r>
      <w:r>
        <w:rPr>
          <w:rFonts w:hint="eastAsia"/>
        </w:rPr>
        <w:t>17条，线路总里程239.8km，线路平均长度为14.1km，大于国家规范中“城区公共汽车主要线路长度宜为8~</w:t>
      </w:r>
      <w:r>
        <w:t>12km</w:t>
      </w:r>
      <w:r>
        <w:rPr>
          <w:rFonts w:hint="eastAsia"/>
        </w:rPr>
        <w:t>”的要求。各条线路长度统计对比情况见图2-1</w:t>
      </w:r>
      <w:r>
        <w:t>2</w:t>
      </w:r>
      <w:r>
        <w:rPr>
          <w:rFonts w:hint="eastAsia"/>
        </w:rPr>
        <w:t>。</w:t>
      </w:r>
    </w:p>
    <w:p>
      <w:pPr>
        <w:spacing w:before="163" w:after="163"/>
        <w:ind w:firstLine="0" w:firstLineChars="0"/>
        <w:jc w:val="center"/>
      </w:pPr>
      <w:r>
        <w:drawing>
          <wp:inline distT="0" distB="0" distL="0" distR="0">
            <wp:extent cx="5274310" cy="3076575"/>
            <wp:effectExtent l="0" t="0" r="2540" b="9525"/>
            <wp:docPr id="26" name="图表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pPr>
        <w:pStyle w:val="117"/>
      </w:pPr>
      <w:r>
        <w:rPr>
          <w:rFonts w:hint="eastAsia"/>
        </w:rPr>
        <w:t>图2-1</w:t>
      </w:r>
      <w:r>
        <w:t xml:space="preserve">2  </w:t>
      </w:r>
      <w:r>
        <w:rPr>
          <w:rFonts w:hint="eastAsia"/>
        </w:rPr>
        <w:t>线路</w:t>
      </w:r>
      <w:r>
        <w:t>长度</w:t>
      </w:r>
      <w:r>
        <w:rPr>
          <w:rFonts w:hint="eastAsia"/>
        </w:rPr>
        <w:t>统计</w:t>
      </w:r>
      <w:r>
        <w:t>图</w:t>
      </w:r>
    </w:p>
    <w:p>
      <w:pPr>
        <w:spacing w:before="163" w:after="163"/>
        <w:ind w:firstLine="480"/>
      </w:pPr>
      <w:r>
        <w:rPr>
          <w:rFonts w:hint="eastAsia"/>
        </w:rPr>
        <w:t>资阳市中心城区公交线路长度分布相对均衡，</w:t>
      </w:r>
      <w:r>
        <w:t>线路长度在8</w:t>
      </w:r>
      <w:r>
        <w:rPr>
          <w:rFonts w:hint="eastAsia"/>
        </w:rPr>
        <w:t>.</w:t>
      </w:r>
      <w:r>
        <w:t>0~12.0km</w:t>
      </w:r>
      <w:r>
        <w:rPr>
          <w:rFonts w:hint="eastAsia"/>
        </w:rPr>
        <w:t>的</w:t>
      </w:r>
      <w:r>
        <w:t>有4</w:t>
      </w:r>
      <w:r>
        <w:rPr>
          <w:rFonts w:hint="eastAsia"/>
        </w:rPr>
        <w:t>条</w:t>
      </w:r>
      <w:r>
        <w:t>，</w:t>
      </w:r>
      <w:r>
        <w:rPr>
          <w:rFonts w:hint="eastAsia"/>
        </w:rPr>
        <w:t>12.1</w:t>
      </w:r>
      <w:r>
        <w:t>~15.0km</w:t>
      </w:r>
      <w:r>
        <w:rPr>
          <w:rFonts w:hint="eastAsia"/>
        </w:rPr>
        <w:t>的</w:t>
      </w:r>
      <w:r>
        <w:t>有6</w:t>
      </w:r>
      <w:r>
        <w:rPr>
          <w:rFonts w:hint="eastAsia"/>
        </w:rPr>
        <w:t>条</w:t>
      </w:r>
      <w:r>
        <w:t>，</w:t>
      </w:r>
      <w:r>
        <w:rPr>
          <w:rFonts w:hint="eastAsia"/>
        </w:rPr>
        <w:t>15.1</w:t>
      </w:r>
      <w:r>
        <w:t>~20.0</w:t>
      </w:r>
      <w:r>
        <w:rPr>
          <w:rFonts w:hint="eastAsia"/>
        </w:rPr>
        <w:t>km</w:t>
      </w:r>
      <w:r>
        <w:t>有7</w:t>
      </w:r>
      <w:r>
        <w:rPr>
          <w:rFonts w:hint="eastAsia"/>
        </w:rPr>
        <w:t>条，线路总体偏长，其中4路和6路的线路长达19.6km和18.3km。过长的线路会导致车辆运行时间过长，准点率差，影响车辆周转效率和服务水平。</w:t>
      </w:r>
    </w:p>
    <w:p>
      <w:pPr>
        <w:spacing w:before="163" w:after="163"/>
        <w:ind w:firstLine="482"/>
        <w:rPr>
          <w:rFonts w:ascii="宋体" w:hAnsi="宋体"/>
          <w:b/>
        </w:rPr>
      </w:pPr>
      <w:r>
        <w:rPr>
          <w:rFonts w:hint="eastAsia" w:ascii="宋体" w:hAnsi="宋体"/>
          <w:b/>
        </w:rPr>
        <w:t>（</w:t>
      </w:r>
      <w:r>
        <w:rPr>
          <w:rFonts w:cs="Times New Roman"/>
          <w:b/>
        </w:rPr>
        <w:t>2</w:t>
      </w:r>
      <w:r>
        <w:rPr>
          <w:rFonts w:hint="eastAsia" w:ascii="宋体" w:hAnsi="宋体"/>
          <w:b/>
        </w:rPr>
        <w:t>）线路非直线系数</w:t>
      </w:r>
    </w:p>
    <w:p>
      <w:pPr>
        <w:spacing w:before="163" w:after="163"/>
        <w:ind w:firstLine="480"/>
      </w:pPr>
      <w:r>
        <w:rPr>
          <w:rFonts w:hint="eastAsia"/>
        </w:rPr>
        <w:t>资阳市城区现状公交线网非直线系数的</w:t>
      </w:r>
      <w:r>
        <w:t>平均水平</w:t>
      </w:r>
      <w:r>
        <w:rPr>
          <w:rFonts w:hint="eastAsia"/>
        </w:rPr>
        <w:t>为2.33，远远</w:t>
      </w:r>
      <w:r>
        <w:t>高于国家</w:t>
      </w:r>
      <w:r>
        <w:rPr>
          <w:rFonts w:hint="eastAsia"/>
        </w:rPr>
        <w:t>规范规定</w:t>
      </w:r>
      <w:r>
        <w:t>的不大于</w:t>
      </w:r>
      <w:r>
        <w:rPr>
          <w:rFonts w:hint="eastAsia"/>
        </w:rPr>
        <w:t>1.4的</w:t>
      </w:r>
      <w:r>
        <w:t>要求</w:t>
      </w:r>
      <w:r>
        <w:rPr>
          <w:rFonts w:hint="eastAsia"/>
        </w:rPr>
        <w:t>。其中非直线系数最高的公交线路为2路，非直线系数达到4.58。17条线路有94%的线路非直线系数超过1.40。造成这一现象的原因是公交线路数量有限，只能通过绕行来覆盖大多数道路。另外，沱江以及桥梁的限制也使得部分线路难以避免绕行。各线路的非直线系数如图2-</w:t>
      </w:r>
      <w:r>
        <w:t>13所示</w:t>
      </w:r>
      <w:r>
        <w:rPr>
          <w:rFonts w:hint="eastAsia"/>
        </w:rPr>
        <w:t>。</w:t>
      </w:r>
    </w:p>
    <w:p>
      <w:pPr>
        <w:pStyle w:val="134"/>
        <w:spacing w:before="163"/>
      </w:pPr>
      <w:r>
        <w:drawing>
          <wp:inline distT="0" distB="0" distL="0" distR="0">
            <wp:extent cx="5274310" cy="3076575"/>
            <wp:effectExtent l="0" t="0" r="2540" b="952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pPr>
        <w:pStyle w:val="117"/>
      </w:pPr>
      <w:r>
        <w:rPr>
          <w:rFonts w:hint="eastAsia"/>
        </w:rPr>
        <w:t>图2</w:t>
      </w:r>
      <w:r>
        <w:t xml:space="preserve">-13  </w:t>
      </w:r>
      <w:r>
        <w:rPr>
          <w:rFonts w:hint="eastAsia"/>
        </w:rPr>
        <w:t>线路</w:t>
      </w:r>
      <w:r>
        <w:t>非直线系数</w:t>
      </w:r>
      <w:r>
        <w:rPr>
          <w:rFonts w:hint="eastAsia"/>
        </w:rPr>
        <w:t>统计</w:t>
      </w:r>
      <w:r>
        <w:t>图</w:t>
      </w:r>
    </w:p>
    <w:p>
      <w:pPr>
        <w:spacing w:before="163" w:beforeLines="50" w:after="163"/>
        <w:ind w:firstLine="482"/>
        <w:rPr>
          <w:rFonts w:ascii="宋体" w:hAnsi="宋体"/>
          <w:b/>
        </w:rPr>
      </w:pPr>
      <w:r>
        <w:rPr>
          <w:rFonts w:hint="eastAsia" w:ascii="宋体" w:hAnsi="宋体"/>
          <w:b/>
        </w:rPr>
        <w:t>（</w:t>
      </w:r>
      <w:r>
        <w:t>3</w:t>
      </w:r>
      <w:r>
        <w:rPr>
          <w:rFonts w:hint="eastAsia" w:ascii="宋体" w:hAnsi="宋体"/>
          <w:b/>
        </w:rPr>
        <w:t>）线网密度</w:t>
      </w:r>
    </w:p>
    <w:p>
      <w:pPr>
        <w:spacing w:before="163" w:after="163"/>
        <w:ind w:firstLine="480"/>
      </w:pPr>
      <w:r>
        <w:rPr>
          <w:rFonts w:hint="eastAsia"/>
        </w:rPr>
        <w:t>截至2</w:t>
      </w:r>
      <w:r>
        <w:t>016</w:t>
      </w:r>
      <w:r>
        <w:rPr>
          <w:rFonts w:hint="eastAsia"/>
        </w:rPr>
        <w:t>年，资阳市中心城区建成区面积为42平方公里；经测算，资阳市公共交通线路经过的道路中心线总长度为</w:t>
      </w:r>
      <w:r>
        <w:t>79</w:t>
      </w:r>
      <w:r>
        <w:rPr>
          <w:rFonts w:hint="eastAsia"/>
        </w:rPr>
        <w:t>公里，计算得到资阳市中心城区现状公交线网密度为</w:t>
      </w:r>
      <w:r>
        <w:t>1.88</w:t>
      </w:r>
      <w:r>
        <w:rPr>
          <w:rFonts w:hint="eastAsia"/>
        </w:rPr>
        <w:t>km</w:t>
      </w:r>
      <w:r>
        <w:t>/km</w:t>
      </w:r>
      <w:r>
        <w:rPr>
          <w:vertAlign w:val="superscript"/>
        </w:rPr>
        <w:t>2</w:t>
      </w:r>
      <w:r>
        <w:rPr>
          <w:rFonts w:hint="eastAsia"/>
        </w:rPr>
        <w:t>，远低于国家规范中“</w:t>
      </w:r>
      <w:r>
        <w:rPr>
          <w:rFonts w:hint="eastAsia" w:cs="宋体"/>
        </w:rPr>
        <w:t>在市中心区规划的公共交通线路网的密度应达到</w:t>
      </w:r>
      <w:r>
        <w:rPr>
          <w:rFonts w:cs="宋体"/>
        </w:rPr>
        <w:t>3</w:t>
      </w:r>
      <w:r>
        <w:rPr>
          <w:rFonts w:hint="eastAsia" w:cs="宋体"/>
        </w:rPr>
        <w:t>～</w:t>
      </w:r>
      <w:r>
        <w:rPr>
          <w:rFonts w:cs="宋体"/>
        </w:rPr>
        <w:t>4km/km</w:t>
      </w:r>
      <w:r>
        <w:rPr>
          <w:rFonts w:cs="宋体"/>
          <w:vertAlign w:val="superscript"/>
        </w:rPr>
        <w:t>2</w:t>
      </w:r>
      <w:r>
        <w:rPr>
          <w:rFonts w:hint="eastAsia"/>
        </w:rPr>
        <w:t>”</w:t>
      </w:r>
      <w:r>
        <w:rPr>
          <w:rFonts w:hint="eastAsia" w:cs="宋体"/>
        </w:rPr>
        <w:t>的密度要求。导致线网密度的原因是城南片区为大片工业用地，工业用地道路密度较低，公交需求有限。</w:t>
      </w:r>
    </w:p>
    <w:p>
      <w:pPr>
        <w:spacing w:before="163" w:after="163"/>
        <w:ind w:firstLine="482"/>
        <w:rPr>
          <w:rFonts w:cs="宋体"/>
          <w:b/>
        </w:rPr>
      </w:pPr>
      <w:r>
        <w:rPr>
          <w:rFonts w:hint="eastAsia" w:cs="宋体"/>
          <w:b/>
        </w:rPr>
        <w:t>（</w:t>
      </w:r>
      <w:r>
        <w:rPr>
          <w:rFonts w:hint="eastAsia"/>
        </w:rPr>
        <w:t>4</w:t>
      </w:r>
      <w:r>
        <w:rPr>
          <w:rFonts w:hint="eastAsia" w:cs="宋体"/>
          <w:b/>
        </w:rPr>
        <w:t>）重复系数</w:t>
      </w:r>
    </w:p>
    <w:p>
      <w:pPr>
        <w:spacing w:before="163" w:after="163"/>
        <w:ind w:firstLine="480"/>
      </w:pPr>
      <w:r>
        <w:rPr>
          <w:rFonts w:hint="eastAsia"/>
        </w:rPr>
        <w:t>经测算</w:t>
      </w:r>
      <w:r>
        <w:t>，资阳市中心城区线路重复系数约为2.45</w:t>
      </w:r>
      <w:r>
        <w:rPr>
          <w:rFonts w:hint="eastAsia"/>
        </w:rPr>
        <w:t>，符合《交通工程手册》建议的城市公交线网重复系数</w:t>
      </w:r>
      <w:r>
        <w:t>1.25</w:t>
      </w:r>
      <w:r>
        <w:rPr>
          <w:rFonts w:hint="eastAsia"/>
        </w:rPr>
        <w:t>～</w:t>
      </w:r>
      <w:r>
        <w:t>2.5</w:t>
      </w:r>
      <w:r>
        <w:rPr>
          <w:rFonts w:hint="eastAsia"/>
        </w:rPr>
        <w:t>的标准。</w:t>
      </w:r>
    </w:p>
    <w:p>
      <w:pPr>
        <w:pStyle w:val="4"/>
        <w:spacing w:before="163" w:after="163"/>
      </w:pPr>
      <w:bookmarkStart w:id="26" w:name="_Toc518573656"/>
      <w:r>
        <w:rPr>
          <w:rFonts w:hint="eastAsia"/>
        </w:rPr>
        <w:t>2.</w:t>
      </w:r>
      <w:r>
        <w:t xml:space="preserve">5 </w:t>
      </w:r>
      <w:r>
        <w:rPr>
          <w:rFonts w:hint="eastAsia"/>
        </w:rPr>
        <w:t>公交</w:t>
      </w:r>
      <w:r>
        <w:t>运力分析</w:t>
      </w:r>
      <w:bookmarkEnd w:id="26"/>
    </w:p>
    <w:p>
      <w:pPr>
        <w:ind w:firstLine="480"/>
      </w:pPr>
      <w:r>
        <w:t>资阳市中心城区现有营运公交车辆合计</w:t>
      </w:r>
      <w:r>
        <w:rPr>
          <w:rFonts w:hint="eastAsia"/>
        </w:rPr>
        <w:t>206台，全为高级空调车，且全为大型车辆，折合标准车</w:t>
      </w:r>
      <w:r>
        <w:t>267.8</w:t>
      </w:r>
      <w:r>
        <w:rPr>
          <w:rFonts w:hint="eastAsia"/>
        </w:rPr>
        <w:t>台。至2015年，资阳市中心城区常住人口35.0万人，万人拥有率为</w:t>
      </w:r>
      <w:r>
        <w:t>7.7标台</w:t>
      </w:r>
      <w:r>
        <w:rPr>
          <w:rFonts w:hint="eastAsia"/>
        </w:rPr>
        <w:t>/万人。中心</w:t>
      </w:r>
      <w:r>
        <w:t>城区</w:t>
      </w:r>
      <w:r>
        <w:rPr>
          <w:rFonts w:hint="eastAsia"/>
        </w:rPr>
        <w:t>公交车辆</w:t>
      </w:r>
      <w:r>
        <w:t>运营现状情况见表</w:t>
      </w:r>
      <w:r>
        <w:rPr>
          <w:rFonts w:hint="eastAsia"/>
        </w:rPr>
        <w:t>2-2。</w:t>
      </w:r>
    </w:p>
    <w:p>
      <w:pPr>
        <w:pStyle w:val="113"/>
      </w:pPr>
    </w:p>
    <w:p>
      <w:pPr>
        <w:pStyle w:val="113"/>
      </w:pPr>
    </w:p>
    <w:p>
      <w:pPr>
        <w:pStyle w:val="113"/>
        <w:spacing w:before="163" w:after="163"/>
      </w:pPr>
      <w:r>
        <w:rPr>
          <w:rFonts w:hint="eastAsia"/>
        </w:rPr>
        <w:t xml:space="preserve">表2-2 </w:t>
      </w:r>
      <w:r>
        <w:t xml:space="preserve"> </w:t>
      </w:r>
      <w:r>
        <w:rPr>
          <w:rFonts w:hint="eastAsia"/>
        </w:rPr>
        <w:t>资阳市中心</w:t>
      </w:r>
      <w:r>
        <w:t>城区</w:t>
      </w:r>
      <w:r>
        <w:rPr>
          <w:rFonts w:hint="eastAsia"/>
        </w:rPr>
        <w:t>公交车辆营运</w:t>
      </w:r>
      <w:r>
        <w:t>现状</w:t>
      </w:r>
      <w:r>
        <w:rPr>
          <w:rFonts w:hint="eastAsia"/>
        </w:rPr>
        <w:t>一览表</w:t>
      </w:r>
    </w:p>
    <w:tbl>
      <w:tblPr>
        <w:tblStyle w:val="94"/>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02"/>
        <w:gridCol w:w="1469"/>
        <w:gridCol w:w="1460"/>
        <w:gridCol w:w="1455"/>
        <w:gridCol w:w="1455"/>
        <w:gridCol w:w="146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002" w:type="dxa"/>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名称</w:t>
            </w:r>
          </w:p>
        </w:tc>
        <w:tc>
          <w:tcPr>
            <w:tcW w:w="1469" w:type="dxa"/>
            <w:tcBorders>
              <w:bottom w:val="single" w:color="auto" w:sz="12"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线路长度（km</w:t>
            </w:r>
            <w:r>
              <w:rPr>
                <w:rFonts w:cs="宋体"/>
                <w:b/>
                <w:bCs/>
                <w:snapToGrid w:val="0"/>
                <w:kern w:val="2"/>
                <w:sz w:val="20"/>
                <w:szCs w:val="21"/>
              </w:rPr>
              <w:t>）</w:t>
            </w:r>
          </w:p>
        </w:tc>
        <w:tc>
          <w:tcPr>
            <w:tcW w:w="1460" w:type="dxa"/>
            <w:tcBorders>
              <w:bottom w:val="single" w:color="auto" w:sz="12"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配车数</w:t>
            </w:r>
          </w:p>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（标台）</w:t>
            </w:r>
          </w:p>
        </w:tc>
        <w:tc>
          <w:tcPr>
            <w:tcW w:w="1455" w:type="dxa"/>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车</w:t>
            </w:r>
            <w:r>
              <w:rPr>
                <w:rFonts w:cs="宋体"/>
                <w:b/>
                <w:bCs/>
                <w:snapToGrid w:val="0"/>
                <w:kern w:val="2"/>
                <w:sz w:val="20"/>
                <w:szCs w:val="21"/>
              </w:rPr>
              <w:t>型</w:t>
            </w:r>
          </w:p>
        </w:tc>
        <w:tc>
          <w:tcPr>
            <w:tcW w:w="1455" w:type="dxa"/>
            <w:tcBorders>
              <w:bottom w:val="single" w:color="auto" w:sz="12"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发车间隔（min）</w:t>
            </w:r>
          </w:p>
        </w:tc>
        <w:tc>
          <w:tcPr>
            <w:tcW w:w="1465" w:type="dxa"/>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宋体"/>
                <w:b/>
                <w:bCs/>
                <w:snapToGrid w:val="0"/>
                <w:kern w:val="2"/>
                <w:sz w:val="20"/>
                <w:szCs w:val="21"/>
              </w:rPr>
            </w:pPr>
            <w:r>
              <w:rPr>
                <w:rFonts w:hint="eastAsia" w:cs="宋体"/>
                <w:b/>
                <w:bCs/>
                <w:snapToGrid w:val="0"/>
                <w:kern w:val="2"/>
                <w:sz w:val="20"/>
                <w:szCs w:val="21"/>
              </w:rPr>
              <w:t>燃料类型</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tcBorders>
              <w:top w:val="single" w:color="auto" w:sz="12" w:space="0"/>
            </w:tcBorders>
            <w:vAlign w:val="center"/>
          </w:tcPr>
          <w:p>
            <w:pPr>
              <w:pStyle w:val="151"/>
              <w:spacing w:before="0" w:line="240" w:lineRule="auto"/>
              <w:rPr>
                <w:rFonts w:cs="仿宋_GB2312"/>
              </w:rPr>
            </w:pPr>
            <w:r>
              <w:rPr>
                <w:rFonts w:hint="eastAsia" w:cs="仿宋_GB2312"/>
              </w:rPr>
              <w:t>1路</w:t>
            </w:r>
          </w:p>
        </w:tc>
        <w:tc>
          <w:tcPr>
            <w:tcW w:w="1469" w:type="dxa"/>
            <w:tcBorders>
              <w:top w:val="single" w:color="auto" w:sz="12" w:space="0"/>
            </w:tcBorders>
            <w:vAlign w:val="center"/>
          </w:tcPr>
          <w:p>
            <w:pPr>
              <w:pStyle w:val="151"/>
              <w:spacing w:before="0" w:line="240" w:lineRule="auto"/>
              <w:rPr>
                <w:rFonts w:cs="仿宋_GB2312"/>
              </w:rPr>
            </w:pPr>
            <w:r>
              <w:rPr>
                <w:rFonts w:hint="eastAsia" w:cs="仿宋_GB2312"/>
              </w:rPr>
              <w:t>12.7</w:t>
            </w:r>
          </w:p>
        </w:tc>
        <w:tc>
          <w:tcPr>
            <w:tcW w:w="1460" w:type="dxa"/>
            <w:tcBorders>
              <w:top w:val="single" w:color="auto" w:sz="12" w:space="0"/>
            </w:tcBorders>
            <w:vAlign w:val="center"/>
          </w:tcPr>
          <w:p>
            <w:pPr>
              <w:pStyle w:val="151"/>
              <w:spacing w:before="0" w:line="240" w:lineRule="auto"/>
              <w:rPr>
                <w:rFonts w:cs="仿宋_GB2312"/>
              </w:rPr>
            </w:pPr>
            <w:r>
              <w:rPr>
                <w:rFonts w:cs="仿宋_GB2312"/>
              </w:rPr>
              <w:t>22.1</w:t>
            </w:r>
          </w:p>
        </w:tc>
        <w:tc>
          <w:tcPr>
            <w:tcW w:w="1455" w:type="dxa"/>
            <w:tcBorders>
              <w:top w:val="single" w:color="auto" w:sz="12" w:space="0"/>
            </w:tcBorders>
            <w:vAlign w:val="center"/>
          </w:tcPr>
          <w:p>
            <w:pPr>
              <w:pStyle w:val="151"/>
              <w:spacing w:before="0" w:line="240" w:lineRule="auto"/>
              <w:rPr>
                <w:rFonts w:cs="仿宋_GB2312"/>
              </w:rPr>
            </w:pPr>
            <w:r>
              <w:rPr>
                <w:rFonts w:hint="eastAsia" w:cs="仿宋_GB2312"/>
              </w:rPr>
              <w:t>大型车</w:t>
            </w:r>
          </w:p>
        </w:tc>
        <w:tc>
          <w:tcPr>
            <w:tcW w:w="1455" w:type="dxa"/>
            <w:tcBorders>
              <w:top w:val="single" w:color="auto" w:sz="12" w:space="0"/>
            </w:tcBorders>
            <w:vAlign w:val="center"/>
          </w:tcPr>
          <w:p>
            <w:pPr>
              <w:pStyle w:val="151"/>
              <w:spacing w:before="0" w:line="240" w:lineRule="auto"/>
              <w:rPr>
                <w:rFonts w:cs="仿宋_GB2312"/>
              </w:rPr>
            </w:pPr>
            <w:r>
              <w:rPr>
                <w:rFonts w:hint="eastAsia" w:cs="仿宋_GB2312"/>
              </w:rPr>
              <w:t>6/7</w:t>
            </w:r>
          </w:p>
        </w:tc>
        <w:tc>
          <w:tcPr>
            <w:tcW w:w="1465" w:type="dxa"/>
            <w:tcBorders>
              <w:top w:val="single" w:color="auto" w:sz="12" w:space="0"/>
            </w:tcBorders>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2路</w:t>
            </w:r>
          </w:p>
        </w:tc>
        <w:tc>
          <w:tcPr>
            <w:tcW w:w="1469" w:type="dxa"/>
            <w:vAlign w:val="center"/>
          </w:tcPr>
          <w:p>
            <w:pPr>
              <w:pStyle w:val="151"/>
              <w:spacing w:before="0" w:line="240" w:lineRule="auto"/>
              <w:rPr>
                <w:rFonts w:cs="仿宋_GB2312"/>
              </w:rPr>
            </w:pPr>
            <w:r>
              <w:rPr>
                <w:rFonts w:hint="eastAsia" w:cs="仿宋_GB2312"/>
              </w:rPr>
              <w:t>16.5</w:t>
            </w:r>
          </w:p>
        </w:tc>
        <w:tc>
          <w:tcPr>
            <w:tcW w:w="1460" w:type="dxa"/>
            <w:vAlign w:val="center"/>
          </w:tcPr>
          <w:p>
            <w:pPr>
              <w:pStyle w:val="151"/>
              <w:spacing w:before="0" w:line="240" w:lineRule="auto"/>
              <w:rPr>
                <w:rFonts w:cs="仿宋_GB2312"/>
              </w:rPr>
            </w:pPr>
            <w:r>
              <w:rPr>
                <w:rFonts w:cs="仿宋_GB2312"/>
              </w:rPr>
              <w:t>20.8</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7/9</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3路</w:t>
            </w:r>
          </w:p>
        </w:tc>
        <w:tc>
          <w:tcPr>
            <w:tcW w:w="1469" w:type="dxa"/>
            <w:vAlign w:val="center"/>
          </w:tcPr>
          <w:p>
            <w:pPr>
              <w:pStyle w:val="151"/>
              <w:spacing w:before="0" w:line="240" w:lineRule="auto"/>
              <w:rPr>
                <w:rFonts w:cs="仿宋_GB2312"/>
              </w:rPr>
            </w:pPr>
            <w:r>
              <w:rPr>
                <w:rFonts w:hint="eastAsia" w:cs="仿宋_GB2312"/>
              </w:rPr>
              <w:t>14</w:t>
            </w:r>
          </w:p>
        </w:tc>
        <w:tc>
          <w:tcPr>
            <w:tcW w:w="1460" w:type="dxa"/>
            <w:vAlign w:val="center"/>
          </w:tcPr>
          <w:p>
            <w:pPr>
              <w:pStyle w:val="151"/>
              <w:spacing w:before="0" w:line="240" w:lineRule="auto"/>
              <w:rPr>
                <w:rFonts w:cs="仿宋_GB2312"/>
              </w:rPr>
            </w:pPr>
            <w:r>
              <w:rPr>
                <w:rFonts w:cs="仿宋_GB2312"/>
              </w:rPr>
              <w:t>24.7</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6/7</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4路</w:t>
            </w:r>
          </w:p>
        </w:tc>
        <w:tc>
          <w:tcPr>
            <w:tcW w:w="1469" w:type="dxa"/>
            <w:vAlign w:val="center"/>
          </w:tcPr>
          <w:p>
            <w:pPr>
              <w:pStyle w:val="151"/>
              <w:spacing w:before="0" w:line="240" w:lineRule="auto"/>
              <w:rPr>
                <w:rFonts w:cs="仿宋_GB2312"/>
              </w:rPr>
            </w:pPr>
            <w:r>
              <w:rPr>
                <w:rFonts w:hint="eastAsia" w:cs="仿宋_GB2312"/>
              </w:rPr>
              <w:t>19.6</w:t>
            </w:r>
          </w:p>
        </w:tc>
        <w:tc>
          <w:tcPr>
            <w:tcW w:w="1460" w:type="dxa"/>
            <w:vAlign w:val="center"/>
          </w:tcPr>
          <w:p>
            <w:pPr>
              <w:pStyle w:val="151"/>
              <w:spacing w:before="0" w:line="240" w:lineRule="auto"/>
              <w:rPr>
                <w:rFonts w:cs="仿宋_GB2312"/>
              </w:rPr>
            </w:pPr>
            <w:r>
              <w:rPr>
                <w:rFonts w:cs="仿宋_GB2312"/>
              </w:rPr>
              <w:t>26</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7/9</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1002" w:type="dxa"/>
            <w:vAlign w:val="center"/>
          </w:tcPr>
          <w:p>
            <w:pPr>
              <w:pStyle w:val="151"/>
              <w:spacing w:before="0" w:line="240" w:lineRule="auto"/>
              <w:rPr>
                <w:rFonts w:cs="仿宋_GB2312"/>
              </w:rPr>
            </w:pPr>
            <w:r>
              <w:rPr>
                <w:rFonts w:hint="eastAsia" w:cs="仿宋_GB2312"/>
              </w:rPr>
              <w:t>5路</w:t>
            </w:r>
          </w:p>
        </w:tc>
        <w:tc>
          <w:tcPr>
            <w:tcW w:w="1469" w:type="dxa"/>
            <w:vAlign w:val="center"/>
          </w:tcPr>
          <w:p>
            <w:pPr>
              <w:pStyle w:val="151"/>
              <w:spacing w:before="0" w:line="240" w:lineRule="auto"/>
              <w:rPr>
                <w:rFonts w:cs="仿宋_GB2312"/>
              </w:rPr>
            </w:pPr>
            <w:r>
              <w:rPr>
                <w:rFonts w:hint="eastAsia" w:cs="仿宋_GB2312"/>
              </w:rPr>
              <w:t>14.8</w:t>
            </w:r>
          </w:p>
        </w:tc>
        <w:tc>
          <w:tcPr>
            <w:tcW w:w="1460" w:type="dxa"/>
            <w:vAlign w:val="center"/>
          </w:tcPr>
          <w:p>
            <w:pPr>
              <w:pStyle w:val="151"/>
              <w:spacing w:before="0" w:line="240" w:lineRule="auto"/>
              <w:rPr>
                <w:rFonts w:cs="仿宋_GB2312"/>
              </w:rPr>
            </w:pPr>
            <w:r>
              <w:rPr>
                <w:rFonts w:cs="仿宋_GB2312"/>
              </w:rPr>
              <w:t>19.5</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7/9</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1002" w:type="dxa"/>
            <w:vAlign w:val="center"/>
          </w:tcPr>
          <w:p>
            <w:pPr>
              <w:pStyle w:val="151"/>
              <w:spacing w:before="0" w:line="240" w:lineRule="auto"/>
              <w:rPr>
                <w:rFonts w:cs="仿宋_GB2312"/>
              </w:rPr>
            </w:pPr>
            <w:r>
              <w:rPr>
                <w:rFonts w:hint="eastAsia" w:cs="仿宋_GB2312"/>
              </w:rPr>
              <w:t>6路</w:t>
            </w:r>
          </w:p>
        </w:tc>
        <w:tc>
          <w:tcPr>
            <w:tcW w:w="1469" w:type="dxa"/>
            <w:vAlign w:val="center"/>
          </w:tcPr>
          <w:p>
            <w:pPr>
              <w:pStyle w:val="151"/>
              <w:spacing w:before="0" w:line="240" w:lineRule="auto"/>
              <w:rPr>
                <w:rFonts w:cs="仿宋_GB2312"/>
              </w:rPr>
            </w:pPr>
            <w:r>
              <w:rPr>
                <w:rFonts w:hint="eastAsia" w:cs="仿宋_GB2312"/>
              </w:rPr>
              <w:t>18.3</w:t>
            </w:r>
          </w:p>
        </w:tc>
        <w:tc>
          <w:tcPr>
            <w:tcW w:w="1460" w:type="dxa"/>
            <w:vAlign w:val="center"/>
          </w:tcPr>
          <w:p>
            <w:pPr>
              <w:pStyle w:val="151"/>
              <w:spacing w:before="0" w:line="240" w:lineRule="auto"/>
              <w:rPr>
                <w:rFonts w:cs="仿宋_GB2312"/>
              </w:rPr>
            </w:pPr>
            <w:r>
              <w:rPr>
                <w:rFonts w:cs="仿宋_GB2312"/>
              </w:rPr>
              <w:t>20.8</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8/10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5" w:hRule="atLeast"/>
          <w:jc w:val="center"/>
        </w:trPr>
        <w:tc>
          <w:tcPr>
            <w:tcW w:w="1002" w:type="dxa"/>
            <w:vAlign w:val="center"/>
          </w:tcPr>
          <w:p>
            <w:pPr>
              <w:pStyle w:val="151"/>
              <w:spacing w:before="0" w:line="240" w:lineRule="auto"/>
              <w:rPr>
                <w:rFonts w:cs="仿宋_GB2312"/>
              </w:rPr>
            </w:pPr>
            <w:r>
              <w:rPr>
                <w:rFonts w:hint="eastAsia" w:cs="仿宋_GB2312"/>
              </w:rPr>
              <w:t>7路</w:t>
            </w:r>
          </w:p>
        </w:tc>
        <w:tc>
          <w:tcPr>
            <w:tcW w:w="1469" w:type="dxa"/>
            <w:vAlign w:val="center"/>
          </w:tcPr>
          <w:p>
            <w:pPr>
              <w:pStyle w:val="151"/>
              <w:spacing w:before="0" w:line="240" w:lineRule="auto"/>
              <w:rPr>
                <w:rFonts w:cs="仿宋_GB2312"/>
              </w:rPr>
            </w:pPr>
            <w:r>
              <w:rPr>
                <w:rFonts w:hint="eastAsia" w:cs="仿宋_GB2312"/>
              </w:rPr>
              <w:t>15.6</w:t>
            </w:r>
          </w:p>
        </w:tc>
        <w:tc>
          <w:tcPr>
            <w:tcW w:w="1460" w:type="dxa"/>
            <w:vAlign w:val="center"/>
          </w:tcPr>
          <w:p>
            <w:pPr>
              <w:pStyle w:val="151"/>
              <w:spacing w:before="0" w:line="240" w:lineRule="auto"/>
              <w:rPr>
                <w:rFonts w:cs="仿宋_GB2312"/>
              </w:rPr>
            </w:pPr>
            <w:r>
              <w:rPr>
                <w:rFonts w:cs="仿宋_GB2312"/>
              </w:rPr>
              <w:t>15.6</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9/11</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9路</w:t>
            </w:r>
          </w:p>
        </w:tc>
        <w:tc>
          <w:tcPr>
            <w:tcW w:w="1469" w:type="dxa"/>
            <w:vAlign w:val="center"/>
          </w:tcPr>
          <w:p>
            <w:pPr>
              <w:pStyle w:val="151"/>
              <w:spacing w:before="0" w:line="240" w:lineRule="auto"/>
              <w:rPr>
                <w:rFonts w:cs="仿宋_GB2312"/>
              </w:rPr>
            </w:pPr>
            <w:r>
              <w:rPr>
                <w:rFonts w:hint="eastAsia" w:cs="仿宋_GB2312"/>
              </w:rPr>
              <w:t>15.5</w:t>
            </w:r>
          </w:p>
        </w:tc>
        <w:tc>
          <w:tcPr>
            <w:tcW w:w="1460" w:type="dxa"/>
            <w:vAlign w:val="center"/>
          </w:tcPr>
          <w:p>
            <w:pPr>
              <w:pStyle w:val="151"/>
              <w:spacing w:before="0" w:line="240" w:lineRule="auto"/>
              <w:rPr>
                <w:rFonts w:cs="仿宋_GB2312"/>
              </w:rPr>
            </w:pPr>
            <w:r>
              <w:rPr>
                <w:rFonts w:cs="仿宋_GB2312"/>
              </w:rPr>
              <w:t>7.8</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17-20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10路</w:t>
            </w:r>
          </w:p>
        </w:tc>
        <w:tc>
          <w:tcPr>
            <w:tcW w:w="1469" w:type="dxa"/>
            <w:vAlign w:val="center"/>
          </w:tcPr>
          <w:p>
            <w:pPr>
              <w:pStyle w:val="151"/>
              <w:spacing w:before="0" w:line="240" w:lineRule="auto"/>
              <w:rPr>
                <w:rFonts w:cs="仿宋_GB2312"/>
              </w:rPr>
            </w:pPr>
            <w:r>
              <w:rPr>
                <w:rFonts w:hint="eastAsia" w:cs="仿宋_GB2312"/>
              </w:rPr>
              <w:t>13</w:t>
            </w:r>
          </w:p>
        </w:tc>
        <w:tc>
          <w:tcPr>
            <w:tcW w:w="1460" w:type="dxa"/>
            <w:vAlign w:val="center"/>
          </w:tcPr>
          <w:p>
            <w:pPr>
              <w:pStyle w:val="151"/>
              <w:spacing w:before="0" w:line="240" w:lineRule="auto"/>
              <w:rPr>
                <w:rFonts w:cs="仿宋_GB2312"/>
              </w:rPr>
            </w:pPr>
            <w:r>
              <w:rPr>
                <w:rFonts w:cs="仿宋_GB2312"/>
              </w:rPr>
              <w:t>16.9</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7/10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11路</w:t>
            </w:r>
          </w:p>
        </w:tc>
        <w:tc>
          <w:tcPr>
            <w:tcW w:w="1469" w:type="dxa"/>
            <w:vAlign w:val="center"/>
          </w:tcPr>
          <w:p>
            <w:pPr>
              <w:pStyle w:val="151"/>
              <w:spacing w:before="0" w:line="240" w:lineRule="auto"/>
              <w:rPr>
                <w:rFonts w:cs="仿宋_GB2312"/>
              </w:rPr>
            </w:pPr>
            <w:r>
              <w:rPr>
                <w:rFonts w:hint="eastAsia" w:cs="仿宋_GB2312"/>
              </w:rPr>
              <w:t>15.2</w:t>
            </w:r>
          </w:p>
        </w:tc>
        <w:tc>
          <w:tcPr>
            <w:tcW w:w="1460" w:type="dxa"/>
            <w:vAlign w:val="center"/>
          </w:tcPr>
          <w:p>
            <w:pPr>
              <w:pStyle w:val="151"/>
              <w:spacing w:before="0" w:line="240" w:lineRule="auto"/>
              <w:rPr>
                <w:rFonts w:cs="仿宋_GB2312"/>
              </w:rPr>
            </w:pPr>
            <w:r>
              <w:rPr>
                <w:rFonts w:cs="仿宋_GB2312"/>
              </w:rPr>
              <w:t>3.9</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41-47</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14路</w:t>
            </w:r>
          </w:p>
        </w:tc>
        <w:tc>
          <w:tcPr>
            <w:tcW w:w="1469" w:type="dxa"/>
            <w:vAlign w:val="center"/>
          </w:tcPr>
          <w:p>
            <w:pPr>
              <w:pStyle w:val="151"/>
              <w:spacing w:before="0" w:line="240" w:lineRule="auto"/>
              <w:rPr>
                <w:rFonts w:cs="仿宋_GB2312"/>
              </w:rPr>
            </w:pPr>
            <w:r>
              <w:rPr>
                <w:rFonts w:hint="eastAsia" w:cs="仿宋_GB2312"/>
              </w:rPr>
              <w:t>16.3</w:t>
            </w:r>
          </w:p>
        </w:tc>
        <w:tc>
          <w:tcPr>
            <w:tcW w:w="1460" w:type="dxa"/>
            <w:vAlign w:val="center"/>
          </w:tcPr>
          <w:p>
            <w:pPr>
              <w:pStyle w:val="151"/>
              <w:spacing w:before="0" w:line="240" w:lineRule="auto"/>
              <w:rPr>
                <w:rFonts w:cs="仿宋_GB2312"/>
              </w:rPr>
            </w:pPr>
            <w:r>
              <w:rPr>
                <w:rFonts w:cs="仿宋_GB2312"/>
              </w:rPr>
              <w:t>20.8</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7/9</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15路</w:t>
            </w:r>
          </w:p>
        </w:tc>
        <w:tc>
          <w:tcPr>
            <w:tcW w:w="1469" w:type="dxa"/>
            <w:vAlign w:val="center"/>
          </w:tcPr>
          <w:p>
            <w:pPr>
              <w:pStyle w:val="151"/>
              <w:spacing w:before="0" w:line="240" w:lineRule="auto"/>
              <w:rPr>
                <w:rFonts w:cs="仿宋_GB2312"/>
              </w:rPr>
            </w:pPr>
            <w:r>
              <w:rPr>
                <w:rFonts w:hint="eastAsia" w:cs="仿宋_GB2312"/>
              </w:rPr>
              <w:t>13.2</w:t>
            </w:r>
          </w:p>
        </w:tc>
        <w:tc>
          <w:tcPr>
            <w:tcW w:w="1460" w:type="dxa"/>
            <w:vAlign w:val="center"/>
          </w:tcPr>
          <w:p>
            <w:pPr>
              <w:pStyle w:val="151"/>
              <w:spacing w:before="0" w:line="240" w:lineRule="auto"/>
              <w:rPr>
                <w:rFonts w:cs="仿宋_GB2312"/>
              </w:rPr>
            </w:pPr>
            <w:r>
              <w:rPr>
                <w:rFonts w:cs="仿宋_GB2312"/>
              </w:rPr>
              <w:t>10.4</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13-16</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0" w:hRule="atLeast"/>
          <w:jc w:val="center"/>
        </w:trPr>
        <w:tc>
          <w:tcPr>
            <w:tcW w:w="1002" w:type="dxa"/>
            <w:vAlign w:val="center"/>
          </w:tcPr>
          <w:p>
            <w:pPr>
              <w:pStyle w:val="151"/>
              <w:spacing w:before="0" w:line="240" w:lineRule="auto"/>
              <w:rPr>
                <w:rFonts w:cs="仿宋_GB2312"/>
              </w:rPr>
            </w:pPr>
            <w:r>
              <w:rPr>
                <w:rFonts w:hint="eastAsia" w:cs="仿宋_GB2312"/>
              </w:rPr>
              <w:t>16路</w:t>
            </w:r>
          </w:p>
        </w:tc>
        <w:tc>
          <w:tcPr>
            <w:tcW w:w="1469" w:type="dxa"/>
            <w:vAlign w:val="center"/>
          </w:tcPr>
          <w:p>
            <w:pPr>
              <w:pStyle w:val="151"/>
              <w:spacing w:before="0" w:line="240" w:lineRule="auto"/>
              <w:rPr>
                <w:rFonts w:cs="仿宋_GB2312"/>
              </w:rPr>
            </w:pPr>
            <w:r>
              <w:rPr>
                <w:rFonts w:hint="eastAsia" w:cs="仿宋_GB2312"/>
              </w:rPr>
              <w:t>13.8</w:t>
            </w:r>
          </w:p>
        </w:tc>
        <w:tc>
          <w:tcPr>
            <w:tcW w:w="1460" w:type="dxa"/>
            <w:vAlign w:val="center"/>
          </w:tcPr>
          <w:p>
            <w:pPr>
              <w:pStyle w:val="151"/>
              <w:spacing w:before="0" w:line="240" w:lineRule="auto"/>
              <w:rPr>
                <w:rFonts w:cs="仿宋_GB2312"/>
              </w:rPr>
            </w:pPr>
            <w:r>
              <w:rPr>
                <w:rFonts w:cs="仿宋_GB2312"/>
              </w:rPr>
              <w:t>16.9</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8/10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17路</w:t>
            </w:r>
          </w:p>
        </w:tc>
        <w:tc>
          <w:tcPr>
            <w:tcW w:w="1469" w:type="dxa"/>
            <w:vAlign w:val="center"/>
          </w:tcPr>
          <w:p>
            <w:pPr>
              <w:pStyle w:val="151"/>
              <w:spacing w:before="0" w:line="240" w:lineRule="auto"/>
              <w:rPr>
                <w:rFonts w:cs="仿宋_GB2312"/>
              </w:rPr>
            </w:pPr>
            <w:r>
              <w:rPr>
                <w:rFonts w:hint="eastAsia" w:cs="仿宋_GB2312"/>
              </w:rPr>
              <w:t>9.8</w:t>
            </w:r>
          </w:p>
        </w:tc>
        <w:tc>
          <w:tcPr>
            <w:tcW w:w="1460" w:type="dxa"/>
            <w:vAlign w:val="center"/>
          </w:tcPr>
          <w:p>
            <w:pPr>
              <w:pStyle w:val="151"/>
              <w:spacing w:before="0" w:line="240" w:lineRule="auto"/>
              <w:rPr>
                <w:rFonts w:cs="仿宋_GB2312"/>
              </w:rPr>
            </w:pPr>
            <w:r>
              <w:rPr>
                <w:rFonts w:cs="仿宋_GB2312"/>
              </w:rPr>
              <w:t>6.5</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16-20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18路</w:t>
            </w:r>
          </w:p>
        </w:tc>
        <w:tc>
          <w:tcPr>
            <w:tcW w:w="1469" w:type="dxa"/>
            <w:vAlign w:val="center"/>
          </w:tcPr>
          <w:p>
            <w:pPr>
              <w:pStyle w:val="151"/>
              <w:spacing w:before="0" w:line="240" w:lineRule="auto"/>
              <w:rPr>
                <w:rFonts w:cs="仿宋_GB2312"/>
              </w:rPr>
            </w:pPr>
            <w:r>
              <w:rPr>
                <w:rFonts w:hint="eastAsia" w:cs="仿宋_GB2312"/>
              </w:rPr>
              <w:t>10.2</w:t>
            </w:r>
          </w:p>
        </w:tc>
        <w:tc>
          <w:tcPr>
            <w:tcW w:w="1460" w:type="dxa"/>
            <w:vAlign w:val="center"/>
          </w:tcPr>
          <w:p>
            <w:pPr>
              <w:pStyle w:val="151"/>
              <w:spacing w:before="0" w:line="240" w:lineRule="auto"/>
              <w:rPr>
                <w:rFonts w:cs="仿宋_GB2312"/>
              </w:rPr>
            </w:pPr>
            <w:r>
              <w:rPr>
                <w:rFonts w:cs="仿宋_GB2312"/>
              </w:rPr>
              <w:t>9.1</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17-22</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高铁快线1</w:t>
            </w:r>
          </w:p>
        </w:tc>
        <w:tc>
          <w:tcPr>
            <w:tcW w:w="1469" w:type="dxa"/>
            <w:vAlign w:val="center"/>
          </w:tcPr>
          <w:p>
            <w:pPr>
              <w:pStyle w:val="151"/>
              <w:spacing w:before="0" w:line="240" w:lineRule="auto"/>
              <w:rPr>
                <w:rFonts w:cs="仿宋_GB2312"/>
              </w:rPr>
            </w:pPr>
            <w:r>
              <w:rPr>
                <w:rFonts w:hint="eastAsia" w:cs="仿宋_GB2312"/>
              </w:rPr>
              <w:t>11.5</w:t>
            </w:r>
          </w:p>
        </w:tc>
        <w:tc>
          <w:tcPr>
            <w:tcW w:w="1460" w:type="dxa"/>
            <w:vAlign w:val="center"/>
          </w:tcPr>
          <w:p>
            <w:pPr>
              <w:pStyle w:val="151"/>
              <w:spacing w:before="0" w:line="240" w:lineRule="auto"/>
              <w:rPr>
                <w:rFonts w:cs="仿宋_GB2312"/>
              </w:rPr>
            </w:pPr>
            <w:r>
              <w:rPr>
                <w:rFonts w:cs="仿宋_GB2312"/>
              </w:rPr>
              <w:t>13</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8/10</w:t>
            </w:r>
          </w:p>
        </w:tc>
        <w:tc>
          <w:tcPr>
            <w:tcW w:w="1465" w:type="dxa"/>
            <w:vAlign w:val="center"/>
          </w:tcPr>
          <w:p>
            <w:pPr>
              <w:pStyle w:val="151"/>
              <w:spacing w:before="0" w:line="240" w:lineRule="auto"/>
              <w:rPr>
                <w:rFonts w:cs="仿宋_GB2312"/>
              </w:rPr>
            </w:pPr>
            <w:r>
              <w:rPr>
                <w:rFonts w:hint="eastAsia" w:cs="仿宋_GB2312"/>
              </w:rPr>
              <w:t>天然气</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05" w:hRule="atLeast"/>
          <w:jc w:val="center"/>
        </w:trPr>
        <w:tc>
          <w:tcPr>
            <w:tcW w:w="1002" w:type="dxa"/>
            <w:vAlign w:val="center"/>
          </w:tcPr>
          <w:p>
            <w:pPr>
              <w:pStyle w:val="151"/>
              <w:spacing w:before="0" w:line="240" w:lineRule="auto"/>
              <w:rPr>
                <w:rFonts w:cs="仿宋_GB2312"/>
              </w:rPr>
            </w:pPr>
            <w:r>
              <w:rPr>
                <w:rFonts w:hint="eastAsia" w:cs="仿宋_GB2312"/>
              </w:rPr>
              <w:t>高铁快线2</w:t>
            </w:r>
          </w:p>
        </w:tc>
        <w:tc>
          <w:tcPr>
            <w:tcW w:w="1469" w:type="dxa"/>
            <w:vAlign w:val="center"/>
          </w:tcPr>
          <w:p>
            <w:pPr>
              <w:pStyle w:val="151"/>
              <w:spacing w:before="0" w:line="240" w:lineRule="auto"/>
              <w:rPr>
                <w:rFonts w:cs="仿宋_GB2312"/>
              </w:rPr>
            </w:pPr>
            <w:r>
              <w:rPr>
                <w:rFonts w:hint="eastAsia" w:cs="仿宋_GB2312"/>
              </w:rPr>
              <w:t>9.8</w:t>
            </w:r>
          </w:p>
        </w:tc>
        <w:tc>
          <w:tcPr>
            <w:tcW w:w="1460" w:type="dxa"/>
            <w:vAlign w:val="center"/>
          </w:tcPr>
          <w:p>
            <w:pPr>
              <w:pStyle w:val="151"/>
              <w:spacing w:before="0" w:line="240" w:lineRule="auto"/>
              <w:rPr>
                <w:rFonts w:cs="仿宋_GB2312"/>
              </w:rPr>
            </w:pPr>
            <w:r>
              <w:rPr>
                <w:rFonts w:cs="仿宋_GB2312"/>
              </w:rPr>
              <w:t>13</w:t>
            </w:r>
          </w:p>
        </w:tc>
        <w:tc>
          <w:tcPr>
            <w:tcW w:w="1455" w:type="dxa"/>
            <w:vAlign w:val="center"/>
          </w:tcPr>
          <w:p>
            <w:pPr>
              <w:pStyle w:val="151"/>
              <w:spacing w:before="0" w:line="240" w:lineRule="auto"/>
              <w:rPr>
                <w:rFonts w:cs="仿宋_GB2312"/>
              </w:rPr>
            </w:pPr>
            <w:r>
              <w:rPr>
                <w:rFonts w:hint="eastAsia" w:cs="仿宋_GB2312"/>
              </w:rPr>
              <w:t>大型车</w:t>
            </w:r>
          </w:p>
        </w:tc>
        <w:tc>
          <w:tcPr>
            <w:tcW w:w="1455" w:type="dxa"/>
            <w:vAlign w:val="center"/>
          </w:tcPr>
          <w:p>
            <w:pPr>
              <w:pStyle w:val="151"/>
              <w:spacing w:before="0" w:line="240" w:lineRule="auto"/>
              <w:rPr>
                <w:rFonts w:cs="仿宋_GB2312"/>
              </w:rPr>
            </w:pPr>
            <w:r>
              <w:rPr>
                <w:rFonts w:hint="eastAsia" w:cs="仿宋_GB2312"/>
              </w:rPr>
              <w:t>7/10</w:t>
            </w:r>
          </w:p>
        </w:tc>
        <w:tc>
          <w:tcPr>
            <w:tcW w:w="1465" w:type="dxa"/>
            <w:vAlign w:val="center"/>
          </w:tcPr>
          <w:p>
            <w:pPr>
              <w:pStyle w:val="151"/>
              <w:spacing w:before="0" w:line="240" w:lineRule="auto"/>
              <w:rPr>
                <w:rFonts w:cs="仿宋_GB2312"/>
              </w:rPr>
            </w:pPr>
            <w:r>
              <w:rPr>
                <w:rFonts w:hint="eastAsia" w:cs="仿宋_GB2312"/>
              </w:rPr>
              <w:t>天然气</w:t>
            </w:r>
          </w:p>
        </w:tc>
      </w:tr>
    </w:tbl>
    <w:p>
      <w:pPr>
        <w:pStyle w:val="4"/>
        <w:spacing w:before="163" w:after="163"/>
      </w:pPr>
      <w:bookmarkStart w:id="27" w:name="_Toc518573657"/>
      <w:r>
        <w:rPr>
          <w:rFonts w:hint="eastAsia"/>
        </w:rPr>
        <w:t>2.</w:t>
      </w:r>
      <w:r>
        <w:t xml:space="preserve">6 </w:t>
      </w:r>
      <w:r>
        <w:rPr>
          <w:rFonts w:hint="eastAsia"/>
        </w:rPr>
        <w:t>公交场站分析</w:t>
      </w:r>
      <w:bookmarkEnd w:id="27"/>
    </w:p>
    <w:p>
      <w:pPr>
        <w:pStyle w:val="5"/>
        <w:spacing w:before="163" w:after="163"/>
      </w:pPr>
      <w:bookmarkStart w:id="28" w:name="_Toc518573658"/>
      <w:r>
        <w:rPr>
          <w:rFonts w:hint="eastAsia"/>
        </w:rPr>
        <w:t>2.</w:t>
      </w:r>
      <w:r>
        <w:t>6</w:t>
      </w:r>
      <w:r>
        <w:rPr>
          <w:rFonts w:hint="eastAsia"/>
        </w:rPr>
        <w:t>.1</w:t>
      </w:r>
      <w:r>
        <w:t xml:space="preserve"> </w:t>
      </w:r>
      <w:r>
        <w:rPr>
          <w:rFonts w:hint="eastAsia"/>
        </w:rPr>
        <w:t>首末站</w:t>
      </w:r>
      <w:bookmarkEnd w:id="28"/>
    </w:p>
    <w:p>
      <w:pPr>
        <w:spacing w:before="163" w:after="163"/>
        <w:ind w:firstLine="480"/>
        <w:rPr>
          <w:szCs w:val="24"/>
        </w:rPr>
      </w:pPr>
      <w:r>
        <w:rPr>
          <w:szCs w:val="24"/>
        </w:rPr>
        <w:t>资阳市中心城区公交线路有</w:t>
      </w:r>
      <w:r>
        <w:rPr>
          <w:rFonts w:hint="eastAsia"/>
          <w:szCs w:val="24"/>
        </w:rPr>
        <w:t>3个公交首末站，为新公交总站、成渝高速路口公交站和城东高铁公交枢纽站。</w:t>
      </w:r>
    </w:p>
    <w:p>
      <w:pPr>
        <w:spacing w:before="163" w:after="163"/>
        <w:ind w:firstLine="480"/>
        <w:rPr>
          <w:szCs w:val="24"/>
        </w:rPr>
      </w:pPr>
      <w:r>
        <w:rPr>
          <w:rFonts w:hint="eastAsia"/>
          <w:szCs w:val="24"/>
        </w:rPr>
        <w:t>新公交总站（汽车客运中心）位于书台路，毗邻资阳汽车客运中心，占地约55.89亩（约合3726</w:t>
      </w:r>
      <w:r>
        <w:rPr>
          <w:szCs w:val="24"/>
        </w:rPr>
        <w:t>0</w:t>
      </w:r>
      <w:r>
        <w:rPr>
          <w:szCs w:val="24"/>
          <w:lang w:val="zh-CN"/>
        </w:rPr>
        <w:t>m</w:t>
      </w:r>
      <w:r>
        <w:rPr>
          <w:szCs w:val="24"/>
          <w:vertAlign w:val="superscript"/>
          <w:lang w:val="zh-CN"/>
        </w:rPr>
        <w:t>2</w:t>
      </w:r>
      <w:r>
        <w:rPr>
          <w:rFonts w:hint="eastAsia"/>
          <w:szCs w:val="24"/>
        </w:rPr>
        <w:t>），功能包括车辆发车、调度和停放管理，基本满足1路、2路、3路等6条线路共90台公交车辆的始发终到需要，以及9路、1</w:t>
      </w:r>
      <w:r>
        <w:rPr>
          <w:szCs w:val="24"/>
        </w:rPr>
        <w:t>6路</w:t>
      </w:r>
      <w:r>
        <w:rPr>
          <w:rFonts w:hint="eastAsia"/>
          <w:szCs w:val="24"/>
        </w:rPr>
        <w:t>、1</w:t>
      </w:r>
      <w:r>
        <w:rPr>
          <w:szCs w:val="24"/>
        </w:rPr>
        <w:t>7路车辆中途进出的需要</w:t>
      </w:r>
      <w:r>
        <w:rPr>
          <w:rFonts w:hint="eastAsia"/>
          <w:szCs w:val="24"/>
        </w:rPr>
        <w:t>。</w:t>
      </w:r>
    </w:p>
    <w:p>
      <w:pPr>
        <w:spacing w:before="163" w:after="163"/>
        <w:ind w:firstLine="480"/>
        <w:rPr>
          <w:szCs w:val="24"/>
        </w:rPr>
      </w:pPr>
      <w:r>
        <w:rPr>
          <w:rFonts w:hint="eastAsia"/>
          <w:szCs w:val="24"/>
        </w:rPr>
        <w:t>城东高铁公交枢纽站位于沱东新区，与成渝高铁资阳北站相邻，占地约27.5亩（约合18333</w:t>
      </w:r>
      <w:r>
        <w:rPr>
          <w:szCs w:val="24"/>
          <w:lang w:val="zh-CN"/>
        </w:rPr>
        <w:t>m</w:t>
      </w:r>
      <w:r>
        <w:rPr>
          <w:szCs w:val="24"/>
          <w:vertAlign w:val="superscript"/>
          <w:lang w:val="zh-CN"/>
        </w:rPr>
        <w:t>2</w:t>
      </w:r>
      <w:r>
        <w:rPr>
          <w:rFonts w:hint="eastAsia"/>
          <w:szCs w:val="24"/>
        </w:rPr>
        <w:t>），主要作为4路、1</w:t>
      </w:r>
      <w:r>
        <w:rPr>
          <w:szCs w:val="24"/>
        </w:rPr>
        <w:t>4路和高铁快线</w:t>
      </w:r>
      <w:r>
        <w:rPr>
          <w:rFonts w:hint="eastAsia"/>
          <w:szCs w:val="24"/>
        </w:rPr>
        <w:t>2</w:t>
      </w:r>
      <w:r>
        <w:rPr>
          <w:szCs w:val="24"/>
        </w:rPr>
        <w:t>的发车场地和</w:t>
      </w:r>
      <w:r>
        <w:rPr>
          <w:rFonts w:hint="eastAsia"/>
          <w:szCs w:val="24"/>
        </w:rPr>
        <w:t>18路、高铁快线1的终点场地，以及6路的中途停靠站点。</w:t>
      </w:r>
    </w:p>
    <w:p>
      <w:pPr>
        <w:spacing w:before="163" w:after="163"/>
        <w:ind w:firstLine="480"/>
        <w:rPr>
          <w:szCs w:val="24"/>
        </w:rPr>
      </w:pPr>
      <w:r>
        <w:rPr>
          <w:szCs w:val="24"/>
        </w:rPr>
        <w:t>成渝高速路口公交站位于娇子大道西段</w:t>
      </w:r>
      <w:r>
        <w:rPr>
          <w:rFonts w:hint="eastAsia"/>
          <w:szCs w:val="24"/>
        </w:rPr>
        <w:t>，</w:t>
      </w:r>
      <w:r>
        <w:rPr>
          <w:szCs w:val="24"/>
        </w:rPr>
        <w:t>占地约</w:t>
      </w:r>
      <w:r>
        <w:rPr>
          <w:rFonts w:hint="eastAsia"/>
          <w:szCs w:val="24"/>
        </w:rPr>
        <w:t>11亩（约合73</w:t>
      </w:r>
      <w:r>
        <w:rPr>
          <w:szCs w:val="24"/>
        </w:rPr>
        <w:t>33</w:t>
      </w:r>
      <w:r>
        <w:rPr>
          <w:szCs w:val="24"/>
          <w:lang w:val="zh-CN"/>
        </w:rPr>
        <w:t>m</w:t>
      </w:r>
      <w:r>
        <w:rPr>
          <w:szCs w:val="24"/>
          <w:vertAlign w:val="superscript"/>
          <w:lang w:val="zh-CN"/>
        </w:rPr>
        <w:t>2</w:t>
      </w:r>
      <w:r>
        <w:rPr>
          <w:rFonts w:hint="eastAsia"/>
          <w:szCs w:val="24"/>
        </w:rPr>
        <w:t>），主要作为10路和高铁快线1的发车场地和2路车的终点场地。</w:t>
      </w:r>
    </w:p>
    <w:p>
      <w:pPr>
        <w:spacing w:before="163" w:after="163"/>
        <w:ind w:firstLine="480"/>
        <w:rPr>
          <w:szCs w:val="24"/>
          <w:lang w:val="zh-CN"/>
        </w:rPr>
      </w:pPr>
      <w:r>
        <w:rPr>
          <w:szCs w:val="24"/>
        </w:rPr>
        <w:t>以上</w:t>
      </w:r>
      <w:r>
        <w:rPr>
          <w:rFonts w:hint="eastAsia"/>
          <w:szCs w:val="24"/>
        </w:rPr>
        <w:t>3个首末站可解决过半线路的出发和调度问题。</w:t>
      </w:r>
      <w:r>
        <w:rPr>
          <w:szCs w:val="24"/>
          <w:lang w:val="zh-CN"/>
        </w:rPr>
        <w:t>其余公交线路起终点主要集中在学校</w:t>
      </w:r>
      <w:r>
        <w:rPr>
          <w:rFonts w:hint="eastAsia"/>
          <w:szCs w:val="24"/>
          <w:lang w:val="zh-CN"/>
        </w:rPr>
        <w:t>、</w:t>
      </w:r>
      <w:r>
        <w:rPr>
          <w:szCs w:val="24"/>
          <w:lang w:val="zh-CN"/>
        </w:rPr>
        <w:t>小区等城区和郊区的一些客流发生点</w:t>
      </w:r>
      <w:r>
        <w:rPr>
          <w:rFonts w:hint="eastAsia"/>
          <w:szCs w:val="24"/>
          <w:lang w:val="zh-CN"/>
        </w:rPr>
        <w:t>，基本</w:t>
      </w:r>
      <w:r>
        <w:rPr>
          <w:szCs w:val="24"/>
          <w:lang w:val="zh-CN"/>
        </w:rPr>
        <w:t>没有专用场地</w:t>
      </w:r>
      <w:r>
        <w:rPr>
          <w:rFonts w:hint="eastAsia"/>
          <w:szCs w:val="24"/>
          <w:lang w:val="zh-CN"/>
        </w:rPr>
        <w:t>，</w:t>
      </w:r>
      <w:r>
        <w:rPr>
          <w:szCs w:val="24"/>
          <w:lang w:val="zh-CN"/>
        </w:rPr>
        <w:t>只能借用道路资源临时停车和掉头</w:t>
      </w:r>
      <w:r>
        <w:rPr>
          <w:rFonts w:hint="eastAsia"/>
          <w:szCs w:val="24"/>
          <w:lang w:val="zh-CN"/>
        </w:rPr>
        <w:t>，</w:t>
      </w:r>
      <w:r>
        <w:rPr>
          <w:szCs w:val="24"/>
          <w:lang w:val="zh-CN"/>
        </w:rPr>
        <w:t>给公交驾驶员带来不便</w:t>
      </w:r>
      <w:r>
        <w:rPr>
          <w:rFonts w:hint="eastAsia"/>
          <w:szCs w:val="24"/>
          <w:lang w:val="zh-CN"/>
        </w:rPr>
        <w:t>，也对道路交通造成影响。现状公交起讫点分布如图2-1</w:t>
      </w:r>
      <w:r>
        <w:rPr>
          <w:szCs w:val="24"/>
          <w:lang w:val="zh-CN"/>
        </w:rPr>
        <w:t>4</w:t>
      </w:r>
      <w:r>
        <w:rPr>
          <w:rFonts w:hint="eastAsia"/>
          <w:szCs w:val="24"/>
          <w:lang w:val="zh-CN"/>
        </w:rPr>
        <w:t>所示。</w:t>
      </w:r>
    </w:p>
    <w:p>
      <w:pPr>
        <w:spacing w:before="163" w:after="163"/>
        <w:ind w:firstLine="0" w:firstLineChars="0"/>
        <w:jc w:val="center"/>
        <w:rPr>
          <w:szCs w:val="24"/>
        </w:rPr>
      </w:pPr>
      <w:r>
        <w:drawing>
          <wp:inline distT="0" distB="0" distL="0" distR="0">
            <wp:extent cx="3785870" cy="4692650"/>
            <wp:effectExtent l="19050" t="19050" r="24130" b="1270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48"/>
                    <a:stretch>
                      <a:fillRect/>
                    </a:stretch>
                  </pic:blipFill>
                  <pic:spPr>
                    <a:xfrm>
                      <a:off x="0" y="0"/>
                      <a:ext cx="3799881" cy="4709364"/>
                    </a:xfrm>
                    <a:prstGeom prst="rect">
                      <a:avLst/>
                    </a:prstGeom>
                    <a:ln>
                      <a:solidFill>
                        <a:schemeClr val="tx1"/>
                      </a:solidFill>
                    </a:ln>
                  </pic:spPr>
                </pic:pic>
              </a:graphicData>
            </a:graphic>
          </wp:inline>
        </w:drawing>
      </w:r>
    </w:p>
    <w:p>
      <w:pPr>
        <w:pStyle w:val="117"/>
      </w:pPr>
      <w:r>
        <w:t>图2-</w:t>
      </w:r>
      <w:r>
        <w:rPr>
          <w:rFonts w:hint="eastAsia"/>
        </w:rPr>
        <w:t>1</w:t>
      </w:r>
      <w:r>
        <w:t>4  现状公交</w:t>
      </w:r>
      <w:r>
        <w:rPr>
          <w:rFonts w:hint="eastAsia"/>
        </w:rPr>
        <w:t>起讫点</w:t>
      </w:r>
      <w:r>
        <w:t>分布图</w:t>
      </w:r>
    </w:p>
    <w:p>
      <w:pPr>
        <w:pStyle w:val="5"/>
      </w:pPr>
      <w:bookmarkStart w:id="29" w:name="_Toc518573659"/>
      <w:r>
        <w:rPr>
          <w:rFonts w:hint="eastAsia"/>
        </w:rPr>
        <w:t>2.</w:t>
      </w:r>
      <w:r>
        <w:t>6</w:t>
      </w:r>
      <w:r>
        <w:rPr>
          <w:rFonts w:hint="eastAsia"/>
        </w:rPr>
        <w:t>.2</w:t>
      </w:r>
      <w:r>
        <w:t xml:space="preserve"> </w:t>
      </w:r>
      <w:r>
        <w:rPr>
          <w:rFonts w:hint="eastAsia"/>
        </w:rPr>
        <w:t>停保场</w:t>
      </w:r>
      <w:bookmarkEnd w:id="29"/>
    </w:p>
    <w:p>
      <w:pPr>
        <w:ind w:firstLine="480"/>
      </w:pPr>
      <w:r>
        <w:t>资阳市现在没有专门的停车场和保养场</w:t>
      </w:r>
      <w:r>
        <w:rPr>
          <w:rFonts w:hint="eastAsia"/>
        </w:rPr>
        <w:t>，主要依靠现有的3个公交首末站停放车辆，车辆的保养主要在公交总站进行。随着公交车辆的进一步增加，现有的3处场站将无法满足公交车辆的停放和维修保养的需要，因此，应在规划中设置与车辆数目相配套的停保场。</w:t>
      </w:r>
    </w:p>
    <w:p>
      <w:pPr>
        <w:pStyle w:val="5"/>
      </w:pPr>
      <w:bookmarkStart w:id="30" w:name="_Toc518573660"/>
      <w:r>
        <w:rPr>
          <w:rFonts w:hint="eastAsia"/>
        </w:rPr>
        <w:t>2.</w:t>
      </w:r>
      <w:r>
        <w:t>6</w:t>
      </w:r>
      <w:r>
        <w:rPr>
          <w:rFonts w:hint="eastAsia"/>
        </w:rPr>
        <w:t>.3</w:t>
      </w:r>
      <w:r>
        <w:t xml:space="preserve"> </w:t>
      </w:r>
      <w:r>
        <w:rPr>
          <w:rFonts w:hint="eastAsia"/>
        </w:rPr>
        <w:t>中途站</w:t>
      </w:r>
      <w:bookmarkEnd w:id="30"/>
    </w:p>
    <w:p>
      <w:pPr>
        <w:spacing w:before="163" w:after="163"/>
        <w:ind w:firstLine="482"/>
        <w:rPr>
          <w:b/>
        </w:rPr>
      </w:pPr>
      <w:r>
        <w:rPr>
          <w:rFonts w:hint="eastAsia"/>
          <w:b/>
        </w:rPr>
        <w:t>（</w:t>
      </w:r>
      <w:r>
        <w:rPr>
          <w:b/>
        </w:rPr>
        <w:t>1</w:t>
      </w:r>
      <w:r>
        <w:rPr>
          <w:rFonts w:hint="eastAsia"/>
          <w:b/>
        </w:rPr>
        <w:t>）公交中途站设置形式</w:t>
      </w:r>
    </w:p>
    <w:p>
      <w:pPr>
        <w:spacing w:before="163" w:after="163"/>
        <w:ind w:firstLine="480"/>
      </w:pPr>
      <w:r>
        <w:t>经调查</w:t>
      </w:r>
      <w:r>
        <w:rPr>
          <w:rFonts w:hint="eastAsia"/>
        </w:rPr>
        <w:t>，</w:t>
      </w:r>
      <w:r>
        <w:t>目前资阳市中心城区的公交线路有中途站约</w:t>
      </w:r>
      <w:r>
        <w:rPr>
          <w:rFonts w:hint="eastAsia"/>
        </w:rPr>
        <w:t>400个，站点设置形式主要分为6种：岛式、港湾式、非港湾雨篷式、单牌式、立柱式和无站牌。其中立柱式站牌数量最多，占46.5%，大多设在沱东片区以及外环路、大千路等非主干道。港湾式站台比例较小，仅占11.1%。具体分布情况如图2-1</w:t>
      </w:r>
      <w:r>
        <w:t>5</w:t>
      </w:r>
      <w:r>
        <w:rPr>
          <w:rFonts w:hint="eastAsia"/>
        </w:rPr>
        <w:t>所示。</w:t>
      </w:r>
    </w:p>
    <w:p>
      <w:pPr>
        <w:pStyle w:val="134"/>
        <w:spacing w:before="163"/>
      </w:pPr>
      <w:r>
        <w:rPr>
          <w:rFonts w:ascii="Times New Roman" w:hAnsi="Times New Roman"/>
        </w:rPr>
        <w:drawing>
          <wp:inline distT="0" distB="0" distL="0" distR="0">
            <wp:extent cx="4622165" cy="2776220"/>
            <wp:effectExtent l="0" t="0" r="6985" b="508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pPr>
        <w:pStyle w:val="117"/>
      </w:pPr>
      <w:r>
        <w:rPr>
          <w:rFonts w:hint="eastAsia"/>
        </w:rPr>
        <w:t>图2-1</w:t>
      </w:r>
      <w:r>
        <w:t>5</w:t>
      </w:r>
      <w:r>
        <w:rPr>
          <w:rFonts w:hint="eastAsia"/>
        </w:rPr>
        <w:t xml:space="preserve">  资阳市中心城区公交中途站设置形式比例分析</w:t>
      </w:r>
    </w:p>
    <w:p>
      <w:pPr>
        <w:pStyle w:val="140"/>
        <w:ind w:firstLine="480"/>
      </w:pPr>
      <w:r>
        <w:rPr>
          <w:rFonts w:hint="eastAsia"/>
        </w:rPr>
        <w:t>在</w:t>
      </w:r>
      <w:r>
        <w:t>调研过程中</w:t>
      </w:r>
      <w:r>
        <w:rPr>
          <w:rFonts w:hint="eastAsia"/>
        </w:rPr>
        <w:t>，</w:t>
      </w:r>
      <w:r>
        <w:t>发现许多站牌</w:t>
      </w:r>
      <w:r>
        <w:rPr>
          <w:rFonts w:hint="eastAsia"/>
        </w:rPr>
        <w:t>（尤其是立柱式站牌）受损或被遮挡，难以识别，有的站牌文字已经完全脱落，无法辨认（如图2-</w:t>
      </w:r>
      <w:r>
        <w:t>16</w:t>
      </w:r>
      <w:r>
        <w:rPr>
          <w:rFonts w:hint="eastAsia"/>
        </w:rPr>
        <w:t>所示）。另外，社会车辆占用公交站台停车的现象非常严重，公交车辆无法进站停靠，乘客也找不到上车位置，不便乘车。</w:t>
      </w:r>
    </w:p>
    <w:p>
      <w:pPr>
        <w:spacing w:before="163" w:after="163"/>
        <w:ind w:firstLine="0" w:firstLineChars="0"/>
        <w:jc w:val="center"/>
      </w:pPr>
      <w:r>
        <w:rPr>
          <w:rFonts w:hint="eastAsia" w:ascii="宋体" w:hAnsi="宋体"/>
          <w:szCs w:val="24"/>
        </w:rPr>
        <w:drawing>
          <wp:inline distT="0" distB="0" distL="0" distR="0">
            <wp:extent cx="3011805" cy="4320540"/>
            <wp:effectExtent l="12383" t="25717" r="10477" b="10478"/>
            <wp:docPr id="21" name="图片 21" descr="QQ图片2018012923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QQ图片201801292333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rot="5400000">
                      <a:off x="0" y="0"/>
                      <a:ext cx="3011805" cy="4320540"/>
                    </a:xfrm>
                    <a:prstGeom prst="rect">
                      <a:avLst/>
                    </a:prstGeom>
                    <a:noFill/>
                    <a:ln>
                      <a:solidFill>
                        <a:schemeClr val="tx1"/>
                      </a:solidFill>
                    </a:ln>
                  </pic:spPr>
                </pic:pic>
              </a:graphicData>
            </a:graphic>
          </wp:inline>
        </w:drawing>
      </w:r>
    </w:p>
    <w:p>
      <w:pPr>
        <w:pStyle w:val="117"/>
      </w:pPr>
      <w:r>
        <w:rPr>
          <w:rFonts w:hint="eastAsia"/>
        </w:rPr>
        <w:t>图2-1</w:t>
      </w:r>
      <w:r>
        <w:t xml:space="preserve">6 </w:t>
      </w:r>
      <w:r>
        <w:rPr>
          <w:rFonts w:hint="eastAsia"/>
        </w:rPr>
        <w:t xml:space="preserve"> 资阳市中心城区部分受损站牌</w:t>
      </w:r>
    </w:p>
    <w:p>
      <w:pPr>
        <w:spacing w:before="163" w:after="163"/>
        <w:ind w:firstLine="482"/>
        <w:rPr>
          <w:b/>
        </w:rPr>
      </w:pPr>
      <w:r>
        <w:rPr>
          <w:rFonts w:hint="eastAsia"/>
          <w:b/>
        </w:rPr>
        <w:t>（</w:t>
      </w:r>
      <w:r>
        <w:rPr>
          <w:b/>
        </w:rPr>
        <w:t>2</w:t>
      </w:r>
      <w:r>
        <w:rPr>
          <w:rFonts w:hint="eastAsia"/>
          <w:b/>
        </w:rPr>
        <w:t>）站点覆盖率</w:t>
      </w:r>
    </w:p>
    <w:p>
      <w:pPr>
        <w:spacing w:before="163" w:after="163"/>
        <w:ind w:firstLine="480"/>
      </w:pPr>
      <w:r>
        <w:t>公交站点覆盖率直接体现了公交</w:t>
      </w:r>
      <w:r>
        <w:rPr>
          <w:rFonts w:hint="eastAsia"/>
        </w:rPr>
        <w:t>辐射</w:t>
      </w:r>
      <w:r>
        <w:t>能力的大小</w:t>
      </w:r>
      <w:r>
        <w:rPr>
          <w:rFonts w:hint="eastAsia"/>
        </w:rPr>
        <w:t>，覆盖率不足会导致乘客步行距离过长，降低公交吸引力；而站点过密又会导致车辆运行缓慢，降低运输效率。</w:t>
      </w:r>
    </w:p>
    <w:p>
      <w:pPr>
        <w:spacing w:before="163" w:after="163"/>
        <w:ind w:firstLine="480"/>
      </w:pPr>
      <w:r>
        <w:t>资阳城区公交线路已基本上覆盖中心城区的主要交通产生源</w:t>
      </w:r>
      <w:r>
        <w:rPr>
          <w:rFonts w:hint="eastAsia"/>
        </w:rPr>
        <w:t>，</w:t>
      </w:r>
      <w:r>
        <w:t>并且在高铁资阳北站和资阳汽车客运中心</w:t>
      </w:r>
      <w:r>
        <w:rPr>
          <w:rFonts w:hint="eastAsia"/>
        </w:rPr>
        <w:t>外100米内均设有</w:t>
      </w:r>
      <w:r>
        <w:t>公交首末站</w:t>
      </w:r>
      <w:r>
        <w:rPr>
          <w:rFonts w:hint="eastAsia"/>
        </w:rPr>
        <w:t>，满足规范要求，</w:t>
      </w:r>
      <w:r>
        <w:t>满足规范要求</w:t>
      </w:r>
      <w:r>
        <w:rPr>
          <w:rFonts w:hint="eastAsia"/>
        </w:rPr>
        <w:t>。现状公交站点300米半径覆盖率达约为</w:t>
      </w:r>
      <w:r>
        <w:t>33</w:t>
      </w:r>
      <w:r>
        <w:rPr>
          <w:rFonts w:hint="eastAsia"/>
        </w:rPr>
        <w:t>%，低于国家标准（&gt;50%）；500米公共交通覆盖率约为</w:t>
      </w:r>
      <w:r>
        <w:t>52</w:t>
      </w:r>
      <w:r>
        <w:rPr>
          <w:rFonts w:hint="eastAsia"/>
        </w:rPr>
        <w:t>%，低于国家标准（&gt;90%）。公交站点覆盖率低的主要原因是城南工业用地面积较大，而工业用地的特点是占地面积大、路网稀疏，公交站点数量和覆盖面积相对少于其他用地形式。</w:t>
      </w:r>
    </w:p>
    <w:p>
      <w:pPr>
        <w:pStyle w:val="4"/>
      </w:pPr>
      <w:bookmarkStart w:id="31" w:name="_Toc518573661"/>
      <w:r>
        <w:rPr>
          <w:rFonts w:hint="eastAsia"/>
        </w:rPr>
        <w:t>2</w:t>
      </w:r>
      <w:r>
        <w:t xml:space="preserve">.7 </w:t>
      </w:r>
      <w:r>
        <w:rPr>
          <w:rFonts w:hint="eastAsia"/>
        </w:rPr>
        <w:t>公交</w:t>
      </w:r>
      <w:r>
        <w:t>专用道</w:t>
      </w:r>
      <w:bookmarkEnd w:id="31"/>
    </w:p>
    <w:p>
      <w:pPr>
        <w:ind w:firstLine="480"/>
      </w:pPr>
      <w:r>
        <w:t>截至目前</w:t>
      </w:r>
      <w:r>
        <w:rPr>
          <w:rFonts w:hint="eastAsia"/>
        </w:rPr>
        <w:t>，</w:t>
      </w:r>
      <w:r>
        <w:t>资阳市中心城区尚无公交专用道和公交优先道</w:t>
      </w:r>
      <w:r>
        <w:rPr>
          <w:rFonts w:hint="eastAsia"/>
        </w:rPr>
        <w:t>，</w:t>
      </w:r>
      <w:r>
        <w:t>公交车辆的路权无法得到保证</w:t>
      </w:r>
      <w:r>
        <w:rPr>
          <w:rFonts w:hint="eastAsia"/>
        </w:rPr>
        <w:t>。城中区道路较窄，没有施划公交专用道的条件。车城大道、娇子大道以及城南、沱东片区道路条件较好，有条件施划公交专用道。</w:t>
      </w:r>
    </w:p>
    <w:p>
      <w:pPr>
        <w:pStyle w:val="4"/>
        <w:spacing w:before="163" w:after="163"/>
      </w:pPr>
      <w:bookmarkStart w:id="32" w:name="_Toc518573662"/>
      <w:r>
        <w:rPr>
          <w:rFonts w:hint="eastAsia"/>
        </w:rPr>
        <w:t>2.</w:t>
      </w:r>
      <w:r>
        <w:t xml:space="preserve">8 </w:t>
      </w:r>
      <w:r>
        <w:rPr>
          <w:rFonts w:hint="eastAsia"/>
        </w:rPr>
        <w:t>现状</w:t>
      </w:r>
      <w:r>
        <w:t>问题分析</w:t>
      </w:r>
      <w:bookmarkEnd w:id="32"/>
    </w:p>
    <w:p>
      <w:pPr>
        <w:spacing w:before="163" w:after="163"/>
        <w:ind w:firstLine="482"/>
        <w:rPr>
          <w:b/>
        </w:rPr>
      </w:pPr>
      <w:r>
        <w:rPr>
          <w:rFonts w:hint="eastAsia"/>
          <w:b/>
        </w:rPr>
        <w:t>（1）线网</w:t>
      </w:r>
      <w:r>
        <w:rPr>
          <w:b/>
        </w:rPr>
        <w:t>布局不合理</w:t>
      </w:r>
    </w:p>
    <w:p>
      <w:pPr>
        <w:spacing w:before="163" w:after="163"/>
        <w:ind w:firstLine="480"/>
      </w:pPr>
      <w:r>
        <w:t>1. 没有明确划分线路功能等级，公交线路过于集中，导致线路平均重复系数较高</w:t>
      </w:r>
      <w:r>
        <w:rPr>
          <w:rFonts w:hint="eastAsia"/>
        </w:rPr>
        <w:t>。</w:t>
      </w:r>
    </w:p>
    <w:p>
      <w:pPr>
        <w:spacing w:before="163" w:after="163"/>
        <w:ind w:firstLine="480"/>
      </w:pPr>
      <w:r>
        <w:rPr>
          <w:rFonts w:hint="eastAsia"/>
        </w:rPr>
        <w:t>2. 许多线路绕行情况较严重。不少线路大量绕行，以覆盖更多道路，导致</w:t>
      </w:r>
      <w:r>
        <w:t>公交线网平均非直线系数为</w:t>
      </w:r>
      <w:r>
        <w:rPr>
          <w:rFonts w:hint="eastAsia"/>
        </w:rPr>
        <w:t>2.33，远超国标规定的范围。大量的绕行增加了途经该路段的乘客的出行时间，降低车辆运行和乘客出行的效率。</w:t>
      </w:r>
    </w:p>
    <w:p>
      <w:pPr>
        <w:spacing w:before="163" w:after="163"/>
        <w:ind w:firstLine="480"/>
      </w:pPr>
      <w:r>
        <w:t>3</w:t>
      </w:r>
      <w:r>
        <w:rPr>
          <w:rFonts w:hint="eastAsia"/>
        </w:rPr>
        <w:t>. 许多线路过长，造成燃料浪费的同时增加了乘客等车时间。</w:t>
      </w:r>
    </w:p>
    <w:p>
      <w:pPr>
        <w:spacing w:before="163" w:after="163"/>
        <w:ind w:firstLine="482"/>
        <w:rPr>
          <w:b/>
        </w:rPr>
      </w:pPr>
      <w:r>
        <w:rPr>
          <w:rFonts w:hint="eastAsia"/>
          <w:b/>
        </w:rPr>
        <w:t>（</w:t>
      </w:r>
      <w:r>
        <w:rPr>
          <w:b/>
        </w:rPr>
        <w:t>2</w:t>
      </w:r>
      <w:r>
        <w:rPr>
          <w:rFonts w:hint="eastAsia"/>
          <w:b/>
        </w:rPr>
        <w:t>）基础设施建设水平有待提升</w:t>
      </w:r>
    </w:p>
    <w:p>
      <w:pPr>
        <w:spacing w:before="163" w:after="163"/>
        <w:ind w:firstLine="480"/>
      </w:pPr>
      <w:r>
        <w:t>1. 公交场站规划及建设较滞后</w:t>
      </w:r>
      <w:r>
        <w:rPr>
          <w:rFonts w:hint="eastAsia"/>
        </w:rPr>
        <w:t>，</w:t>
      </w:r>
      <w:r>
        <w:t>场站数量和面积较小</w:t>
      </w:r>
      <w:r>
        <w:rPr>
          <w:rFonts w:hint="eastAsia"/>
        </w:rPr>
        <w:t>，</w:t>
      </w:r>
      <w:r>
        <w:t>不能满足需求</w:t>
      </w:r>
      <w:r>
        <w:rPr>
          <w:rFonts w:hint="eastAsia"/>
        </w:rPr>
        <w:t>。</w:t>
      </w:r>
      <w:r>
        <w:t>目前仅有</w:t>
      </w:r>
      <w:r>
        <w:rPr>
          <w:rFonts w:hint="eastAsia"/>
        </w:rPr>
        <w:t>3处公交场站，缺乏停保场，不利于公交运营。</w:t>
      </w:r>
    </w:p>
    <w:p>
      <w:pPr>
        <w:spacing w:before="163" w:after="163"/>
        <w:ind w:firstLine="480"/>
      </w:pPr>
      <w:r>
        <w:rPr>
          <w:rFonts w:hint="eastAsia"/>
        </w:rPr>
        <w:t>2.</w:t>
      </w:r>
      <w:r>
        <w:t xml:space="preserve"> 中心城区公交站点位置设置不合理</w:t>
      </w:r>
      <w:r>
        <w:rPr>
          <w:rFonts w:hint="eastAsia"/>
        </w:rPr>
        <w:t>，部分站点设置在交叉口内部或距离交叉口不足50米，不满足规范要求，极易造成交通拥堵。</w:t>
      </w:r>
    </w:p>
    <w:p>
      <w:pPr>
        <w:spacing w:before="163" w:after="163"/>
        <w:ind w:firstLine="480"/>
      </w:pPr>
      <w:r>
        <w:rPr>
          <w:rFonts w:hint="eastAsia"/>
        </w:rPr>
        <w:t>3. 许多站间距</w:t>
      </w:r>
      <w:r>
        <w:t>设置不合理，城中区部分站间距</w:t>
      </w:r>
      <w:r>
        <w:rPr>
          <w:rFonts w:hint="eastAsia"/>
        </w:rPr>
        <w:t>设置</w:t>
      </w:r>
      <w:r>
        <w:t>过短导致公交车停车频繁，</w:t>
      </w:r>
      <w:r>
        <w:rPr>
          <w:rFonts w:hint="eastAsia"/>
        </w:rPr>
        <w:t>降低</w:t>
      </w:r>
      <w:r>
        <w:t>公交服务水平</w:t>
      </w:r>
      <w:r>
        <w:rPr>
          <w:rFonts w:hint="eastAsia"/>
        </w:rPr>
        <w:t>。</w:t>
      </w:r>
    </w:p>
    <w:p>
      <w:pPr>
        <w:spacing w:before="163" w:after="163"/>
        <w:ind w:firstLine="480"/>
      </w:pPr>
      <w:r>
        <w:t>4</w:t>
      </w:r>
      <w:r>
        <w:rPr>
          <w:rFonts w:hint="eastAsia"/>
        </w:rPr>
        <w:t>. 大量站牌模糊不清或被遮挡，无法阅读，不便于乘客乘车。</w:t>
      </w:r>
    </w:p>
    <w:p>
      <w:pPr>
        <w:spacing w:before="163" w:after="163"/>
        <w:ind w:firstLine="482"/>
        <w:rPr>
          <w:b/>
        </w:rPr>
      </w:pPr>
      <w:r>
        <w:rPr>
          <w:rFonts w:hint="eastAsia"/>
          <w:b/>
        </w:rPr>
        <w:t>（3）</w:t>
      </w:r>
      <w:r>
        <w:rPr>
          <w:b/>
        </w:rPr>
        <w:t>运营管理</w:t>
      </w:r>
      <w:r>
        <w:rPr>
          <w:rFonts w:hint="eastAsia"/>
          <w:b/>
        </w:rPr>
        <w:t>有待</w:t>
      </w:r>
      <w:r>
        <w:rPr>
          <w:b/>
        </w:rPr>
        <w:t>提升</w:t>
      </w:r>
    </w:p>
    <w:p>
      <w:pPr>
        <w:spacing w:before="163" w:after="163"/>
        <w:ind w:firstLine="480"/>
      </w:pPr>
      <w:r>
        <w:rPr>
          <w:rFonts w:hint="eastAsia"/>
        </w:rPr>
        <w:t>1. 公交运力配置不合理，如11路仅配备两辆公交车，导致发车间隔过大（60分钟），增加乘客候车时间，降低了公交吸引力。</w:t>
      </w:r>
    </w:p>
    <w:p>
      <w:pPr>
        <w:spacing w:before="163" w:after="163"/>
        <w:ind w:firstLine="480"/>
      </w:pPr>
      <w:r>
        <w:rPr>
          <w:rFonts w:hint="eastAsia"/>
        </w:rPr>
        <w:t>2. 因道路施工原因调整线路后，公交站牌信息没有及时更新，对乘客候车具有一定误导性。</w:t>
      </w:r>
    </w:p>
    <w:p>
      <w:pPr>
        <w:spacing w:before="163" w:after="163"/>
        <w:ind w:firstLine="480"/>
      </w:pPr>
      <w:r>
        <w:t>3</w:t>
      </w:r>
      <w:r>
        <w:rPr>
          <w:rFonts w:hint="eastAsia"/>
        </w:rPr>
        <w:t>. 城区</w:t>
      </w:r>
      <w:r>
        <w:t>路边停车现象严重</w:t>
      </w:r>
      <w:r>
        <w:rPr>
          <w:rFonts w:hint="eastAsia"/>
        </w:rPr>
        <w:t>，公交优先权利</w:t>
      </w:r>
      <w:r>
        <w:t>未得到</w:t>
      </w:r>
      <w:r>
        <w:rPr>
          <w:rFonts w:hint="eastAsia"/>
        </w:rPr>
        <w:t>合理</w:t>
      </w:r>
      <w:r>
        <w:t>保障，</w:t>
      </w:r>
      <w:r>
        <w:rPr>
          <w:rFonts w:hint="eastAsia"/>
        </w:rPr>
        <w:t>导致公交车辆</w:t>
      </w:r>
      <w:r>
        <w:t>进站</w:t>
      </w:r>
      <w:r>
        <w:rPr>
          <w:rFonts w:hint="eastAsia"/>
        </w:rPr>
        <w:t>困难。</w:t>
      </w:r>
    </w:p>
    <w:p>
      <w:pPr>
        <w:spacing w:before="163" w:after="163"/>
        <w:ind w:firstLine="482"/>
        <w:rPr>
          <w:b/>
        </w:rPr>
      </w:pPr>
      <w:r>
        <w:rPr>
          <w:rFonts w:hint="eastAsia"/>
          <w:b/>
        </w:rPr>
        <w:t>（4）公交</w:t>
      </w:r>
      <w:r>
        <w:rPr>
          <w:b/>
        </w:rPr>
        <w:t>智能化</w:t>
      </w:r>
      <w:r>
        <w:rPr>
          <w:rFonts w:hint="eastAsia"/>
          <w:b/>
        </w:rPr>
        <w:t>程度</w:t>
      </w:r>
      <w:r>
        <w:rPr>
          <w:b/>
        </w:rPr>
        <w:t>较低</w:t>
      </w:r>
    </w:p>
    <w:p>
      <w:pPr>
        <w:spacing w:before="163" w:after="163"/>
        <w:ind w:firstLine="480"/>
      </w:pPr>
      <w:r>
        <w:rPr>
          <w:rFonts w:hint="eastAsia"/>
        </w:rPr>
        <w:t>1</w:t>
      </w:r>
      <w:r>
        <w:t>. 资阳市尚未建立公交智能调度系统</w:t>
      </w:r>
      <w:r>
        <w:rPr>
          <w:rFonts w:hint="eastAsia"/>
        </w:rPr>
        <w:t>，</w:t>
      </w:r>
      <w:r>
        <w:t>调度仍然依靠人工操作</w:t>
      </w:r>
      <w:r>
        <w:rPr>
          <w:rFonts w:hint="eastAsia"/>
        </w:rPr>
        <w:t>，实时性差。</w:t>
      </w:r>
    </w:p>
    <w:p>
      <w:pPr>
        <w:spacing w:before="163" w:after="163"/>
        <w:ind w:firstLine="480"/>
      </w:pPr>
      <w:r>
        <w:rPr>
          <w:rFonts w:hint="eastAsia"/>
        </w:rPr>
        <w:t>2. 公交IC卡普及率不高，办理点和充值点较少。</w:t>
      </w:r>
    </w:p>
    <w:p>
      <w:pPr>
        <w:spacing w:before="163" w:after="163"/>
        <w:ind w:firstLine="480"/>
      </w:pPr>
      <w:r>
        <w:rPr>
          <w:rFonts w:hint="eastAsia"/>
        </w:rPr>
        <w:t>3. 目前中心城区没有电子站牌，站牌信息更新不及时，车辆位置信息无法实时掌握。</w:t>
      </w:r>
    </w:p>
    <w:p>
      <w:pPr>
        <w:spacing w:before="163" w:after="163"/>
        <w:ind w:firstLine="482"/>
        <w:rPr>
          <w:b/>
        </w:rPr>
      </w:pPr>
      <w:r>
        <w:rPr>
          <w:rFonts w:hint="eastAsia"/>
          <w:b/>
        </w:rPr>
        <w:t>（</w:t>
      </w:r>
      <w:r>
        <w:rPr>
          <w:b/>
        </w:rPr>
        <w:t>5</w:t>
      </w:r>
      <w:r>
        <w:rPr>
          <w:rFonts w:hint="eastAsia"/>
          <w:b/>
        </w:rPr>
        <w:t>）体制机制亟需完善</w:t>
      </w:r>
    </w:p>
    <w:p>
      <w:pPr>
        <w:spacing w:before="163" w:after="163"/>
        <w:ind w:firstLine="480"/>
      </w:pPr>
      <w:r>
        <w:rPr>
          <w:rFonts w:hint="eastAsia"/>
        </w:rPr>
        <w:t>1. 与其他市州相比，公交优惠力度较低，对市民吸引力不足。</w:t>
      </w:r>
    </w:p>
    <w:p>
      <w:pPr>
        <w:spacing w:before="163" w:after="163"/>
        <w:ind w:firstLine="480"/>
      </w:pPr>
      <w:r>
        <w:rPr>
          <w:rFonts w:hint="eastAsia"/>
        </w:rPr>
        <w:t>2. 公交改制初期，基础设施建设多，资金缺口大，尚无明确的财政补贴机制。</w:t>
      </w:r>
    </w:p>
    <w:p>
      <w:pPr>
        <w:spacing w:before="163" w:after="163"/>
        <w:ind w:firstLine="480"/>
      </w:pPr>
    </w:p>
    <w:p>
      <w:pPr>
        <w:spacing w:before="163" w:after="163"/>
        <w:ind w:firstLine="199" w:firstLineChars="83"/>
        <w:sectPr>
          <w:pgSz w:w="11906" w:h="16838"/>
          <w:pgMar w:top="1440" w:right="1800" w:bottom="1440" w:left="1800" w:header="851" w:footer="992" w:gutter="0"/>
          <w:cols w:space="425" w:num="1"/>
          <w:docGrid w:type="lines" w:linePitch="326" w:charSpace="0"/>
        </w:sectPr>
      </w:pPr>
    </w:p>
    <w:p>
      <w:pPr>
        <w:pStyle w:val="2"/>
        <w:spacing w:before="163" w:after="163"/>
      </w:pPr>
      <w:bookmarkStart w:id="33" w:name="_Toc503152812"/>
      <w:bookmarkStart w:id="34" w:name="_Toc518573663"/>
      <w:r>
        <w:rPr>
          <w:rFonts w:hint="eastAsia"/>
        </w:rPr>
        <w:t>第3章  公共交通需求分析</w:t>
      </w:r>
      <w:bookmarkEnd w:id="33"/>
      <w:bookmarkEnd w:id="34"/>
    </w:p>
    <w:p>
      <w:pPr>
        <w:pStyle w:val="4"/>
        <w:spacing w:before="163" w:after="163"/>
      </w:pPr>
      <w:bookmarkStart w:id="35" w:name="_Toc503152813"/>
      <w:bookmarkStart w:id="36" w:name="_Toc518573664"/>
      <w:r>
        <w:rPr>
          <w:rFonts w:hint="eastAsia"/>
        </w:rPr>
        <w:t>3.1</w:t>
      </w:r>
      <w:r>
        <w:t xml:space="preserve"> </w:t>
      </w:r>
      <w:r>
        <w:rPr>
          <w:rFonts w:hint="eastAsia"/>
        </w:rPr>
        <w:t>城市社会经济发展预测</w:t>
      </w:r>
      <w:bookmarkEnd w:id="35"/>
      <w:bookmarkEnd w:id="36"/>
    </w:p>
    <w:p>
      <w:pPr>
        <w:pStyle w:val="5"/>
        <w:spacing w:before="163" w:after="163"/>
      </w:pPr>
      <w:bookmarkStart w:id="37" w:name="_Toc518573665"/>
      <w:bookmarkStart w:id="38" w:name="_Toc503152814"/>
      <w:r>
        <w:rPr>
          <w:rFonts w:hint="eastAsia"/>
        </w:rPr>
        <w:t>3.1.1 城市总体规划</w:t>
      </w:r>
      <w:bookmarkEnd w:id="37"/>
      <w:bookmarkEnd w:id="38"/>
    </w:p>
    <w:p>
      <w:pPr>
        <w:ind w:firstLine="482"/>
        <w:rPr>
          <w:b/>
        </w:rPr>
      </w:pPr>
      <w:bookmarkStart w:id="39" w:name="OLE_LINK3"/>
      <w:bookmarkStart w:id="40" w:name="OLE_LINK4"/>
      <w:r>
        <w:rPr>
          <w:rFonts w:hint="eastAsia"/>
          <w:b/>
        </w:rPr>
        <w:t>1．发展目标</w:t>
      </w:r>
    </w:p>
    <w:bookmarkEnd w:id="39"/>
    <w:bookmarkEnd w:id="40"/>
    <w:p>
      <w:pPr>
        <w:spacing w:before="163" w:after="163"/>
        <w:ind w:firstLine="480"/>
      </w:pPr>
      <w:r>
        <w:rPr>
          <w:rFonts w:hint="eastAsia"/>
        </w:rPr>
        <w:t>建成临空经济高地与成渝制造重镇、高标准建设内陆开放前沿城市、与成渝共建国际化城市地区的“三阶段”战略目标。</w:t>
      </w:r>
    </w:p>
    <w:p>
      <w:pPr>
        <w:ind w:firstLine="482"/>
        <w:rPr>
          <w:b/>
        </w:rPr>
      </w:pPr>
      <w:r>
        <w:rPr>
          <w:rFonts w:hint="eastAsia"/>
          <w:b/>
        </w:rPr>
        <w:t>2．城市性质</w:t>
      </w:r>
    </w:p>
    <w:p>
      <w:pPr>
        <w:ind w:firstLine="480"/>
      </w:pPr>
      <w:r>
        <w:rPr>
          <w:rFonts w:hint="eastAsia"/>
        </w:rPr>
        <w:t>成都大都市区东部中心城市和专业化服务基地，新兴临空经济高地，宜居宜业的文化生态江城。</w:t>
      </w:r>
    </w:p>
    <w:p>
      <w:pPr>
        <w:ind w:firstLine="482"/>
        <w:rPr>
          <w:b/>
        </w:rPr>
      </w:pPr>
      <w:r>
        <w:rPr>
          <w:rFonts w:hint="eastAsia"/>
          <w:b/>
        </w:rPr>
        <w:t>2．城市规模</w:t>
      </w:r>
    </w:p>
    <w:p>
      <w:pPr>
        <w:spacing w:before="163" w:after="163"/>
        <w:ind w:firstLine="480"/>
      </w:pPr>
      <w:bookmarkStart w:id="41" w:name="_Toc362543110"/>
      <w:r>
        <w:rPr>
          <w:rFonts w:hint="eastAsia"/>
        </w:rPr>
        <w:t>依据《资阳市城市总体规划（2017-2035）》，资阳市未来几年的城市发展规模为：</w:t>
      </w:r>
    </w:p>
    <w:p>
      <w:pPr>
        <w:spacing w:before="163" w:after="163"/>
        <w:ind w:firstLine="480"/>
      </w:pPr>
      <w:r>
        <w:rPr>
          <w:rFonts w:hint="eastAsia"/>
        </w:rPr>
        <w:t>2020年中心城区总人口为</w:t>
      </w:r>
      <w:r>
        <w:t>51</w:t>
      </w:r>
      <w:r>
        <w:rPr>
          <w:rFonts w:hint="eastAsia"/>
        </w:rPr>
        <w:t>万人左右，用地规模达到</w:t>
      </w:r>
      <w:r>
        <w:t>51.2</w:t>
      </w:r>
      <w:r>
        <w:rPr>
          <w:rFonts w:hint="eastAsia"/>
        </w:rPr>
        <w:t>平方公里。</w:t>
      </w:r>
    </w:p>
    <w:p>
      <w:pPr>
        <w:spacing w:before="163" w:after="163"/>
        <w:ind w:firstLine="480"/>
      </w:pPr>
      <w:r>
        <w:rPr>
          <w:rFonts w:hint="eastAsia"/>
        </w:rPr>
        <w:t>2030年中心城区总人口为</w:t>
      </w:r>
      <w:r>
        <w:t>87</w:t>
      </w:r>
      <w:r>
        <w:rPr>
          <w:rFonts w:hint="eastAsia"/>
        </w:rPr>
        <w:t>万人左右，用地规模达到</w:t>
      </w:r>
      <w:r>
        <w:t>75.4</w:t>
      </w:r>
      <w:r>
        <w:rPr>
          <w:rFonts w:hint="eastAsia"/>
        </w:rPr>
        <w:t>平方公里。</w:t>
      </w:r>
    </w:p>
    <w:bookmarkEnd w:id="41"/>
    <w:p>
      <w:pPr>
        <w:ind w:firstLine="482"/>
        <w:rPr>
          <w:b/>
        </w:rPr>
      </w:pPr>
      <w:r>
        <w:rPr>
          <w:rFonts w:hint="eastAsia"/>
          <w:b/>
        </w:rPr>
        <w:t>3．中心城区城市形态及功能布局</w:t>
      </w:r>
    </w:p>
    <w:p>
      <w:pPr>
        <w:pStyle w:val="119"/>
        <w:numPr>
          <w:ilvl w:val="0"/>
          <w:numId w:val="12"/>
        </w:numPr>
        <w:spacing w:before="163" w:after="163" w:line="360" w:lineRule="auto"/>
        <w:ind w:firstLineChars="0"/>
        <w:rPr>
          <w:b/>
          <w:sz w:val="24"/>
          <w:szCs w:val="24"/>
        </w:rPr>
      </w:pPr>
      <w:r>
        <w:rPr>
          <w:rFonts w:hint="eastAsia"/>
          <w:b/>
          <w:sz w:val="24"/>
          <w:szCs w:val="24"/>
        </w:rPr>
        <w:t>中心城区空间结构</w:t>
      </w:r>
    </w:p>
    <w:p>
      <w:pPr>
        <w:spacing w:before="163" w:after="163"/>
        <w:ind w:firstLine="480"/>
      </w:pPr>
      <w:r>
        <w:rPr>
          <w:rFonts w:hint="eastAsia"/>
        </w:rPr>
        <w:t>主城区、临空区，以及临空区外的临江镇、资阳西站，主城为四片，临空区为三片四镇，整合后为七片四镇。</w:t>
      </w:r>
    </w:p>
    <w:p>
      <w:pPr>
        <w:spacing w:before="163" w:after="163"/>
        <w:ind w:firstLine="482"/>
      </w:pPr>
      <w:r>
        <w:rPr>
          <w:rFonts w:hint="eastAsia"/>
          <w:b/>
        </w:rPr>
        <w:t>（1）七片：</w:t>
      </w:r>
      <w:r>
        <w:rPr>
          <w:rFonts w:hint="eastAsia"/>
        </w:rPr>
        <w:t>主城区的城中片、城南片、城北片及沱东片；临空区的雁西湖片、三草湾片及清泉片。</w:t>
      </w:r>
    </w:p>
    <w:p>
      <w:pPr>
        <w:spacing w:before="163" w:after="163"/>
        <w:ind w:firstLine="482"/>
      </w:pPr>
      <w:r>
        <w:rPr>
          <w:rFonts w:hint="eastAsia"/>
          <w:b/>
        </w:rPr>
        <w:t>（2）四镇：</w:t>
      </w:r>
      <w:r>
        <w:rPr>
          <w:rFonts w:hint="eastAsia"/>
        </w:rPr>
        <w:t>临江特色小镇、墨池坝特色农业小镇、李家坝镇、董家坝镇。</w:t>
      </w:r>
    </w:p>
    <w:p>
      <w:pPr>
        <w:pStyle w:val="119"/>
        <w:numPr>
          <w:ilvl w:val="0"/>
          <w:numId w:val="13"/>
        </w:numPr>
        <w:spacing w:before="163" w:after="163" w:line="360" w:lineRule="auto"/>
        <w:ind w:firstLineChars="0"/>
        <w:rPr>
          <w:b/>
          <w:sz w:val="24"/>
          <w:szCs w:val="24"/>
        </w:rPr>
      </w:pPr>
      <w:r>
        <w:rPr>
          <w:rFonts w:hint="eastAsia"/>
          <w:b/>
          <w:sz w:val="24"/>
          <w:szCs w:val="24"/>
        </w:rPr>
        <w:t>城市空间功能结构</w:t>
      </w:r>
    </w:p>
    <w:p>
      <w:pPr>
        <w:spacing w:before="163" w:after="163"/>
        <w:ind w:firstLine="482"/>
      </w:pPr>
      <w:r>
        <w:rPr>
          <w:rFonts w:hint="eastAsia"/>
          <w:b/>
        </w:rPr>
        <w:t>（1）城中片：</w:t>
      </w:r>
      <w:r>
        <w:rPr>
          <w:rFonts w:hint="eastAsia"/>
        </w:rPr>
        <w:t>老城区保留历史格局，完善各类设施；兰家坡功能更新，形成商业中心；</w:t>
      </w:r>
    </w:p>
    <w:p>
      <w:pPr>
        <w:spacing w:before="163" w:after="163"/>
        <w:ind w:firstLine="482"/>
      </w:pPr>
      <w:r>
        <w:rPr>
          <w:rFonts w:hint="eastAsia"/>
          <w:b/>
        </w:rPr>
        <w:t>（2）城南片：</w:t>
      </w:r>
      <w:r>
        <w:rPr>
          <w:rFonts w:hint="eastAsia"/>
        </w:rPr>
        <w:t>提高土地承载力，提升工业开发强度；完善各类生活服务设施，引导人口集聚；</w:t>
      </w:r>
    </w:p>
    <w:p>
      <w:pPr>
        <w:spacing w:before="163" w:after="163"/>
        <w:ind w:firstLine="482"/>
      </w:pPr>
      <w:r>
        <w:rPr>
          <w:rFonts w:hint="eastAsia"/>
          <w:b/>
        </w:rPr>
        <w:t>（3）城北片：</w:t>
      </w:r>
      <w:r>
        <w:rPr>
          <w:rFonts w:hint="eastAsia"/>
        </w:rPr>
        <w:t>缝合车城大道和娇子大道两大区块；</w:t>
      </w:r>
    </w:p>
    <w:p>
      <w:pPr>
        <w:spacing w:before="163" w:after="163"/>
        <w:ind w:firstLine="482"/>
      </w:pPr>
      <w:r>
        <w:rPr>
          <w:rFonts w:hint="eastAsia"/>
          <w:b/>
        </w:rPr>
        <w:t>（4）沱东片：</w:t>
      </w:r>
      <w:r>
        <w:rPr>
          <w:rFonts w:hint="eastAsia"/>
        </w:rPr>
        <w:t>提升沱东地区整体的建成环境；结合沱东优良的自然环境基础，形成资阳城市综合服务功能的集聚；</w:t>
      </w:r>
    </w:p>
    <w:p>
      <w:pPr>
        <w:spacing w:before="163" w:after="163"/>
        <w:ind w:firstLine="482"/>
      </w:pPr>
      <w:r>
        <w:rPr>
          <w:rFonts w:hint="eastAsia"/>
          <w:b/>
        </w:rPr>
        <w:t>（5）雁西湖片：</w:t>
      </w:r>
      <w:r>
        <w:rPr>
          <w:rFonts w:hint="eastAsia"/>
        </w:rPr>
        <w:t>规划面向区域的临空商务服务、医疗康养、国际教育及高端居住功能；</w:t>
      </w:r>
    </w:p>
    <w:p>
      <w:pPr>
        <w:spacing w:before="163" w:after="163"/>
        <w:ind w:firstLine="482"/>
      </w:pPr>
      <w:r>
        <w:rPr>
          <w:rFonts w:hint="eastAsia"/>
          <w:b/>
        </w:rPr>
        <w:t>（6）三草湾片：</w:t>
      </w:r>
      <w:r>
        <w:rPr>
          <w:rFonts w:hint="eastAsia"/>
        </w:rPr>
        <w:t>规划先进制造、保税加工、仓储物流、及生活配套功能；</w:t>
      </w:r>
    </w:p>
    <w:p>
      <w:pPr>
        <w:spacing w:before="163" w:after="163"/>
        <w:ind w:firstLine="482"/>
      </w:pPr>
      <w:r>
        <w:rPr>
          <w:rFonts w:hint="eastAsia"/>
          <w:b/>
        </w:rPr>
        <w:t>（7）清泉片：</w:t>
      </w:r>
      <w:r>
        <w:rPr>
          <w:rFonts w:hint="eastAsia"/>
        </w:rPr>
        <w:t>保留原有制造产业；同时利用自然景观资源良好的山谷，发展区域培训及研发功能；严格控制该组团内建设用地总量；</w:t>
      </w:r>
    </w:p>
    <w:p>
      <w:pPr>
        <w:spacing w:before="163" w:after="163"/>
        <w:ind w:firstLine="482"/>
      </w:pPr>
      <w:r>
        <w:rPr>
          <w:rFonts w:hint="eastAsia"/>
          <w:b/>
        </w:rPr>
        <w:t>（8）四个临江特色小镇：</w:t>
      </w:r>
      <w:r>
        <w:rPr>
          <w:rFonts w:hint="eastAsia"/>
        </w:rPr>
        <w:t>依托北部生态源，保留现有农业生产功能，以发展近郊农业、观光农业、观光农业为主；限制大规模开发建设。</w:t>
      </w:r>
    </w:p>
    <w:p>
      <w:pPr>
        <w:spacing w:before="163" w:after="163"/>
        <w:ind w:firstLine="0" w:firstLineChars="0"/>
        <w:jc w:val="center"/>
      </w:pPr>
      <w:r>
        <w:drawing>
          <wp:inline distT="0" distB="0" distL="0" distR="0">
            <wp:extent cx="2707640" cy="3219450"/>
            <wp:effectExtent l="19050" t="19050" r="16510" b="190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51"/>
                    <a:stretch>
                      <a:fillRect/>
                    </a:stretch>
                  </pic:blipFill>
                  <pic:spPr>
                    <a:xfrm>
                      <a:off x="0" y="0"/>
                      <a:ext cx="2718534" cy="3232225"/>
                    </a:xfrm>
                    <a:prstGeom prst="rect">
                      <a:avLst/>
                    </a:prstGeom>
                    <a:ln w="9525">
                      <a:solidFill>
                        <a:sysClr val="windowText" lastClr="000000"/>
                      </a:solidFill>
                    </a:ln>
                  </pic:spPr>
                </pic:pic>
              </a:graphicData>
            </a:graphic>
          </wp:inline>
        </w:drawing>
      </w:r>
    </w:p>
    <w:p>
      <w:pPr>
        <w:pStyle w:val="117"/>
      </w:pPr>
      <w:r>
        <w:rPr>
          <w:rFonts w:hint="eastAsia"/>
        </w:rPr>
        <w:t>图3-1  资阳市</w:t>
      </w:r>
      <w:r>
        <w:t>中心城区</w:t>
      </w:r>
      <w:r>
        <w:rPr>
          <w:rFonts w:hint="eastAsia"/>
        </w:rPr>
        <w:t>功能结构</w:t>
      </w:r>
      <w:r>
        <w:t>分析图</w:t>
      </w:r>
    </w:p>
    <w:p>
      <w:pPr>
        <w:pStyle w:val="5"/>
        <w:spacing w:before="163" w:after="163"/>
      </w:pPr>
      <w:bookmarkStart w:id="42" w:name="_Toc503152815"/>
      <w:bookmarkStart w:id="43" w:name="_Toc518573666"/>
      <w:r>
        <w:rPr>
          <w:rFonts w:hint="eastAsia"/>
        </w:rPr>
        <w:t>3.1.2 社会经济规划</w:t>
      </w:r>
      <w:bookmarkEnd w:id="42"/>
      <w:bookmarkEnd w:id="43"/>
    </w:p>
    <w:p>
      <w:pPr>
        <w:spacing w:before="163" w:after="163"/>
        <w:ind w:firstLine="480"/>
      </w:pPr>
      <w:r>
        <w:rPr>
          <w:rFonts w:hint="eastAsia"/>
        </w:rPr>
        <w:t>根据《资阳市国民经济和社会发展第十三个五年规划纲要》、</w:t>
      </w:r>
      <w:r>
        <w:rPr>
          <w:rFonts w:hint="eastAsia" w:cs="Times New Roman"/>
        </w:rPr>
        <w:t>《资阳市城</w:t>
      </w:r>
      <w:r>
        <w:rPr>
          <w:rFonts w:hint="eastAsia"/>
        </w:rPr>
        <w:t>市总体规划（2017-2035）》以及年鉴统计数据，未来资阳市社会经济呈现如下发展趋势：</w:t>
      </w:r>
    </w:p>
    <w:p>
      <w:pPr>
        <w:spacing w:before="163" w:after="163"/>
        <w:ind w:firstLine="480"/>
      </w:pPr>
      <w:r>
        <w:rPr>
          <w:rFonts w:hint="eastAsia"/>
        </w:rPr>
        <w:t>（1）预期到2020年，资阳市地区生产总值达到</w:t>
      </w:r>
      <w:r>
        <w:t>1270</w:t>
      </w:r>
      <w:r>
        <w:rPr>
          <w:rFonts w:hint="eastAsia"/>
        </w:rPr>
        <w:t>亿元，年均增长速度达8.0%，人均生产总值达到4.5万元，经济总量大幅度增加，经济发展质量明显提高，经济结构不断优化。</w:t>
      </w:r>
    </w:p>
    <w:p>
      <w:pPr>
        <w:spacing w:before="163" w:after="163"/>
        <w:ind w:firstLine="480"/>
      </w:pPr>
      <w:r>
        <w:rPr>
          <w:rFonts w:hint="eastAsia"/>
        </w:rPr>
        <w:t>（2）到2030年，资阳市地区生产总值达到</w:t>
      </w:r>
      <w:r>
        <w:t>2500</w:t>
      </w:r>
      <w:r>
        <w:rPr>
          <w:rFonts w:hint="eastAsia"/>
        </w:rPr>
        <w:t>亿元，年均增长速度为7.0%，人均生产总值达到8.1万元，人民生活整体迈向富裕，生活质量明显提高，生活环境明显改善。</w:t>
      </w:r>
    </w:p>
    <w:p>
      <w:pPr>
        <w:pStyle w:val="113"/>
        <w:spacing w:before="163" w:after="163"/>
      </w:pPr>
      <w:r>
        <w:t>表</w:t>
      </w:r>
      <w:r>
        <w:rPr>
          <w:rFonts w:hint="eastAsia"/>
        </w:rPr>
        <w:t xml:space="preserve">3-1  </w:t>
      </w:r>
      <w:r>
        <w:t>资阳市经济发展水平预测表</w:t>
      </w:r>
      <w:r>
        <w:rPr>
          <w:rFonts w:hint="eastAsia"/>
        </w:rPr>
        <w:t>（2015年-2030年）</w:t>
      </w:r>
    </w:p>
    <w:tbl>
      <w:tblPr>
        <w:tblStyle w:val="95"/>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182"/>
        <w:gridCol w:w="1375"/>
        <w:gridCol w:w="1375"/>
        <w:gridCol w:w="137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指标名称</w:t>
            </w:r>
          </w:p>
        </w:tc>
        <w:tc>
          <w:tcPr>
            <w:tcW w:w="13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2015年</w:t>
            </w:r>
          </w:p>
        </w:tc>
        <w:tc>
          <w:tcPr>
            <w:tcW w:w="13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2020年</w:t>
            </w:r>
          </w:p>
        </w:tc>
        <w:tc>
          <w:tcPr>
            <w:tcW w:w="1374"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2030年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年均增长率</w:t>
            </w:r>
            <w:r>
              <w:rPr>
                <w:rFonts w:hint="eastAsia" w:ascii="Times New Roman" w:eastAsia="宋体" w:cs="Times New Roman"/>
                <w:kern w:val="2"/>
                <w:sz w:val="21"/>
                <w:szCs w:val="21"/>
              </w:rPr>
              <w:t>（%）</w:t>
            </w:r>
          </w:p>
        </w:tc>
        <w:tc>
          <w:tcPr>
            <w:tcW w:w="1375"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1375"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8.0</w:t>
            </w:r>
          </w:p>
        </w:tc>
        <w:tc>
          <w:tcPr>
            <w:tcW w:w="1374"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7.0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地区生产总值（亿元）</w:t>
            </w:r>
          </w:p>
        </w:tc>
        <w:tc>
          <w:tcPr>
            <w:tcW w:w="1375" w:type="dxa"/>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863.6</w:t>
            </w:r>
          </w:p>
        </w:tc>
        <w:tc>
          <w:tcPr>
            <w:tcW w:w="1375" w:type="dxa"/>
            <w:tcBorders>
              <w:bottom w:val="single" w:color="auto" w:sz="4"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1270</w:t>
            </w:r>
          </w:p>
        </w:tc>
        <w:tc>
          <w:tcPr>
            <w:tcW w:w="1374" w:type="dxa"/>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2500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tcBorders>
              <w:bottom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居民人均可支配收入（元）</w:t>
            </w:r>
          </w:p>
        </w:tc>
        <w:tc>
          <w:tcPr>
            <w:tcW w:w="1375" w:type="dxa"/>
            <w:tcBorders>
              <w:bottom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17683</w:t>
            </w:r>
          </w:p>
        </w:tc>
        <w:tc>
          <w:tcPr>
            <w:tcW w:w="1375" w:type="dxa"/>
            <w:tcBorders>
              <w:top w:val="single" w:color="auto" w:sz="4" w:space="0"/>
              <w:bottom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26000</w:t>
            </w:r>
          </w:p>
        </w:tc>
        <w:tc>
          <w:tcPr>
            <w:tcW w:w="1374" w:type="dxa"/>
            <w:tcBorders>
              <w:bottom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45000</w:t>
            </w:r>
          </w:p>
        </w:tc>
      </w:tr>
    </w:tbl>
    <w:p>
      <w:pPr>
        <w:pStyle w:val="5"/>
        <w:spacing w:before="163" w:after="163"/>
      </w:pPr>
      <w:bookmarkStart w:id="44" w:name="_Toc518573667"/>
      <w:bookmarkStart w:id="45" w:name="_Toc503152816"/>
      <w:r>
        <w:rPr>
          <w:rFonts w:hint="eastAsia"/>
        </w:rPr>
        <w:t>3.1.3 土地利用规划</w:t>
      </w:r>
      <w:bookmarkEnd w:id="44"/>
      <w:bookmarkEnd w:id="45"/>
    </w:p>
    <w:p>
      <w:pPr>
        <w:spacing w:before="163" w:after="163"/>
        <w:ind w:firstLine="480"/>
      </w:pPr>
      <w:r>
        <w:rPr>
          <w:rFonts w:hint="eastAsia"/>
        </w:rPr>
        <w:t>城市土地利用是城市交通需求产生和吸引的根源。一般来说，不同的土地利用布局、性质和利用强度对应着不同的交通需求。因此，科学合理的城市交通规划需要充分了解城市土地利用规划，通过全面细致地分析把握城市现状及未来的土地利用状况，为合理进行城市客运交通需求预测奠定基础。图3-2为201</w:t>
      </w:r>
      <w:r>
        <w:t>7</w:t>
      </w:r>
      <w:r>
        <w:rPr>
          <w:rFonts w:hint="eastAsia"/>
        </w:rPr>
        <w:t>-203</w:t>
      </w:r>
      <w:r>
        <w:t>5</w:t>
      </w:r>
      <w:r>
        <w:rPr>
          <w:rFonts w:hint="eastAsia"/>
        </w:rPr>
        <w:t>年资阳市中心城区土地利用规划图。</w:t>
      </w:r>
    </w:p>
    <w:p>
      <w:pPr>
        <w:pStyle w:val="134"/>
        <w:spacing w:before="163"/>
      </w:pPr>
      <w:r>
        <w:drawing>
          <wp:inline distT="0" distB="0" distL="0" distR="0">
            <wp:extent cx="3429000" cy="4565015"/>
            <wp:effectExtent l="19050" t="19050" r="19050" b="2603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52"/>
                    <a:stretch>
                      <a:fillRect/>
                    </a:stretch>
                  </pic:blipFill>
                  <pic:spPr>
                    <a:xfrm>
                      <a:off x="0" y="0"/>
                      <a:ext cx="3434173" cy="4572420"/>
                    </a:xfrm>
                    <a:prstGeom prst="rect">
                      <a:avLst/>
                    </a:prstGeom>
                    <a:ln w="6350">
                      <a:solidFill>
                        <a:schemeClr val="tx1"/>
                      </a:solidFill>
                    </a:ln>
                  </pic:spPr>
                </pic:pic>
              </a:graphicData>
            </a:graphic>
          </wp:inline>
        </w:drawing>
      </w:r>
    </w:p>
    <w:p>
      <w:pPr>
        <w:pStyle w:val="117"/>
      </w:pPr>
      <w:r>
        <w:rPr>
          <w:rFonts w:hint="eastAsia"/>
        </w:rPr>
        <w:t>图3-2  资阳市中心城区用地布局规划图</w:t>
      </w:r>
    </w:p>
    <w:p>
      <w:pPr>
        <w:pStyle w:val="113"/>
        <w:spacing w:before="163" w:after="163"/>
      </w:pPr>
      <w:r>
        <w:t>表</w:t>
      </w:r>
      <w:r>
        <w:rPr>
          <w:rFonts w:hint="eastAsia"/>
        </w:rPr>
        <w:t xml:space="preserve">3-2  </w:t>
      </w:r>
      <w:r>
        <w:t>资阳市</w:t>
      </w:r>
      <w:r>
        <w:rPr>
          <w:rFonts w:hint="eastAsia"/>
        </w:rPr>
        <w:t>中心城区2035年</w:t>
      </w:r>
      <w:r>
        <w:t>规划用地平衡表</w:t>
      </w:r>
    </w:p>
    <w:tbl>
      <w:tblPr>
        <w:tblStyle w:val="94"/>
        <w:tblW w:w="8301" w:type="dxa"/>
        <w:jc w:val="center"/>
        <w:tblInd w:w="0" w:type="dxa"/>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2"/>
        <w:gridCol w:w="1122"/>
        <w:gridCol w:w="3000"/>
        <w:gridCol w:w="1561"/>
        <w:gridCol w:w="1496"/>
      </w:tblGrid>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45" w:hRule="atLeast"/>
          <w:jc w:val="center"/>
        </w:trPr>
        <w:tc>
          <w:tcPr>
            <w:tcW w:w="2244" w:type="dxa"/>
            <w:gridSpan w:val="2"/>
            <w:tcBorders>
              <w:top w:val="single" w:color="auto" w:sz="12" w:space="0"/>
              <w:bottom w:val="single" w:color="auto" w:sz="4" w:space="0"/>
            </w:tcBorders>
            <w:shd w:val="clear" w:color="auto" w:fill="CCC0D9" w:themeFill="accent4" w:themeFillTint="66"/>
            <w:vAlign w:val="center"/>
          </w:tcPr>
          <w:p>
            <w:pPr>
              <w:widowControl w:val="0"/>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用地代码</w:t>
            </w:r>
          </w:p>
        </w:tc>
        <w:tc>
          <w:tcPr>
            <w:tcW w:w="3000" w:type="dxa"/>
            <w:vMerge w:val="restart"/>
            <w:tcBorders>
              <w:top w:val="single" w:color="auto" w:sz="12" w:space="0"/>
              <w:bottom w:val="single" w:color="auto" w:sz="4" w:space="0"/>
            </w:tcBorders>
            <w:shd w:val="clear" w:color="auto" w:fill="CCC0D9" w:themeFill="accent4" w:themeFillTint="66"/>
            <w:vAlign w:val="center"/>
          </w:tcPr>
          <w:p>
            <w:pPr>
              <w:widowControl w:val="0"/>
              <w:spacing w:before="0" w:after="0" w:line="240" w:lineRule="auto"/>
              <w:ind w:firstLineChars="95"/>
              <w:jc w:val="center"/>
              <w:textAlignment w:val="center"/>
              <w:rPr>
                <w:rFonts w:cs="Times New Roman"/>
                <w:b/>
                <w:bCs/>
                <w:snapToGrid w:val="0"/>
                <w:sz w:val="21"/>
                <w:szCs w:val="21"/>
              </w:rPr>
            </w:pPr>
            <w:r>
              <w:rPr>
                <w:rFonts w:cs="Times New Roman"/>
                <w:b/>
                <w:bCs/>
                <w:snapToGrid w:val="0"/>
                <w:sz w:val="21"/>
                <w:szCs w:val="21"/>
              </w:rPr>
              <w:t>用地名称</w:t>
            </w:r>
          </w:p>
        </w:tc>
        <w:tc>
          <w:tcPr>
            <w:tcW w:w="1561" w:type="dxa"/>
            <w:vMerge w:val="restart"/>
            <w:tcBorders>
              <w:top w:val="single" w:color="auto" w:sz="12" w:space="0"/>
              <w:bottom w:val="single" w:color="auto" w:sz="4"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面积（公顷）</w:t>
            </w:r>
          </w:p>
        </w:tc>
        <w:tc>
          <w:tcPr>
            <w:tcW w:w="1496" w:type="dxa"/>
            <w:vMerge w:val="restart"/>
            <w:tcBorders>
              <w:top w:val="single" w:color="auto" w:sz="12" w:space="0"/>
              <w:bottom w:val="single" w:color="auto" w:sz="4"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占总建设用地比例（%）</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tcBorders>
              <w:top w:val="single" w:color="auto" w:sz="4" w:space="0"/>
              <w:bottom w:val="single" w:color="auto" w:sz="12" w:space="0"/>
            </w:tcBorders>
            <w:shd w:val="clear" w:color="auto" w:fill="CCC0D9" w:themeFill="accent4" w:themeFillTint="66"/>
            <w:vAlign w:val="center"/>
          </w:tcPr>
          <w:p>
            <w:pPr>
              <w:widowControl w:val="0"/>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大类</w:t>
            </w:r>
          </w:p>
        </w:tc>
        <w:tc>
          <w:tcPr>
            <w:tcW w:w="1122" w:type="dxa"/>
            <w:tcBorders>
              <w:top w:val="single" w:color="auto" w:sz="4" w:space="0"/>
              <w:bottom w:val="single" w:color="auto" w:sz="12" w:space="0"/>
            </w:tcBorders>
            <w:shd w:val="clear" w:color="auto" w:fill="CCC0D9" w:themeFill="accent4" w:themeFillTint="66"/>
            <w:vAlign w:val="center"/>
          </w:tcPr>
          <w:p>
            <w:pPr>
              <w:widowControl w:val="0"/>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中类</w:t>
            </w:r>
          </w:p>
        </w:tc>
        <w:tc>
          <w:tcPr>
            <w:tcW w:w="3000" w:type="dxa"/>
            <w:vMerge w:val="continue"/>
            <w:tcBorders>
              <w:top w:val="single" w:color="auto" w:sz="4" w:space="0"/>
              <w:bottom w:val="single" w:color="auto" w:sz="12" w:space="0"/>
            </w:tcBorders>
            <w:shd w:val="clear" w:color="auto" w:fill="CCC0D9" w:themeFill="accent4" w:themeFillTint="66"/>
            <w:vAlign w:val="center"/>
          </w:tcPr>
          <w:p>
            <w:pPr>
              <w:widowControl w:val="0"/>
              <w:spacing w:before="0" w:after="0" w:line="240" w:lineRule="auto"/>
              <w:ind w:firstLine="199" w:firstLineChars="95"/>
              <w:jc w:val="center"/>
              <w:textAlignment w:val="center"/>
              <w:rPr>
                <w:rFonts w:cs="Times New Roman"/>
                <w:bCs/>
                <w:snapToGrid w:val="0"/>
                <w:sz w:val="21"/>
                <w:szCs w:val="21"/>
              </w:rPr>
            </w:pPr>
          </w:p>
        </w:tc>
        <w:tc>
          <w:tcPr>
            <w:tcW w:w="1561" w:type="dxa"/>
            <w:vMerge w:val="continue"/>
            <w:tcBorders>
              <w:top w:val="single" w:color="auto" w:sz="4" w:space="0"/>
              <w:bottom w:val="single" w:color="auto" w:sz="12"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p>
        </w:tc>
        <w:tc>
          <w:tcPr>
            <w:tcW w:w="1496" w:type="dxa"/>
            <w:vMerge w:val="continue"/>
            <w:tcBorders>
              <w:top w:val="single" w:color="auto" w:sz="4" w:space="0"/>
              <w:bottom w:val="single" w:color="auto" w:sz="12"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tcBorders>
              <w:top w:val="single" w:color="auto" w:sz="12" w:space="0"/>
            </w:tcBorders>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R</w:t>
            </w:r>
          </w:p>
        </w:tc>
        <w:tc>
          <w:tcPr>
            <w:tcW w:w="1122" w:type="dxa"/>
            <w:tcBorders>
              <w:top w:val="single" w:color="auto" w:sz="12" w:space="0"/>
            </w:tcBorders>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tcBorders>
              <w:top w:val="single" w:color="auto" w:sz="12" w:space="0"/>
            </w:tcBorders>
            <w:shd w:val="clear" w:color="auto" w:fill="auto"/>
            <w:vAlign w:val="center"/>
          </w:tcPr>
          <w:p>
            <w:pPr>
              <w:widowControl w:val="0"/>
              <w:spacing w:before="0" w:after="0" w:line="240" w:lineRule="auto"/>
              <w:ind w:firstLine="199" w:firstLineChars="95"/>
              <w:jc w:val="center"/>
              <w:textAlignment w:val="center"/>
              <w:rPr>
                <w:rFonts w:cs="Times New Roman"/>
                <w:bCs/>
                <w:snapToGrid w:val="0"/>
                <w:sz w:val="21"/>
                <w:szCs w:val="21"/>
              </w:rPr>
            </w:pPr>
            <w:r>
              <w:rPr>
                <w:rFonts w:cs="Times New Roman"/>
                <w:bCs/>
                <w:snapToGrid w:val="0"/>
                <w:sz w:val="21"/>
                <w:szCs w:val="21"/>
              </w:rPr>
              <w:t>居住用地</w:t>
            </w:r>
          </w:p>
        </w:tc>
        <w:tc>
          <w:tcPr>
            <w:tcW w:w="1561" w:type="dxa"/>
            <w:tcBorders>
              <w:top w:val="single" w:color="auto" w:sz="12" w:space="0"/>
            </w:tcBorders>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3411.06</w:t>
            </w:r>
          </w:p>
        </w:tc>
        <w:tc>
          <w:tcPr>
            <w:tcW w:w="1496" w:type="dxa"/>
            <w:tcBorders>
              <w:top w:val="single" w:color="auto" w:sz="12" w:space="0"/>
            </w:tcBorders>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28.44</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restart"/>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公共管理与公共服务设施用地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1190.55</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9.92</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A1</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行政办公用地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87.71</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0.73</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A2</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文化设施用地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88.55</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0.74</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A3</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教育科研用地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715.21</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5.96</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A4</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体育用地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95.95</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0.80</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A5</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医疗卫生用地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124.27</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1.04</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A6</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社会福利用地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62.88</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0.52</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A7</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文物古迹用地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0.68</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0.01</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A9</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宗教设施用地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11.60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0.10</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AX</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社区服务中心</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3.70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0.03</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B</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商业服务业设施用地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999.46</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8.33</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M</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工业用地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1786.55</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14.89</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W</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物流仓储用地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154.00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1.28</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restart"/>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S</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道路与交通设施用地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2231.72</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18.60</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S1</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城市道路用地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2120.00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17.67</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S2</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轨道交通线路用地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33.90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0.28</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S3</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交通枢纽用地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51.48</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0.43</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S4</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交通场站用地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26.34</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0.22</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U</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公共设施用地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143.18</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1.19</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restart"/>
            <w:shd w:val="clear" w:color="auto" w:fill="auto"/>
            <w:vAlign w:val="center"/>
          </w:tcPr>
          <w:p>
            <w:pPr>
              <w:widowControl w:val="0"/>
              <w:spacing w:before="0" w:after="0" w:line="240" w:lineRule="auto"/>
              <w:ind w:firstLine="420"/>
              <w:textAlignment w:val="center"/>
              <w:rPr>
                <w:rFonts w:cs="Times New Roman"/>
                <w:bCs/>
                <w:snapToGrid w:val="0"/>
                <w:sz w:val="21"/>
                <w:szCs w:val="21"/>
              </w:rPr>
            </w:pPr>
            <w:r>
              <w:rPr>
                <w:rFonts w:cs="Times New Roman"/>
                <w:bCs/>
                <w:snapToGrid w:val="0"/>
                <w:sz w:val="21"/>
                <w:szCs w:val="21"/>
              </w:rPr>
              <w:t>G</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绿地与广场用地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2078.98</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17.33</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G1</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公园绿地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1570.24</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13.09</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G2</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防护绿地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476.47</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3.97</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vMerge w:val="continue"/>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G3</w:t>
            </w: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广场用地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32.27</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0.27</w:t>
            </w:r>
          </w:p>
        </w:tc>
      </w:tr>
      <w:tr>
        <w:tblPrEx>
          <w:tblBorders>
            <w:top w:val="single" w:color="auto" w:sz="12" w:space="0"/>
            <w:left w:val="none" w:color="auto" w:sz="0" w:space="0"/>
            <w:bottom w:val="single" w:color="auto" w:sz="12"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jc w:val="center"/>
        </w:trPr>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合计</w:t>
            </w:r>
          </w:p>
        </w:tc>
        <w:tc>
          <w:tcPr>
            <w:tcW w:w="1122"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p>
        </w:tc>
        <w:tc>
          <w:tcPr>
            <w:tcW w:w="3000" w:type="dxa"/>
            <w:shd w:val="clear" w:color="auto" w:fill="auto"/>
            <w:vAlign w:val="center"/>
          </w:tcPr>
          <w:p>
            <w:pPr>
              <w:widowControl w:val="0"/>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城市建设用地</w:t>
            </w:r>
          </w:p>
        </w:tc>
        <w:tc>
          <w:tcPr>
            <w:tcW w:w="1561"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11995.50</w:t>
            </w:r>
          </w:p>
        </w:tc>
        <w:tc>
          <w:tcPr>
            <w:tcW w:w="1496" w:type="dxa"/>
            <w:shd w:val="clear" w:color="auto" w:fill="auto"/>
            <w:vAlign w:val="center"/>
          </w:tcPr>
          <w:p>
            <w:pPr>
              <w:widowControl w:val="0"/>
              <w:adjustRightInd/>
              <w:snapToGrid/>
              <w:spacing w:before="0" w:after="0" w:line="240" w:lineRule="auto"/>
              <w:ind w:firstLine="0" w:firstLineChars="0"/>
              <w:jc w:val="center"/>
              <w:textAlignment w:val="center"/>
              <w:rPr>
                <w:rFonts w:cs="Times New Roman"/>
                <w:b/>
                <w:bCs/>
                <w:snapToGrid w:val="0"/>
                <w:sz w:val="21"/>
                <w:szCs w:val="21"/>
              </w:rPr>
            </w:pPr>
            <w:r>
              <w:rPr>
                <w:rFonts w:cs="Times New Roman"/>
                <w:b/>
                <w:bCs/>
                <w:snapToGrid w:val="0"/>
                <w:sz w:val="21"/>
                <w:szCs w:val="21"/>
              </w:rPr>
              <w:t>100.00</w:t>
            </w:r>
          </w:p>
        </w:tc>
      </w:tr>
    </w:tbl>
    <w:p>
      <w:pPr>
        <w:pStyle w:val="4"/>
        <w:spacing w:before="163" w:after="163"/>
      </w:pPr>
      <w:bookmarkStart w:id="46" w:name="_Toc503152817"/>
      <w:bookmarkStart w:id="47" w:name="_Toc518573668"/>
      <w:r>
        <w:rPr>
          <w:rFonts w:hint="eastAsia"/>
        </w:rPr>
        <w:t>3.2</w:t>
      </w:r>
      <w:bookmarkEnd w:id="46"/>
      <w:r>
        <w:t xml:space="preserve"> </w:t>
      </w:r>
      <w:r>
        <w:rPr>
          <w:rFonts w:hint="eastAsia"/>
        </w:rPr>
        <w:t>城市综合交通需求预测</w:t>
      </w:r>
      <w:bookmarkEnd w:id="47"/>
    </w:p>
    <w:p>
      <w:pPr>
        <w:pStyle w:val="5"/>
        <w:spacing w:before="163" w:after="163"/>
      </w:pPr>
      <w:bookmarkStart w:id="48" w:name="_Toc518573669"/>
      <w:bookmarkStart w:id="49" w:name="_Toc503152837"/>
      <w:bookmarkStart w:id="50" w:name="_Toc357850353"/>
      <w:bookmarkStart w:id="51" w:name="_Toc357850351"/>
      <w:bookmarkStart w:id="52" w:name="_Toc344335550"/>
      <w:bookmarkStart w:id="53" w:name="_Toc357850352"/>
      <w:bookmarkStart w:id="54" w:name="_Toc503152835"/>
      <w:bookmarkStart w:id="55" w:name="_Toc342250033"/>
      <w:r>
        <w:t xml:space="preserve">3.2.1 </w:t>
      </w:r>
      <w:r>
        <w:rPr>
          <w:rFonts w:hint="eastAsia"/>
        </w:rPr>
        <w:t>交通需求分类</w:t>
      </w:r>
      <w:bookmarkEnd w:id="48"/>
    </w:p>
    <w:p>
      <w:pPr>
        <w:spacing w:before="163" w:after="163"/>
        <w:ind w:firstLine="480"/>
      </w:pPr>
      <w:r>
        <w:rPr>
          <w:rFonts w:hint="eastAsia"/>
        </w:rPr>
        <w:t>不同的土地利用形态将产生不同的交通发生源，为把握分析重点，本规划将重点分析2018-2030年资阳中心城区主要的交通发生点。结合资阳市规划用地功能分析，确定主要的交通发生源集中在：居住类型用地，公共设施用地中的大型客流集散点（包括大型商场、购物中心、批发市场、车站等）、大型工业区以及文化旅游地区等。</w:t>
      </w:r>
      <w:bookmarkStart w:id="56" w:name="_Toc353059387"/>
      <w:bookmarkStart w:id="57" w:name="_Toc503152818"/>
    </w:p>
    <w:p>
      <w:pPr>
        <w:spacing w:before="163" w:after="163"/>
        <w:ind w:firstLine="482"/>
        <w:rPr>
          <w:b/>
        </w:rPr>
      </w:pPr>
      <w:r>
        <w:rPr>
          <w:rFonts w:hint="eastAsia"/>
          <w:b/>
        </w:rPr>
        <w:t>1.</w:t>
      </w:r>
      <w:r>
        <w:rPr>
          <w:b/>
        </w:rPr>
        <w:t xml:space="preserve"> </w:t>
      </w:r>
      <w:r>
        <w:rPr>
          <w:rFonts w:hint="eastAsia"/>
          <w:b/>
        </w:rPr>
        <w:t>居住类型用地交通需求</w:t>
      </w:r>
      <w:bookmarkEnd w:id="56"/>
      <w:bookmarkEnd w:id="57"/>
    </w:p>
    <w:p>
      <w:pPr>
        <w:spacing w:before="163" w:after="163"/>
        <w:ind w:firstLine="480"/>
        <w:rPr>
          <w:b/>
        </w:rPr>
      </w:pPr>
      <w:r>
        <w:rPr>
          <w:rFonts w:hint="eastAsia"/>
        </w:rPr>
        <w:t>居住区作为居民每日出行的起终点，是重要的交通发生源。居住用地指标中占地规模、容积率、居住区面积、居住区定位都对交通产生影响，例如：普通住宅区公交出行高于高级住宅区，并且容积率高，居住区面积大，使用公共交通出行方式的比例会相对较高。同时，居住类型的交通需求具有明显的早晚通勤性质，以上班、上学为主要出行目的，交通发生量和吸引量具有规律性。</w:t>
      </w:r>
    </w:p>
    <w:p>
      <w:pPr>
        <w:spacing w:before="163" w:after="163"/>
        <w:ind w:firstLine="480"/>
      </w:pPr>
      <w:r>
        <w:rPr>
          <w:rFonts w:hint="eastAsia"/>
        </w:rPr>
        <w:t>资阳市城市总体规划在确定城市七片四镇的基础上，进一步划分为老城片区、凤岭片区、幸福片区、马鞍片区、三贤片区、南市片区、黑水寺片区、罗家坝片区、高铁片区、宝台片区、白沙坝片区、董家坝片区、三草湾片区、雁西湖片区、老鹰片区、清泉片区、李家坝片区、墨池坝片区、临江片区十九个片区，规划居住用地</w:t>
      </w:r>
      <w:r>
        <w:t>3411</w:t>
      </w:r>
      <w:r>
        <w:rPr>
          <w:rFonts w:hint="eastAsia"/>
        </w:rPr>
        <w:t>公顷，约占城市建设总用地的</w:t>
      </w:r>
      <w:r>
        <w:t>28.4</w:t>
      </w:r>
      <w:r>
        <w:rPr>
          <w:rFonts w:hint="eastAsia"/>
        </w:rPr>
        <w:t>%。</w:t>
      </w:r>
    </w:p>
    <w:p>
      <w:pPr>
        <w:spacing w:before="163" w:after="163"/>
        <w:ind w:firstLine="482"/>
        <w:rPr>
          <w:b/>
        </w:rPr>
      </w:pPr>
      <w:bookmarkStart w:id="58" w:name="_Toc263605063"/>
      <w:bookmarkStart w:id="59" w:name="_Toc503152819"/>
      <w:bookmarkStart w:id="60" w:name="_Toc353059388"/>
      <w:r>
        <w:rPr>
          <w:b/>
        </w:rPr>
        <w:t xml:space="preserve">2. </w:t>
      </w:r>
      <w:r>
        <w:rPr>
          <w:rFonts w:hint="eastAsia"/>
          <w:b/>
        </w:rPr>
        <w:t>工业类型用地交通需求</w:t>
      </w:r>
      <w:bookmarkEnd w:id="58"/>
      <w:bookmarkEnd w:id="59"/>
      <w:bookmarkEnd w:id="60"/>
    </w:p>
    <w:p>
      <w:pPr>
        <w:spacing w:before="163" w:after="163"/>
        <w:ind w:firstLine="480"/>
      </w:pPr>
      <w:r>
        <w:rPr>
          <w:rFonts w:hint="eastAsia"/>
        </w:rPr>
        <w:t>工业用地主要以上班出行为主，交通量、出行方式较为固定。目前，工业园区尚处于发展起步阶段，其出行方式主要集中在摩托车、步行、自行车、公共交通。其中公共交通供应未能满足工业区通勤需求，造成这一现象的主要原因有：园区的入驻企业较少，不具规模，公交线路开行较少，不能有效覆盖通勤出行起讫点；公交线路长，车辆少，发车间隔大，准点率低等。</w:t>
      </w:r>
    </w:p>
    <w:p>
      <w:pPr>
        <w:spacing w:before="163" w:after="163"/>
        <w:ind w:firstLine="480"/>
      </w:pPr>
      <w:r>
        <w:rPr>
          <w:rFonts w:hint="eastAsia"/>
        </w:rPr>
        <w:t>资阳市中心城区工业布局主要集中在城内和城外。城内为娇子大道南的食品药业园、城南工业区和牙谷产业区。期间计划在中心城区外围规划资三路工业区、清泉工业区、三草湾集中工业区，形成新的工业发展平台。随着工业园区的逐渐开发和完善，需进一步加强各片区之间公交通达性，同时针对通勤出行特征开行高峰快线，满足通勤出行快速、准点的需求。</w:t>
      </w:r>
    </w:p>
    <w:p>
      <w:pPr>
        <w:spacing w:before="163" w:after="163"/>
        <w:ind w:firstLine="482"/>
        <w:rPr>
          <w:b/>
        </w:rPr>
      </w:pPr>
      <w:bookmarkStart w:id="61" w:name="_Toc503152820"/>
      <w:bookmarkStart w:id="62" w:name="_Toc353059389"/>
      <w:bookmarkStart w:id="63" w:name="_Toc263605064"/>
      <w:r>
        <w:rPr>
          <w:b/>
        </w:rPr>
        <w:t xml:space="preserve">3. </w:t>
      </w:r>
      <w:r>
        <w:rPr>
          <w:rFonts w:hint="eastAsia"/>
          <w:b/>
        </w:rPr>
        <w:t>公共设施用地交通需求</w:t>
      </w:r>
      <w:bookmarkEnd w:id="61"/>
      <w:bookmarkEnd w:id="62"/>
      <w:bookmarkEnd w:id="63"/>
    </w:p>
    <w:p>
      <w:pPr>
        <w:spacing w:before="163" w:after="163"/>
        <w:ind w:firstLine="480"/>
      </w:pPr>
      <w:r>
        <w:rPr>
          <w:rFonts w:hint="eastAsia"/>
        </w:rPr>
        <w:t>不同公共设施用地类型产生的交通需求特点不同，根据交通发生量情况将其分为小型、中型和大型交通发生量用地。小型交通发生量用地主要包括：金融保险业用地，小学用地、行政用地等；中型交通发生量用地包括医院用地、中学、中专用地、公司办公用地以及较小规模市场用地等。大型交通发生用地主要包括大型商场、购物中心、批发市场用地、高中、大学用地。</w:t>
      </w:r>
    </w:p>
    <w:p>
      <w:pPr>
        <w:ind w:firstLine="480"/>
        <w:rPr>
          <w:szCs w:val="28"/>
        </w:rPr>
      </w:pPr>
      <w:r>
        <w:rPr>
          <w:rFonts w:hint="eastAsia"/>
          <w:szCs w:val="28"/>
        </w:rPr>
        <w:t>（1）小型、中型交通发生量用地交通需求</w:t>
      </w:r>
    </w:p>
    <w:p>
      <w:pPr>
        <w:ind w:firstLine="480"/>
        <w:rPr>
          <w:szCs w:val="28"/>
        </w:rPr>
      </w:pPr>
      <w:r>
        <w:rPr>
          <w:rFonts w:hint="eastAsia"/>
          <w:szCs w:val="28"/>
        </w:rPr>
        <w:t>该类用地包括上班、上学、业务，上班上学发生的交通量有规律性，出行方式较为固定，业务发生的交通量不太稳定，出行方式也不固定，主要集中在临空区清泉科教园、高铁新区科教中心、雁江区职教中心、城南教育园区。</w:t>
      </w:r>
    </w:p>
    <w:p>
      <w:pPr>
        <w:ind w:firstLine="480"/>
        <w:rPr>
          <w:szCs w:val="28"/>
        </w:rPr>
      </w:pPr>
      <w:r>
        <w:rPr>
          <w:rFonts w:hint="eastAsia"/>
          <w:szCs w:val="28"/>
        </w:rPr>
        <w:t>（2）大型交通发生量用地交通需求</w:t>
      </w:r>
    </w:p>
    <w:p>
      <w:pPr>
        <w:ind w:firstLine="480"/>
        <w:rPr>
          <w:szCs w:val="28"/>
        </w:rPr>
      </w:pPr>
      <w:r>
        <w:rPr>
          <w:rFonts w:hint="eastAsia"/>
          <w:szCs w:val="28"/>
        </w:rPr>
        <w:t>大型交通发生量用地包括对外交通、大型商场、购物中心、批发市场用地等。</w:t>
      </w:r>
    </w:p>
    <w:p>
      <w:pPr>
        <w:ind w:firstLine="480"/>
        <w:rPr>
          <w:szCs w:val="28"/>
        </w:rPr>
      </w:pPr>
      <w:r>
        <w:rPr>
          <w:rFonts w:hint="eastAsia"/>
          <w:szCs w:val="28"/>
        </w:rPr>
        <w:t>对外交通用地是指城市对外联系的铁路、公路、管道运输设施、港口、机场及其附属设施的建设用地。资阳市对外交通较大的交通出行生成点主要位于资阳北站以及未来将要建设的资阳西站</w:t>
      </w:r>
      <w:r>
        <w:rPr>
          <w:szCs w:val="28"/>
        </w:rPr>
        <w:t>、</w:t>
      </w:r>
      <w:r>
        <w:rPr>
          <w:rFonts w:hint="eastAsia"/>
          <w:szCs w:val="28"/>
        </w:rPr>
        <w:t>资阳东公路客运枢纽站</w:t>
      </w:r>
      <w:r>
        <w:rPr>
          <w:szCs w:val="28"/>
        </w:rPr>
        <w:t>、</w:t>
      </w:r>
      <w:r>
        <w:rPr>
          <w:rFonts w:hint="eastAsia"/>
          <w:szCs w:val="28"/>
        </w:rPr>
        <w:t>资阳西公路客运枢纽站及资阳公路客运中心等。</w:t>
      </w:r>
    </w:p>
    <w:p>
      <w:pPr>
        <w:spacing w:before="0"/>
        <w:ind w:firstLine="480"/>
        <w:rPr>
          <w:szCs w:val="28"/>
        </w:rPr>
      </w:pPr>
      <w:r>
        <w:rPr>
          <w:rFonts w:hint="eastAsia"/>
          <w:szCs w:val="28"/>
        </w:rPr>
        <w:t>大型商场、购物中心、批发市场用地交通需求可分为两类：一类为吸引至此上班的交通量，交通需求和出行方式较为稳定；另一类为吸引至此进行购物、休闲的交通量，交通需求、出行方式不太稳定。两者在交通发生时间上有明显的区分，上班出行一般为早晚通勤时段，而购物、休闲出行则主要体现在非高峰出行时段以及节假日和周末时间。目前资阳市中心城区拥有万达、梅西两个大型商场，后期将在资阳北站附近集中布局商务用地，形成资阳商务集中区。</w:t>
      </w:r>
    </w:p>
    <w:p>
      <w:pPr>
        <w:spacing w:before="163" w:after="163"/>
        <w:ind w:firstLine="482"/>
        <w:rPr>
          <w:b/>
        </w:rPr>
      </w:pPr>
      <w:bookmarkStart w:id="64" w:name="_Toc353059390"/>
      <w:bookmarkStart w:id="65" w:name="_Toc263605065"/>
      <w:bookmarkStart w:id="66" w:name="_Toc503152821"/>
      <w:r>
        <w:rPr>
          <w:b/>
        </w:rPr>
        <w:t xml:space="preserve">4. </w:t>
      </w:r>
      <w:r>
        <w:rPr>
          <w:rFonts w:hint="eastAsia"/>
          <w:b/>
        </w:rPr>
        <w:t>文化旅游用地交通需求</w:t>
      </w:r>
      <w:bookmarkEnd w:id="64"/>
      <w:bookmarkEnd w:id="65"/>
      <w:bookmarkEnd w:id="66"/>
    </w:p>
    <w:p>
      <w:pPr>
        <w:spacing w:before="163" w:after="163"/>
        <w:ind w:firstLine="480"/>
        <w:rPr>
          <w:szCs w:val="28"/>
        </w:rPr>
      </w:pPr>
      <w:r>
        <w:rPr>
          <w:rFonts w:hint="eastAsia"/>
          <w:szCs w:val="28"/>
        </w:rPr>
        <w:t>文化旅游用地产生的交通需求特点与以上用地需求不同，其主要以旅游、文体休闲为主，用地类型主要包括风景名胜、公园、图书馆、体育馆等，出行方式不太固定，交通需求主要集中在节假日和周末时间。资阳市中心城区在现有的市文化馆、市城市规划展览馆、市图书馆的基础上，将在城南新建城市演艺中心，在资阳北站西侧沿江预留会展中心用地等。</w:t>
      </w:r>
    </w:p>
    <w:p>
      <w:pPr>
        <w:pStyle w:val="5"/>
        <w:spacing w:before="163" w:after="163"/>
      </w:pPr>
      <w:bookmarkStart w:id="67" w:name="_Toc518573670"/>
      <w:r>
        <w:t xml:space="preserve">3.2.2 </w:t>
      </w:r>
      <w:r>
        <w:rPr>
          <w:rFonts w:hint="eastAsia"/>
        </w:rPr>
        <w:t>交通小区划分</w:t>
      </w:r>
      <w:bookmarkEnd w:id="67"/>
    </w:p>
    <w:p>
      <w:pPr>
        <w:spacing w:before="163" w:after="163"/>
        <w:ind w:firstLine="480"/>
        <w:rPr>
          <w:szCs w:val="28"/>
        </w:rPr>
      </w:pPr>
      <w:r>
        <w:rPr>
          <w:szCs w:val="28"/>
        </w:rPr>
        <w:t>交通小区的划分应根据城市规划区域的用地规模</w:t>
      </w:r>
      <w:r>
        <w:rPr>
          <w:rFonts w:hint="eastAsia"/>
          <w:szCs w:val="28"/>
        </w:rPr>
        <w:t>、</w:t>
      </w:r>
      <w:r>
        <w:rPr>
          <w:szCs w:val="28"/>
        </w:rPr>
        <w:t>人口规模</w:t>
      </w:r>
      <w:r>
        <w:rPr>
          <w:rFonts w:hint="eastAsia"/>
          <w:szCs w:val="28"/>
        </w:rPr>
        <w:t>、</w:t>
      </w:r>
      <w:r>
        <w:rPr>
          <w:szCs w:val="28"/>
        </w:rPr>
        <w:t>土地利用性质和规划布局的特点来确定</w:t>
      </w:r>
      <w:r>
        <w:rPr>
          <w:rFonts w:hint="eastAsia"/>
          <w:szCs w:val="28"/>
        </w:rPr>
        <w:t>，</w:t>
      </w:r>
      <w:r>
        <w:rPr>
          <w:szCs w:val="28"/>
        </w:rPr>
        <w:t>一般以行政分区</w:t>
      </w:r>
      <w:r>
        <w:rPr>
          <w:rFonts w:hint="eastAsia"/>
          <w:szCs w:val="28"/>
        </w:rPr>
        <w:t>、</w:t>
      </w:r>
      <w:r>
        <w:rPr>
          <w:szCs w:val="28"/>
        </w:rPr>
        <w:t>人工构筑物及自然疆界</w:t>
      </w:r>
      <w:r>
        <w:rPr>
          <w:rFonts w:hint="eastAsia"/>
          <w:szCs w:val="28"/>
        </w:rPr>
        <w:t>（如河流、铁路、森林公园、山脊等）作为交通区界，尽可能以主干道作为各区的中轴线，要求区界与主干道宜有相等的距离，小区不宜横穿两条公共交通主干道，为便于交通模型的建立和使用，现状、远期的交通分区系统应保持一致。</w:t>
      </w:r>
    </w:p>
    <w:p>
      <w:pPr>
        <w:spacing w:before="163" w:after="163"/>
        <w:ind w:firstLine="480"/>
        <w:rPr>
          <w:rFonts w:cs="Times New Roman"/>
        </w:rPr>
      </w:pPr>
      <w:r>
        <w:rPr>
          <w:szCs w:val="28"/>
        </w:rPr>
        <w:t>根据</w:t>
      </w:r>
      <w:r>
        <w:rPr>
          <w:rFonts w:hint="eastAsia" w:cs="Times New Roman"/>
        </w:rPr>
        <w:t>《资阳市城市总体规划（2017-2035）》，结合以上原则，综合地形地物、土地利用性质、路网特征和规划年城市组团布局形态将资阳市中心城区划分为19个交通小区，分别为老城片区、凤岭片区、幸福片区、马鞍片区、三贤片区、南市片区、黑水寺片区、罗家坝片区、高铁片区、宝台片区、白沙坝片区、董家坝片区、三草湾片区、雁西湖片区、老鹰片区、清泉片区、李家坝片区、墨池坝片区、临江片区。</w:t>
      </w:r>
    </w:p>
    <w:p>
      <w:pPr>
        <w:spacing w:before="163" w:after="163"/>
        <w:ind w:firstLine="0" w:firstLineChars="0"/>
        <w:jc w:val="center"/>
        <w:rPr>
          <w:szCs w:val="28"/>
        </w:rPr>
      </w:pPr>
      <w:r>
        <w:rPr>
          <w:szCs w:val="28"/>
        </w:rPr>
        <w:drawing>
          <wp:inline distT="0" distB="0" distL="0" distR="0">
            <wp:extent cx="4125595" cy="4867275"/>
            <wp:effectExtent l="19050" t="19050" r="27305" b="9525"/>
            <wp:docPr id="43" name="图片 43" descr="I:\项目汇总\资阳公交规划\交通小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I:\项目汇总\资阳公交规划\交通小区.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137120" cy="4880563"/>
                    </a:xfrm>
                    <a:prstGeom prst="rect">
                      <a:avLst/>
                    </a:prstGeom>
                    <a:noFill/>
                    <a:ln w="6350">
                      <a:solidFill>
                        <a:schemeClr val="tx1"/>
                      </a:solidFill>
                    </a:ln>
                  </pic:spPr>
                </pic:pic>
              </a:graphicData>
            </a:graphic>
          </wp:inline>
        </w:drawing>
      </w:r>
    </w:p>
    <w:p>
      <w:pPr>
        <w:pStyle w:val="117"/>
      </w:pPr>
      <w:r>
        <w:rPr>
          <w:rFonts w:hint="eastAsia"/>
        </w:rPr>
        <w:t>图3-3  资阳市中心城区交通小区划分图</w:t>
      </w:r>
    </w:p>
    <w:p>
      <w:pPr>
        <w:pStyle w:val="5"/>
        <w:spacing w:before="163" w:after="163"/>
      </w:pPr>
      <w:bookmarkStart w:id="68" w:name="_Toc518573671"/>
      <w:r>
        <w:t xml:space="preserve">3.2.3 </w:t>
      </w:r>
      <w:r>
        <w:rPr>
          <w:rFonts w:hint="eastAsia"/>
        </w:rPr>
        <w:t>交通需求预测</w:t>
      </w:r>
      <w:bookmarkEnd w:id="68"/>
    </w:p>
    <w:p>
      <w:pPr>
        <w:spacing w:before="163" w:after="163"/>
        <w:ind w:firstLine="480"/>
        <w:rPr>
          <w:rFonts w:cs="Times New Roman"/>
        </w:rPr>
      </w:pPr>
      <w:r>
        <w:rPr>
          <w:rFonts w:hint="eastAsia" w:cs="Times New Roman"/>
        </w:rPr>
        <w:t>客运交通需求不仅受城市用地布局、各区功能定位影响，更与各交通小区规划年的人口基数密切相关。根据《资阳市城市总体规划（2017-2035）》可得资阳市中心城区各规划年居民人口数。</w:t>
      </w:r>
    </w:p>
    <w:p>
      <w:pPr>
        <w:pStyle w:val="113"/>
        <w:spacing w:before="163" w:after="163"/>
      </w:pPr>
      <w:r>
        <w:t>表</w:t>
      </w:r>
      <w:r>
        <w:rPr>
          <w:rFonts w:hint="eastAsia"/>
        </w:rPr>
        <w:t xml:space="preserve">3-3  </w:t>
      </w:r>
      <w:r>
        <w:t>资阳市</w:t>
      </w:r>
      <w:r>
        <w:rPr>
          <w:rFonts w:hint="eastAsia"/>
        </w:rPr>
        <w:t>中心城区</w:t>
      </w:r>
      <w:r>
        <w:t>人口预测表</w:t>
      </w:r>
    </w:p>
    <w:tbl>
      <w:tblPr>
        <w:tblStyle w:val="95"/>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182"/>
        <w:gridCol w:w="1375"/>
        <w:gridCol w:w="1375"/>
        <w:gridCol w:w="137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预测年份</w:t>
            </w:r>
          </w:p>
        </w:tc>
        <w:tc>
          <w:tcPr>
            <w:tcW w:w="13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2020年</w:t>
            </w:r>
          </w:p>
        </w:tc>
        <w:tc>
          <w:tcPr>
            <w:tcW w:w="13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2030年</w:t>
            </w:r>
          </w:p>
        </w:tc>
        <w:tc>
          <w:tcPr>
            <w:tcW w:w="1374"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2035年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182"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预测人口</w:t>
            </w:r>
            <w:r>
              <w:rPr>
                <w:rFonts w:hint="eastAsia" w:ascii="Times New Roman" w:eastAsia="宋体" w:cs="Times New Roman"/>
                <w:kern w:val="2"/>
                <w:sz w:val="21"/>
                <w:szCs w:val="21"/>
              </w:rPr>
              <w:t>（万人）</w:t>
            </w:r>
          </w:p>
        </w:tc>
        <w:tc>
          <w:tcPr>
            <w:tcW w:w="1375"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51</w:t>
            </w:r>
          </w:p>
        </w:tc>
        <w:tc>
          <w:tcPr>
            <w:tcW w:w="1375"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87</w:t>
            </w:r>
          </w:p>
        </w:tc>
        <w:tc>
          <w:tcPr>
            <w:tcW w:w="1374"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110</w:t>
            </w:r>
          </w:p>
        </w:tc>
      </w:tr>
    </w:tbl>
    <w:p>
      <w:pPr>
        <w:spacing w:before="163" w:after="163"/>
        <w:ind w:firstLine="482"/>
        <w:rPr>
          <w:b/>
        </w:rPr>
      </w:pPr>
      <w:r>
        <w:rPr>
          <w:rFonts w:hint="eastAsia"/>
          <w:b/>
        </w:rPr>
        <w:t>1.</w:t>
      </w:r>
      <w:r>
        <w:rPr>
          <w:b/>
        </w:rPr>
        <w:t xml:space="preserve"> </w:t>
      </w:r>
      <w:r>
        <w:rPr>
          <w:rFonts w:hint="eastAsia"/>
          <w:b/>
        </w:rPr>
        <w:t>城市人口分布</w:t>
      </w:r>
    </w:p>
    <w:p>
      <w:pPr>
        <w:spacing w:before="163" w:after="163"/>
        <w:ind w:firstLine="480"/>
        <w:rPr>
          <w:rFonts w:cs="Times New Roman"/>
        </w:rPr>
      </w:pPr>
      <w:r>
        <w:rPr>
          <w:rFonts w:cs="Times New Roman"/>
        </w:rPr>
        <w:t>基于城市总体规划</w:t>
      </w:r>
      <w:r>
        <w:rPr>
          <w:rFonts w:hint="eastAsia" w:cs="Times New Roman"/>
        </w:rPr>
        <w:t>、</w:t>
      </w:r>
      <w:r>
        <w:rPr>
          <w:rFonts w:cs="Times New Roman"/>
        </w:rPr>
        <w:t>综合自然条件约束</w:t>
      </w:r>
      <w:r>
        <w:rPr>
          <w:rFonts w:hint="eastAsia" w:cs="Times New Roman"/>
        </w:rPr>
        <w:t>、</w:t>
      </w:r>
      <w:r>
        <w:rPr>
          <w:rFonts w:cs="Times New Roman"/>
        </w:rPr>
        <w:t>城市对外经济</w:t>
      </w:r>
      <w:r>
        <w:rPr>
          <w:rFonts w:hint="eastAsia" w:cs="Times New Roman"/>
        </w:rPr>
        <w:t>流向以及城市结构变化的内在规律，得出城市的发展方向与空间布局。本规划采用权重系数法对人口分布进行预测，即各小区的人口与用地性质及土地利用强度存在密切关系。</w:t>
      </w:r>
    </w:p>
    <w:p>
      <w:pPr>
        <w:pStyle w:val="113"/>
        <w:spacing w:before="163" w:after="163"/>
      </w:pPr>
      <w:r>
        <w:t>表</w:t>
      </w:r>
      <w:r>
        <w:rPr>
          <w:rFonts w:hint="eastAsia"/>
        </w:rPr>
        <w:t xml:space="preserve">3-4  </w:t>
      </w:r>
      <w:r>
        <w:t>资阳市</w:t>
      </w:r>
      <w:r>
        <w:rPr>
          <w:rFonts w:hint="eastAsia"/>
        </w:rPr>
        <w:t>中心城区人口分布</w:t>
      </w:r>
      <w:r>
        <w:t>表</w:t>
      </w:r>
      <w:r>
        <w:rPr>
          <w:rFonts w:hint="eastAsia"/>
        </w:rPr>
        <w:t>（单位：万人）</w:t>
      </w:r>
    </w:p>
    <w:tbl>
      <w:tblPr>
        <w:tblStyle w:val="95"/>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7"/>
        <w:gridCol w:w="2077"/>
        <w:gridCol w:w="2077"/>
        <w:gridCol w:w="207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序号</w:t>
            </w:r>
          </w:p>
        </w:tc>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片区</w:t>
            </w:r>
          </w:p>
        </w:tc>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2020年</w:t>
            </w:r>
          </w:p>
        </w:tc>
        <w:tc>
          <w:tcPr>
            <w:tcW w:w="20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2030年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w:t>
            </w:r>
          </w:p>
        </w:tc>
        <w:tc>
          <w:tcPr>
            <w:tcW w:w="2077"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老城片区</w:t>
            </w:r>
          </w:p>
        </w:tc>
        <w:tc>
          <w:tcPr>
            <w:tcW w:w="2077"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5.1</w:t>
            </w:r>
          </w:p>
        </w:tc>
        <w:tc>
          <w:tcPr>
            <w:tcW w:w="2075"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凤岭片区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幸福片区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6.9</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8.8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4</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马鞍片区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7.7</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三贤片区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5.0</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南市片区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3.2</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黑水寺片区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8</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罗家坝片区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9.4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9</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高铁片区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w:t>
            </w:r>
            <w:r>
              <w:rPr>
                <w:rFonts w:ascii="Times New Roman" w:eastAsia="宋体" w:cs="Times New Roman"/>
                <w:kern w:val="2"/>
                <w:sz w:val="21"/>
                <w:szCs w:val="21"/>
              </w:rPr>
              <w:t>0</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宝台片区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11</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白沙坝片区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2.2</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8.0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12</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董家坝片区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0.4</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13</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三草湾片区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14</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雁西湖片区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15</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老鹰片区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4.4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16</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清泉片区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17</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李家坝片区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18</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墨池坝片区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19</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临江片区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0.9</w:t>
            </w:r>
          </w:p>
        </w:tc>
      </w:tr>
    </w:tbl>
    <w:p>
      <w:pPr>
        <w:spacing w:before="163" w:after="163"/>
        <w:ind w:firstLine="482"/>
        <w:rPr>
          <w:b/>
        </w:rPr>
      </w:pPr>
      <w:r>
        <w:rPr>
          <w:rFonts w:hint="eastAsia"/>
          <w:b/>
        </w:rPr>
        <w:t>2.</w:t>
      </w:r>
      <w:r>
        <w:rPr>
          <w:b/>
        </w:rPr>
        <w:t xml:space="preserve"> </w:t>
      </w:r>
      <w:r>
        <w:rPr>
          <w:rFonts w:hint="eastAsia"/>
          <w:b/>
        </w:rPr>
        <w:t>人均出行次数</w:t>
      </w:r>
    </w:p>
    <w:p>
      <w:pPr>
        <w:spacing w:before="163" w:after="163"/>
        <w:ind w:firstLine="480"/>
        <w:rPr>
          <w:rFonts w:cs="Times New Roman"/>
        </w:rPr>
      </w:pPr>
      <w:r>
        <w:rPr>
          <w:rFonts w:cs="Times New Roman"/>
        </w:rPr>
        <w:t>客运产生量预测的关键是人均日出行次数的确定</w:t>
      </w:r>
      <w:r>
        <w:rPr>
          <w:rFonts w:hint="eastAsia" w:cs="Times New Roman"/>
        </w:rPr>
        <w:t>。</w:t>
      </w:r>
      <w:r>
        <w:rPr>
          <w:rFonts w:cs="Times New Roman"/>
        </w:rPr>
        <w:t>国内外交通理论研究认为</w:t>
      </w:r>
      <w:r>
        <w:rPr>
          <w:rFonts w:hint="eastAsia" w:cs="Times New Roman"/>
        </w:rPr>
        <w:t>，</w:t>
      </w:r>
      <w:r>
        <w:rPr>
          <w:rFonts w:cs="Times New Roman"/>
        </w:rPr>
        <w:t>城市居民人均出行量取决于城市经济水平和居民为出行所支付的费用</w:t>
      </w:r>
      <w:r>
        <w:rPr>
          <w:rFonts w:hint="eastAsia" w:cs="Times New Roman"/>
        </w:rPr>
        <w:t>（如出行时耗、经济支出和体能消耗等）。而随着城市社会经济水平的发展，居民活动频率变高，人均日出行次数也相应的发生变化，综合考虑各种变化趋势，资阳市近中远期的居民日平均出行次数呈增加态势，预测特征年的人均出行次数如下表所示。</w:t>
      </w:r>
    </w:p>
    <w:p>
      <w:pPr>
        <w:pStyle w:val="113"/>
        <w:spacing w:before="163" w:after="163"/>
      </w:pPr>
      <w:r>
        <w:t>表</w:t>
      </w:r>
      <w:r>
        <w:rPr>
          <w:rFonts w:hint="eastAsia"/>
        </w:rPr>
        <w:t xml:space="preserve">3-5  </w:t>
      </w:r>
      <w:r>
        <w:t>资阳市</w:t>
      </w:r>
      <w:r>
        <w:rPr>
          <w:rFonts w:hint="eastAsia"/>
        </w:rPr>
        <w:t>中心城区人均出行次数预测</w:t>
      </w:r>
      <w:r>
        <w:t>表</w:t>
      </w:r>
    </w:p>
    <w:tbl>
      <w:tblPr>
        <w:tblStyle w:val="95"/>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120"/>
        <w:gridCol w:w="2593"/>
        <w:gridCol w:w="2593"/>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120"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规划年限</w:t>
            </w:r>
          </w:p>
        </w:tc>
        <w:tc>
          <w:tcPr>
            <w:tcW w:w="2593"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2020年</w:t>
            </w:r>
          </w:p>
        </w:tc>
        <w:tc>
          <w:tcPr>
            <w:tcW w:w="2593"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2030年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120"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日均出行次数</w:t>
            </w:r>
            <w:r>
              <w:rPr>
                <w:rFonts w:hint="eastAsia" w:ascii="Times New Roman" w:eastAsia="宋体" w:cs="Times New Roman"/>
                <w:kern w:val="2"/>
                <w:sz w:val="21"/>
                <w:szCs w:val="21"/>
              </w:rPr>
              <w:t>（次）</w:t>
            </w:r>
          </w:p>
        </w:tc>
        <w:tc>
          <w:tcPr>
            <w:tcW w:w="2593"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2.4</w:t>
            </w:r>
          </w:p>
        </w:tc>
        <w:tc>
          <w:tcPr>
            <w:tcW w:w="2593"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2.9</w:t>
            </w:r>
          </w:p>
        </w:tc>
      </w:tr>
    </w:tbl>
    <w:p>
      <w:pPr>
        <w:spacing w:before="163" w:after="163"/>
        <w:ind w:firstLine="482"/>
        <w:rPr>
          <w:b/>
        </w:rPr>
      </w:pPr>
      <w:r>
        <w:rPr>
          <w:rFonts w:hint="eastAsia"/>
          <w:b/>
        </w:rPr>
        <w:t>3.</w:t>
      </w:r>
      <w:r>
        <w:rPr>
          <w:b/>
        </w:rPr>
        <w:t xml:space="preserve"> </w:t>
      </w:r>
      <w:r>
        <w:rPr>
          <w:rFonts w:hint="eastAsia"/>
          <w:b/>
        </w:rPr>
        <w:t>出行总量</w:t>
      </w:r>
    </w:p>
    <w:p>
      <w:pPr>
        <w:spacing w:before="163" w:after="163"/>
        <w:ind w:firstLine="480"/>
        <w:rPr>
          <w:rFonts w:cs="Times New Roman"/>
        </w:rPr>
      </w:pPr>
      <w:r>
        <w:rPr>
          <w:rFonts w:cs="Times New Roman"/>
        </w:rPr>
        <w:t>根据各规划年的人口数量及人均出行次数的预测</w:t>
      </w:r>
      <w:r>
        <w:rPr>
          <w:rFonts w:hint="eastAsia" w:cs="Times New Roman"/>
        </w:rPr>
        <w:t>，</w:t>
      </w:r>
      <w:r>
        <w:rPr>
          <w:rFonts w:cs="Times New Roman"/>
        </w:rPr>
        <w:t>可以计算出各小区的客运产生量</w:t>
      </w:r>
      <w:r>
        <w:rPr>
          <w:rFonts w:hint="eastAsia" w:cs="Times New Roman"/>
        </w:rPr>
        <w:t>，</w:t>
      </w:r>
      <w:r>
        <w:rPr>
          <w:rFonts w:cs="Times New Roman"/>
        </w:rPr>
        <w:t>如下表所示</w:t>
      </w:r>
      <w:r>
        <w:rPr>
          <w:rFonts w:hint="eastAsia" w:cs="Times New Roman"/>
        </w:rPr>
        <w:t>。</w:t>
      </w:r>
    </w:p>
    <w:p>
      <w:pPr>
        <w:spacing w:before="163" w:after="163"/>
        <w:ind w:firstLine="0" w:firstLineChars="0"/>
        <w:jc w:val="center"/>
        <w:rPr>
          <w:rFonts w:cs="Times New Roman"/>
        </w:rPr>
      </w:pPr>
      <w:r>
        <w:rPr>
          <w:rFonts w:cs="Times New Roman"/>
        </w:rPr>
        <w:t>出行总量</w:t>
      </w:r>
      <w:r>
        <w:rPr>
          <w:rFonts w:hint="eastAsia" w:cs="Times New Roman"/>
        </w:rPr>
        <w:t>=人口数量</w:t>
      </w:r>
      <w:r>
        <w:rPr>
          <w:rFonts w:cs="Times New Roman"/>
        </w:rPr>
        <w:t>*人均出行次数</w:t>
      </w:r>
    </w:p>
    <w:p>
      <w:pPr>
        <w:pStyle w:val="113"/>
        <w:spacing w:before="163" w:after="163"/>
      </w:pPr>
      <w:r>
        <w:t>表</w:t>
      </w:r>
      <w:r>
        <w:rPr>
          <w:rFonts w:hint="eastAsia"/>
        </w:rPr>
        <w:t xml:space="preserve">3-6  </w:t>
      </w:r>
      <w:r>
        <w:t>资阳市</w:t>
      </w:r>
      <w:r>
        <w:rPr>
          <w:rFonts w:hint="eastAsia"/>
        </w:rPr>
        <w:t>中心城区各小区客运产生量（万人次/日）</w:t>
      </w:r>
    </w:p>
    <w:tbl>
      <w:tblPr>
        <w:tblStyle w:val="95"/>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77"/>
        <w:gridCol w:w="2077"/>
        <w:gridCol w:w="2077"/>
        <w:gridCol w:w="207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序号</w:t>
            </w:r>
          </w:p>
        </w:tc>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片区</w:t>
            </w:r>
          </w:p>
        </w:tc>
        <w:tc>
          <w:tcPr>
            <w:tcW w:w="2077"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2020年</w:t>
            </w:r>
          </w:p>
        </w:tc>
        <w:tc>
          <w:tcPr>
            <w:tcW w:w="2075" w:type="dxa"/>
            <w:tcBorders>
              <w:top w:val="single" w:color="auto" w:sz="12" w:space="0"/>
              <w:bottom w:val="single" w:color="auto" w:sz="12" w:space="0"/>
            </w:tcBorders>
            <w:shd w:val="clear" w:color="auto" w:fill="CCC0D9" w:themeFill="accent4" w:themeFillTint="66"/>
            <w:vAlign w:val="center"/>
          </w:tcPr>
          <w:p>
            <w:pPr>
              <w:pStyle w:val="161"/>
              <w:rPr>
                <w:rFonts w:ascii="Times New Roman" w:eastAsia="宋体" w:cs="Times New Roman"/>
                <w:b/>
                <w:kern w:val="2"/>
                <w:sz w:val="21"/>
                <w:szCs w:val="21"/>
              </w:rPr>
            </w:pPr>
            <w:r>
              <w:rPr>
                <w:rFonts w:ascii="Times New Roman" w:eastAsia="宋体" w:cs="Times New Roman"/>
                <w:b/>
                <w:kern w:val="2"/>
                <w:sz w:val="21"/>
                <w:szCs w:val="21"/>
              </w:rPr>
              <w:t>2030年</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w:t>
            </w:r>
          </w:p>
        </w:tc>
        <w:tc>
          <w:tcPr>
            <w:tcW w:w="2077" w:type="dxa"/>
            <w:tcBorders>
              <w:top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老城片区</w:t>
            </w:r>
          </w:p>
        </w:tc>
        <w:tc>
          <w:tcPr>
            <w:tcW w:w="2077"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12.2</w:t>
            </w:r>
          </w:p>
        </w:tc>
        <w:tc>
          <w:tcPr>
            <w:tcW w:w="2075" w:type="dxa"/>
            <w:tcBorders>
              <w:top w:val="single" w:color="auto" w:sz="12" w:space="0"/>
            </w:tcBorders>
            <w:vAlign w:val="center"/>
          </w:tcPr>
          <w:p>
            <w:pPr>
              <w:pStyle w:val="161"/>
              <w:rPr>
                <w:rFonts w:ascii="Times New Roman" w:eastAsia="宋体" w:cs="Times New Roman"/>
                <w:kern w:val="2"/>
                <w:sz w:val="21"/>
                <w:szCs w:val="21"/>
              </w:rPr>
            </w:pPr>
            <w:r>
              <w:rPr>
                <w:rFonts w:ascii="Times New Roman" w:eastAsia="宋体" w:cs="Times New Roman"/>
                <w:kern w:val="2"/>
                <w:sz w:val="21"/>
                <w:szCs w:val="21"/>
              </w:rPr>
              <w:t>18.9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凤岭片区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3.6</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幸福片区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16.5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25.5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4</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马鞍片区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18.5</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29.7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三贤片区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12.0</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18.9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6</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南市片区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7.6</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17.7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7</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黑水寺片区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1.3</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8</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罗家坝片区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17.9</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27.3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9</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高铁片区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13.1</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w:t>
            </w:r>
            <w:r>
              <w:rPr>
                <w:rFonts w:ascii="Times New Roman" w:eastAsia="宋体" w:cs="Times New Roman"/>
                <w:kern w:val="2"/>
                <w:sz w:val="21"/>
                <w:szCs w:val="21"/>
              </w:rPr>
              <w:t>0</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宝台片区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13.3</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21.4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11</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白沙坝片区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5.4</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23.1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12</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董家坝片区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1.0</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13</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三草湾片区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5.4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14</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雁西湖片区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15</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老鹰片区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12.8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16</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清泉片区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17</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李家坝片区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18</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墨池坝片区</w:t>
            </w:r>
          </w:p>
        </w:tc>
        <w:tc>
          <w:tcPr>
            <w:tcW w:w="2077"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2077" w:type="dxa"/>
            <w:tcBorders>
              <w:bottom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19</w:t>
            </w:r>
          </w:p>
        </w:tc>
        <w:tc>
          <w:tcPr>
            <w:tcW w:w="2077" w:type="dxa"/>
            <w:tcBorders>
              <w:bottom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临江片区</w:t>
            </w:r>
          </w:p>
        </w:tc>
        <w:tc>
          <w:tcPr>
            <w:tcW w:w="2077" w:type="dxa"/>
            <w:tcBorders>
              <w:bottom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w:t>
            </w:r>
          </w:p>
        </w:tc>
        <w:tc>
          <w:tcPr>
            <w:tcW w:w="2075" w:type="dxa"/>
            <w:tcBorders>
              <w:bottom w:val="single" w:color="auto" w:sz="12" w:space="0"/>
            </w:tcBorders>
            <w:vAlign w:val="center"/>
          </w:tcPr>
          <w:p>
            <w:pPr>
              <w:pStyle w:val="161"/>
              <w:rPr>
                <w:rFonts w:ascii="Times New Roman" w:eastAsia="宋体" w:cs="Times New Roman"/>
                <w:kern w:val="2"/>
                <w:sz w:val="21"/>
                <w:szCs w:val="21"/>
              </w:rPr>
            </w:pPr>
            <w:r>
              <w:rPr>
                <w:rFonts w:hint="eastAsia" w:ascii="Times New Roman" w:eastAsia="宋体" w:cs="Times New Roman"/>
                <w:kern w:val="2"/>
                <w:sz w:val="21"/>
                <w:szCs w:val="21"/>
              </w:rPr>
              <w:t>2.7</w:t>
            </w:r>
          </w:p>
        </w:tc>
      </w:tr>
    </w:tbl>
    <w:p>
      <w:pPr>
        <w:pStyle w:val="4"/>
        <w:spacing w:before="163" w:after="163"/>
      </w:pPr>
      <w:bookmarkStart w:id="69" w:name="_Toc518573672"/>
      <w:bookmarkStart w:id="70" w:name="_Toc353059391"/>
      <w:bookmarkStart w:id="71" w:name="_Toc503152822"/>
      <w:r>
        <w:rPr>
          <w:rFonts w:hint="eastAsia"/>
        </w:rPr>
        <w:t>3.3</w:t>
      </w:r>
      <w:r>
        <w:t xml:space="preserve"> </w:t>
      </w:r>
      <w:r>
        <w:rPr>
          <w:rFonts w:hint="eastAsia"/>
        </w:rPr>
        <w:t>公共交通发展需求预测</w:t>
      </w:r>
      <w:bookmarkEnd w:id="69"/>
      <w:bookmarkEnd w:id="70"/>
      <w:bookmarkEnd w:id="71"/>
    </w:p>
    <w:p>
      <w:pPr>
        <w:pStyle w:val="5"/>
        <w:spacing w:before="163" w:after="163"/>
      </w:pPr>
      <w:bookmarkStart w:id="72" w:name="_Toc518573673"/>
      <w:r>
        <w:t xml:space="preserve">3.3.1 </w:t>
      </w:r>
      <w:r>
        <w:rPr>
          <w:rFonts w:hint="eastAsia"/>
        </w:rPr>
        <w:t>预测思路与方法</w:t>
      </w:r>
      <w:bookmarkEnd w:id="72"/>
    </w:p>
    <w:p>
      <w:pPr>
        <w:spacing w:before="163" w:after="163"/>
        <w:ind w:firstLine="482"/>
        <w:rPr>
          <w:b/>
        </w:rPr>
      </w:pPr>
      <w:r>
        <w:rPr>
          <w:rFonts w:hint="eastAsia"/>
          <w:b/>
        </w:rPr>
        <w:t>1.</w:t>
      </w:r>
      <w:r>
        <w:rPr>
          <w:b/>
        </w:rPr>
        <w:t xml:space="preserve"> </w:t>
      </w:r>
      <w:r>
        <w:rPr>
          <w:rFonts w:hint="eastAsia"/>
          <w:b/>
        </w:rPr>
        <w:t>预测思路</w:t>
      </w:r>
    </w:p>
    <w:p>
      <w:pPr>
        <w:spacing w:before="163" w:after="163"/>
        <w:ind w:firstLine="480"/>
        <w:rPr>
          <w:szCs w:val="28"/>
        </w:rPr>
      </w:pPr>
      <w:r>
        <w:rPr>
          <w:rFonts w:hint="eastAsia"/>
          <w:szCs w:val="28"/>
        </w:rPr>
        <w:t>本次规划中公交需求预测以资阳市中心城区现状出行特征为依据，以《资阳市城市总体规划（2017-2035）》为依据，遵循定性分析与定量计算相结合的预测思路，采用基于居民出行划分模型的总量分配法。总量分配法基本思路如图所示。</w:t>
      </w:r>
    </w:p>
    <w:p>
      <w:pPr>
        <w:pStyle w:val="134"/>
        <w:spacing w:before="163"/>
      </w:pPr>
      <w:r>
        <w:drawing>
          <wp:inline distT="0" distB="0" distL="0" distR="0">
            <wp:extent cx="3638550" cy="1725930"/>
            <wp:effectExtent l="0" t="0" r="0" b="7620"/>
            <wp:docPr id="24" name="图片 3" descr="新建 Microsoft Visio 绘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descr="新建 Microsoft Visio 绘图"/>
                    <pic:cNvPicPr>
                      <a:picLocks noChangeAspect="1" noChangeArrowheads="1"/>
                    </pic:cNvPicPr>
                  </pic:nvPicPr>
                  <pic:blipFill>
                    <a:blip r:embed="rId54" cstate="print"/>
                    <a:srcRect/>
                    <a:stretch>
                      <a:fillRect/>
                    </a:stretch>
                  </pic:blipFill>
                  <pic:spPr>
                    <a:xfrm>
                      <a:off x="0" y="0"/>
                      <a:ext cx="3651307" cy="1732508"/>
                    </a:xfrm>
                    <a:prstGeom prst="rect">
                      <a:avLst/>
                    </a:prstGeom>
                    <a:noFill/>
                    <a:ln w="9525">
                      <a:noFill/>
                      <a:miter lim="800000"/>
                      <a:headEnd/>
                      <a:tailEnd/>
                    </a:ln>
                  </pic:spPr>
                </pic:pic>
              </a:graphicData>
            </a:graphic>
          </wp:inline>
        </w:drawing>
      </w:r>
    </w:p>
    <w:p>
      <w:pPr>
        <w:pStyle w:val="117"/>
      </w:pPr>
      <w:r>
        <w:rPr>
          <w:rFonts w:hint="eastAsia"/>
        </w:rPr>
        <w:t>图3-4  总量分配法预测步骤图</w:t>
      </w:r>
    </w:p>
    <w:p>
      <w:pPr>
        <w:spacing w:before="163" w:after="163"/>
        <w:ind w:firstLine="482"/>
        <w:rPr>
          <w:b/>
        </w:rPr>
      </w:pPr>
      <w:r>
        <w:rPr>
          <w:rFonts w:hint="eastAsia"/>
          <w:b/>
        </w:rPr>
        <w:t>2.</w:t>
      </w:r>
      <w:r>
        <w:rPr>
          <w:b/>
        </w:rPr>
        <w:t xml:space="preserve"> </w:t>
      </w:r>
      <w:r>
        <w:rPr>
          <w:rFonts w:hint="eastAsia"/>
          <w:b/>
        </w:rPr>
        <w:t>预测方法</w:t>
      </w:r>
    </w:p>
    <w:p>
      <w:pPr>
        <w:spacing w:before="0"/>
        <w:ind w:firstLine="480"/>
        <w:rPr>
          <w:szCs w:val="28"/>
        </w:rPr>
      </w:pPr>
      <w:r>
        <w:rPr>
          <w:rFonts w:hint="eastAsia"/>
          <w:szCs w:val="28"/>
        </w:rPr>
        <w:t>规划拟采用杨晓光教授《不同城市规模的公共交通出行比例预测方法研究》中提出的公交分担率计算模型。具体模型见下表。</w:t>
      </w:r>
    </w:p>
    <w:p>
      <w:pPr>
        <w:pStyle w:val="113"/>
        <w:spacing w:before="163" w:after="163"/>
      </w:pPr>
      <w:r>
        <w:t>表</w:t>
      </w:r>
      <w:r>
        <w:rPr>
          <w:rFonts w:hint="eastAsia"/>
        </w:rPr>
        <w:t>3-7  不同规模城市公交分担率预测模型一览表</w:t>
      </w:r>
    </w:p>
    <w:tbl>
      <w:tblPr>
        <w:tblStyle w:val="94"/>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5"/>
        <w:gridCol w:w="2126"/>
        <w:gridCol w:w="41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985" w:type="dxa"/>
            <w:tcBorders>
              <w:top w:val="single" w:color="auto" w:sz="12" w:space="0"/>
              <w:left w:val="nil"/>
              <w:bottom w:val="single" w:color="auto" w:sz="12" w:space="0"/>
              <w:right w:val="single" w:color="auto" w:sz="8" w:space="0"/>
            </w:tcBorders>
            <w:shd w:val="clear" w:color="auto" w:fill="CCC0D9" w:themeFill="accent4" w:themeFillTint="66"/>
            <w:vAlign w:val="center"/>
          </w:tcPr>
          <w:p>
            <w:pPr>
              <w:pStyle w:val="151"/>
              <w:rPr>
                <w:b/>
                <w:bCs w:val="0"/>
              </w:rPr>
            </w:pPr>
            <w:r>
              <w:rPr>
                <w:rFonts w:hint="eastAsia"/>
                <w:b/>
                <w:bCs w:val="0"/>
              </w:rPr>
              <w:t>城市等级</w:t>
            </w:r>
          </w:p>
        </w:tc>
        <w:tc>
          <w:tcPr>
            <w:tcW w:w="2126" w:type="dxa"/>
            <w:tcBorders>
              <w:top w:val="single" w:color="auto" w:sz="12" w:space="0"/>
              <w:left w:val="single" w:color="auto" w:sz="8" w:space="0"/>
              <w:bottom w:val="single" w:color="auto" w:sz="12" w:space="0"/>
              <w:right w:val="single" w:color="auto" w:sz="8" w:space="0"/>
            </w:tcBorders>
            <w:shd w:val="clear" w:color="auto" w:fill="CCC0D9" w:themeFill="accent4" w:themeFillTint="66"/>
            <w:vAlign w:val="center"/>
          </w:tcPr>
          <w:p>
            <w:pPr>
              <w:pStyle w:val="151"/>
              <w:rPr>
                <w:b/>
                <w:bCs w:val="0"/>
              </w:rPr>
            </w:pPr>
            <w:r>
              <w:rPr>
                <w:rFonts w:hint="eastAsia"/>
                <w:b/>
                <w:bCs w:val="0"/>
              </w:rPr>
              <w:t>人口规模（万人）</w:t>
            </w:r>
          </w:p>
        </w:tc>
        <w:tc>
          <w:tcPr>
            <w:tcW w:w="4195" w:type="dxa"/>
            <w:tcBorders>
              <w:top w:val="single" w:color="auto" w:sz="12" w:space="0"/>
              <w:left w:val="single" w:color="auto" w:sz="8" w:space="0"/>
              <w:bottom w:val="single" w:color="auto" w:sz="12" w:space="0"/>
              <w:right w:val="nil"/>
            </w:tcBorders>
            <w:shd w:val="clear" w:color="auto" w:fill="CCC0D9" w:themeFill="accent4" w:themeFillTint="66"/>
            <w:vAlign w:val="center"/>
          </w:tcPr>
          <w:p>
            <w:pPr>
              <w:pStyle w:val="151"/>
              <w:ind w:firstLine="482"/>
              <w:rPr>
                <w:b/>
                <w:bCs w:val="0"/>
              </w:rPr>
            </w:pPr>
            <w:r>
              <w:rPr>
                <w:rFonts w:hint="eastAsia"/>
                <w:b/>
                <w:bCs w:val="0"/>
              </w:rPr>
              <w:t>预测模型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49" w:hRule="atLeast"/>
        </w:trPr>
        <w:tc>
          <w:tcPr>
            <w:tcW w:w="1985" w:type="dxa"/>
            <w:tcBorders>
              <w:top w:val="single" w:color="auto" w:sz="12" w:space="0"/>
              <w:left w:val="nil"/>
              <w:bottom w:val="single" w:color="auto" w:sz="8" w:space="0"/>
              <w:right w:val="single" w:color="auto" w:sz="8" w:space="0"/>
            </w:tcBorders>
            <w:vAlign w:val="center"/>
          </w:tcPr>
          <w:p>
            <w:pPr>
              <w:pStyle w:val="151"/>
              <w:spacing w:before="0" w:line="240" w:lineRule="auto"/>
              <w:rPr>
                <w:bCs w:val="0"/>
              </w:rPr>
            </w:pPr>
            <w:r>
              <w:rPr>
                <w:rFonts w:hint="eastAsia"/>
                <w:bCs w:val="0"/>
              </w:rPr>
              <w:t>特大城市</w:t>
            </w:r>
          </w:p>
        </w:tc>
        <w:tc>
          <w:tcPr>
            <w:tcW w:w="2126" w:type="dxa"/>
            <w:tcBorders>
              <w:top w:val="single" w:color="auto" w:sz="12" w:space="0"/>
              <w:left w:val="single" w:color="auto" w:sz="8" w:space="0"/>
              <w:bottom w:val="single" w:color="auto" w:sz="8" w:space="0"/>
              <w:right w:val="single" w:color="auto" w:sz="8" w:space="0"/>
            </w:tcBorders>
            <w:vAlign w:val="center"/>
          </w:tcPr>
          <w:p>
            <w:pPr>
              <w:pStyle w:val="151"/>
              <w:spacing w:before="0" w:line="240" w:lineRule="auto"/>
              <w:ind w:firstLine="600" w:firstLineChars="286"/>
              <w:jc w:val="both"/>
              <w:rPr>
                <w:bCs w:val="0"/>
              </w:rPr>
            </w:pPr>
            <w:r>
              <w:rPr>
                <w:rFonts w:hint="eastAsia"/>
                <w:bCs w:val="0"/>
              </w:rPr>
              <w:t>&gt;100</w:t>
            </w:r>
          </w:p>
        </w:tc>
        <w:tc>
          <w:tcPr>
            <w:tcW w:w="4195" w:type="dxa"/>
            <w:tcBorders>
              <w:top w:val="single" w:color="auto" w:sz="12" w:space="0"/>
              <w:left w:val="single" w:color="auto" w:sz="8" w:space="0"/>
              <w:bottom w:val="single" w:color="auto" w:sz="8" w:space="0"/>
              <w:right w:val="nil"/>
            </w:tcBorders>
            <w:vAlign w:val="center"/>
          </w:tcPr>
          <w:p>
            <w:pPr>
              <w:pStyle w:val="151"/>
              <w:spacing w:before="0" w:line="240" w:lineRule="auto"/>
              <w:ind w:firstLine="480"/>
              <w:jc w:val="both"/>
              <w:rPr>
                <w:bCs w:val="0"/>
              </w:rPr>
            </w:pPr>
            <w:r>
              <w:rPr>
                <w:bCs w:val="0"/>
              </w:rPr>
              <w:object>
                <v:shape id="_x0000_i1025" o:spt="75" type="#_x0000_t75" style="height:14pt;width:100pt;" o:ole="t" filled="f" o:preferrelative="t" stroked="f" coordsize="21600,21600">
                  <v:path/>
                  <v:fill on="f" focussize="0,0"/>
                  <v:stroke on="f" joinstyle="miter"/>
                  <v:imagedata r:id="rId56" o:title=""/>
                  <o:lock v:ext="edit" aspectratio="t"/>
                  <w10:wrap type="none"/>
                  <w10:anchorlock/>
                </v:shape>
                <o:OLEObject Type="Embed" ProgID="Equation.DSMT4" ShapeID="_x0000_i1025" DrawAspect="Content" ObjectID="_1468075725" r:id="rId5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7" w:hRule="atLeast"/>
        </w:trPr>
        <w:tc>
          <w:tcPr>
            <w:tcW w:w="1985" w:type="dxa"/>
            <w:tcBorders>
              <w:top w:val="single" w:color="auto" w:sz="8" w:space="0"/>
              <w:left w:val="nil"/>
              <w:bottom w:val="single" w:color="auto" w:sz="8" w:space="0"/>
              <w:right w:val="single" w:color="auto" w:sz="8" w:space="0"/>
            </w:tcBorders>
            <w:vAlign w:val="center"/>
          </w:tcPr>
          <w:p>
            <w:pPr>
              <w:pStyle w:val="151"/>
              <w:spacing w:before="0" w:line="240" w:lineRule="auto"/>
              <w:rPr>
                <w:bCs w:val="0"/>
              </w:rPr>
            </w:pPr>
            <w:r>
              <w:rPr>
                <w:rFonts w:hint="eastAsia"/>
                <w:bCs w:val="0"/>
              </w:rPr>
              <w:t>大型城市</w:t>
            </w:r>
          </w:p>
        </w:tc>
        <w:tc>
          <w:tcPr>
            <w:tcW w:w="2126" w:type="dxa"/>
            <w:tcBorders>
              <w:top w:val="single" w:color="auto" w:sz="8" w:space="0"/>
              <w:left w:val="single" w:color="auto" w:sz="8" w:space="0"/>
              <w:bottom w:val="single" w:color="auto" w:sz="8" w:space="0"/>
              <w:right w:val="single" w:color="auto" w:sz="8" w:space="0"/>
            </w:tcBorders>
            <w:vAlign w:val="center"/>
          </w:tcPr>
          <w:p>
            <w:pPr>
              <w:pStyle w:val="151"/>
              <w:spacing w:before="0" w:line="240" w:lineRule="auto"/>
              <w:ind w:firstLine="600" w:firstLineChars="286"/>
              <w:jc w:val="both"/>
              <w:rPr>
                <w:bCs w:val="0"/>
              </w:rPr>
            </w:pPr>
            <w:r>
              <w:rPr>
                <w:rFonts w:hint="eastAsia"/>
                <w:bCs w:val="0"/>
              </w:rPr>
              <w:t>50-100</w:t>
            </w:r>
          </w:p>
        </w:tc>
        <w:tc>
          <w:tcPr>
            <w:tcW w:w="4195" w:type="dxa"/>
            <w:tcBorders>
              <w:top w:val="single" w:color="auto" w:sz="8" w:space="0"/>
              <w:left w:val="single" w:color="auto" w:sz="8" w:space="0"/>
              <w:bottom w:val="single" w:color="auto" w:sz="8" w:space="0"/>
              <w:right w:val="nil"/>
            </w:tcBorders>
            <w:vAlign w:val="center"/>
          </w:tcPr>
          <w:p>
            <w:pPr>
              <w:pStyle w:val="151"/>
              <w:spacing w:before="0" w:line="240" w:lineRule="auto"/>
              <w:ind w:firstLine="480"/>
              <w:jc w:val="both"/>
              <w:rPr>
                <w:bCs w:val="0"/>
              </w:rPr>
            </w:pPr>
            <w:r>
              <w:rPr>
                <w:bCs w:val="0"/>
              </w:rPr>
              <w:object>
                <v:shape id="_x0000_i1026" o:spt="75" type="#_x0000_t75" style="height:22pt;width:86pt;" o:ole="t" filled="f" o:preferrelative="t" stroked="f" coordsize="21600,21600">
                  <v:path/>
                  <v:fill on="f" focussize="0,0"/>
                  <v:stroke on="f" joinstyle="miter"/>
                  <v:imagedata r:id="rId58" o:title=""/>
                  <o:lock v:ext="edit" aspectratio="t"/>
                  <w10:wrap type="none"/>
                  <w10:anchorlock/>
                </v:shape>
                <o:OLEObject Type="Embed" ProgID="Equation.DSMT4" ShapeID="_x0000_i1026" DrawAspect="Content" ObjectID="_1468075726" r:id="rId57">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1985" w:type="dxa"/>
            <w:tcBorders>
              <w:top w:val="single" w:color="auto" w:sz="8" w:space="0"/>
              <w:left w:val="nil"/>
              <w:bottom w:val="single" w:color="auto" w:sz="8" w:space="0"/>
              <w:right w:val="single" w:color="auto" w:sz="8" w:space="0"/>
            </w:tcBorders>
            <w:vAlign w:val="center"/>
          </w:tcPr>
          <w:p>
            <w:pPr>
              <w:pStyle w:val="151"/>
              <w:spacing w:before="0" w:line="240" w:lineRule="auto"/>
              <w:rPr>
                <w:bCs w:val="0"/>
              </w:rPr>
            </w:pPr>
            <w:r>
              <w:rPr>
                <w:rFonts w:hint="eastAsia"/>
                <w:bCs w:val="0"/>
              </w:rPr>
              <w:t>中等城市</w:t>
            </w:r>
          </w:p>
        </w:tc>
        <w:tc>
          <w:tcPr>
            <w:tcW w:w="2126" w:type="dxa"/>
            <w:tcBorders>
              <w:top w:val="single" w:color="auto" w:sz="8" w:space="0"/>
              <w:left w:val="single" w:color="auto" w:sz="8" w:space="0"/>
              <w:bottom w:val="single" w:color="auto" w:sz="8" w:space="0"/>
              <w:right w:val="single" w:color="auto" w:sz="8" w:space="0"/>
            </w:tcBorders>
            <w:vAlign w:val="center"/>
          </w:tcPr>
          <w:p>
            <w:pPr>
              <w:pStyle w:val="151"/>
              <w:spacing w:before="0" w:line="240" w:lineRule="auto"/>
              <w:ind w:firstLine="600" w:firstLineChars="286"/>
              <w:jc w:val="both"/>
              <w:rPr>
                <w:bCs w:val="0"/>
              </w:rPr>
            </w:pPr>
            <w:r>
              <w:rPr>
                <w:rFonts w:hint="eastAsia"/>
                <w:bCs w:val="0"/>
              </w:rPr>
              <w:t>20-50</w:t>
            </w:r>
          </w:p>
        </w:tc>
        <w:tc>
          <w:tcPr>
            <w:tcW w:w="4195" w:type="dxa"/>
            <w:tcBorders>
              <w:top w:val="single" w:color="auto" w:sz="8" w:space="0"/>
              <w:left w:val="single" w:color="auto" w:sz="8" w:space="0"/>
              <w:bottom w:val="single" w:color="auto" w:sz="8" w:space="0"/>
              <w:right w:val="nil"/>
            </w:tcBorders>
            <w:vAlign w:val="center"/>
          </w:tcPr>
          <w:p>
            <w:pPr>
              <w:pStyle w:val="151"/>
              <w:spacing w:before="0" w:line="240" w:lineRule="auto"/>
              <w:ind w:firstLine="480"/>
              <w:jc w:val="both"/>
              <w:rPr>
                <w:bCs w:val="0"/>
              </w:rPr>
            </w:pPr>
            <w:r>
              <w:rPr>
                <w:bCs w:val="0"/>
              </w:rPr>
              <w:object>
                <v:shape id="_x0000_i1027" o:spt="75" type="#_x0000_t75" style="height:22pt;width:86pt;" o:ole="t" filled="f" o:preferrelative="t" stroked="f" coordsize="21600,21600">
                  <v:path/>
                  <v:fill on="f" focussize="0,0"/>
                  <v:stroke on="f" joinstyle="miter"/>
                  <v:imagedata r:id="rId60" o:title=""/>
                  <o:lock v:ext="edit" aspectratio="t"/>
                  <w10:wrap type="none"/>
                  <w10:anchorlock/>
                </v:shape>
                <o:OLEObject Type="Embed" ProgID="Equation.DSMT4" ShapeID="_x0000_i1027" DrawAspect="Content" ObjectID="_1468075727" r:id="rId59">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27" w:hRule="atLeast"/>
        </w:trPr>
        <w:tc>
          <w:tcPr>
            <w:tcW w:w="1985" w:type="dxa"/>
            <w:tcBorders>
              <w:top w:val="single" w:color="auto" w:sz="8" w:space="0"/>
              <w:left w:val="nil"/>
              <w:bottom w:val="single" w:color="auto" w:sz="12" w:space="0"/>
              <w:right w:val="single" w:color="auto" w:sz="8" w:space="0"/>
            </w:tcBorders>
            <w:vAlign w:val="center"/>
          </w:tcPr>
          <w:p>
            <w:pPr>
              <w:pStyle w:val="151"/>
              <w:spacing w:before="0" w:line="240" w:lineRule="auto"/>
              <w:rPr>
                <w:bCs w:val="0"/>
              </w:rPr>
            </w:pPr>
            <w:r>
              <w:rPr>
                <w:rFonts w:hint="eastAsia"/>
                <w:bCs w:val="0"/>
              </w:rPr>
              <w:t>小型城市</w:t>
            </w:r>
          </w:p>
        </w:tc>
        <w:tc>
          <w:tcPr>
            <w:tcW w:w="2126" w:type="dxa"/>
            <w:tcBorders>
              <w:top w:val="single" w:color="auto" w:sz="8" w:space="0"/>
              <w:left w:val="single" w:color="auto" w:sz="8" w:space="0"/>
              <w:bottom w:val="single" w:color="auto" w:sz="12" w:space="0"/>
              <w:right w:val="single" w:color="auto" w:sz="8" w:space="0"/>
            </w:tcBorders>
            <w:vAlign w:val="center"/>
          </w:tcPr>
          <w:p>
            <w:pPr>
              <w:pStyle w:val="151"/>
              <w:spacing w:before="0" w:line="240" w:lineRule="auto"/>
              <w:ind w:firstLine="600" w:firstLineChars="286"/>
              <w:jc w:val="both"/>
              <w:rPr>
                <w:bCs w:val="0"/>
              </w:rPr>
            </w:pPr>
            <w:r>
              <w:rPr>
                <w:rFonts w:hint="eastAsia"/>
                <w:bCs w:val="0"/>
              </w:rPr>
              <w:t>&lt;20</w:t>
            </w:r>
          </w:p>
        </w:tc>
        <w:tc>
          <w:tcPr>
            <w:tcW w:w="4195" w:type="dxa"/>
            <w:tcBorders>
              <w:top w:val="single" w:color="auto" w:sz="8" w:space="0"/>
              <w:left w:val="single" w:color="auto" w:sz="8" w:space="0"/>
              <w:bottom w:val="single" w:color="auto" w:sz="12" w:space="0"/>
              <w:right w:val="nil"/>
            </w:tcBorders>
            <w:vAlign w:val="center"/>
          </w:tcPr>
          <w:p>
            <w:pPr>
              <w:pStyle w:val="151"/>
              <w:spacing w:before="0" w:line="240" w:lineRule="auto"/>
              <w:ind w:firstLine="480"/>
              <w:jc w:val="both"/>
              <w:rPr>
                <w:bCs w:val="0"/>
              </w:rPr>
            </w:pPr>
            <w:r>
              <w:rPr>
                <w:bCs w:val="0"/>
              </w:rPr>
              <w:object>
                <v:shape id="_x0000_i1028" o:spt="75" type="#_x0000_t75" style="height:14pt;width:100pt;" o:ole="t" filled="f" o:preferrelative="t" stroked="f" coordsize="21600,21600">
                  <v:path/>
                  <v:fill on="f" focussize="0,0"/>
                  <v:stroke on="f" joinstyle="miter"/>
                  <v:imagedata r:id="rId62" o:title=""/>
                  <o:lock v:ext="edit" aspectratio="t"/>
                  <w10:wrap type="none"/>
                  <w10:anchorlock/>
                </v:shape>
                <o:OLEObject Type="Embed" ProgID="Equation.DSMT4" ShapeID="_x0000_i1028" DrawAspect="Content" ObjectID="_1468075728" r:id="rId61">
                  <o:LockedField>false</o:LockedField>
                </o:OLEObject>
              </w:object>
            </w:r>
          </w:p>
        </w:tc>
      </w:tr>
    </w:tbl>
    <w:p>
      <w:pPr>
        <w:ind w:firstLine="424" w:firstLineChars="177"/>
      </w:pPr>
      <w:r>
        <w:rPr>
          <w:rFonts w:hint="eastAsia"/>
        </w:rPr>
        <w:t>注：上述模型中</w:t>
      </w:r>
      <w:r>
        <w:rPr>
          <w:position w:val="-10"/>
        </w:rPr>
        <w:object>
          <v:shape id="_x0000_i1029" o:spt="75" type="#_x0000_t75" style="height:14pt;width:7.35pt;" o:ole="t" filled="f" o:preferrelative="t" stroked="f" coordsize="21600,21600">
            <v:path/>
            <v:fill on="f" focussize="0,0"/>
            <v:stroke on="f" joinstyle="miter"/>
            <v:imagedata r:id="rId64" o:title=""/>
            <o:lock v:ext="edit" aspectratio="t"/>
            <w10:wrap type="none"/>
            <w10:anchorlock/>
          </v:shape>
          <o:OLEObject Type="Embed" ProgID="Equation.DSMT4" ShapeID="_x0000_i1029" DrawAspect="Content" ObjectID="_1468075729" r:id="rId63">
            <o:LockedField>false</o:LockedField>
          </o:OLEObject>
        </w:object>
      </w:r>
      <w:r>
        <w:rPr>
          <w:rFonts w:hint="eastAsia"/>
        </w:rPr>
        <w:t>表示公交分担率，</w:t>
      </w:r>
      <w:r>
        <w:rPr>
          <w:position w:val="-6"/>
        </w:rPr>
        <w:object>
          <v:shape id="_x0000_i1030" o:spt="75" type="#_x0000_t75" style="height:7.35pt;width:7.35pt;" o:ole="t" filled="f" o:preferrelative="t" stroked="f" coordsize="21600,21600">
            <v:path/>
            <v:fill on="f" focussize="0,0"/>
            <v:stroke on="f" joinstyle="miter"/>
            <v:imagedata r:id="rId66" o:title=""/>
            <o:lock v:ext="edit" aspectratio="t"/>
            <w10:wrap type="none"/>
            <w10:anchorlock/>
          </v:shape>
          <o:OLEObject Type="Embed" ProgID="Equation.DSMT4" ShapeID="_x0000_i1030" DrawAspect="Content" ObjectID="_1468075730" r:id="rId65">
            <o:LockedField>false</o:LockedField>
          </o:OLEObject>
        </w:object>
      </w:r>
      <w:r>
        <w:rPr>
          <w:rFonts w:hint="eastAsia"/>
        </w:rPr>
        <w:t>表示城市人口规模，单位万人</w:t>
      </w:r>
    </w:p>
    <w:p>
      <w:pPr>
        <w:pStyle w:val="5"/>
        <w:spacing w:before="163" w:after="163"/>
      </w:pPr>
      <w:bookmarkStart w:id="73" w:name="_Toc518573674"/>
      <w:r>
        <w:t xml:space="preserve">3.3.2 </w:t>
      </w:r>
      <w:r>
        <w:rPr>
          <w:rFonts w:hint="eastAsia"/>
        </w:rPr>
        <w:t>公交需求预测结果</w:t>
      </w:r>
      <w:bookmarkEnd w:id="73"/>
    </w:p>
    <w:p>
      <w:pPr>
        <w:widowControl w:val="0"/>
        <w:adjustRightInd/>
        <w:snapToGrid/>
        <w:spacing w:before="0" w:after="0"/>
        <w:ind w:firstLine="480"/>
        <w:rPr>
          <w:rFonts w:cs="Times New Roman"/>
          <w:kern w:val="2"/>
          <w:szCs w:val="21"/>
        </w:rPr>
      </w:pPr>
      <w:r>
        <w:rPr>
          <w:rFonts w:hint="eastAsia" w:cs="Times New Roman"/>
          <w:kern w:val="2"/>
          <w:szCs w:val="21"/>
        </w:rPr>
        <w:t>根据《资阳市城市总体规划（2017-2035）》，资阳市中心城区20</w:t>
      </w:r>
      <w:r>
        <w:rPr>
          <w:rFonts w:cs="Times New Roman"/>
          <w:kern w:val="2"/>
          <w:szCs w:val="21"/>
        </w:rPr>
        <w:t>20</w:t>
      </w:r>
      <w:r>
        <w:rPr>
          <w:rFonts w:hint="eastAsia" w:cs="Times New Roman"/>
          <w:kern w:val="2"/>
          <w:szCs w:val="21"/>
        </w:rPr>
        <w:t>年、2030年人口分别是</w:t>
      </w:r>
      <w:r>
        <w:rPr>
          <w:rFonts w:cs="Times New Roman"/>
          <w:kern w:val="2"/>
          <w:szCs w:val="21"/>
        </w:rPr>
        <w:t>51</w:t>
      </w:r>
      <w:r>
        <w:rPr>
          <w:rFonts w:hint="eastAsia" w:cs="Times New Roman"/>
          <w:kern w:val="2"/>
          <w:szCs w:val="21"/>
        </w:rPr>
        <w:t>万、87万。根据不同规划期人口规模选取对应预测模型，为保证预测准确性，本规划对同一规划期接近临界值的采用两种模型预测，然后取加权平均值为最终预测结果，具体结果见表</w:t>
      </w:r>
      <w:r>
        <w:rPr>
          <w:rFonts w:cs="Times New Roman"/>
          <w:kern w:val="2"/>
          <w:szCs w:val="21"/>
        </w:rPr>
        <w:t>3-8</w:t>
      </w:r>
      <w:r>
        <w:rPr>
          <w:rFonts w:hint="eastAsia" w:cs="Times New Roman"/>
          <w:kern w:val="2"/>
          <w:szCs w:val="21"/>
        </w:rPr>
        <w:t>。</w:t>
      </w:r>
    </w:p>
    <w:p>
      <w:pPr>
        <w:pStyle w:val="113"/>
        <w:spacing w:before="163" w:after="163"/>
      </w:pPr>
      <w:r>
        <w:t>表</w:t>
      </w:r>
      <w:r>
        <w:rPr>
          <w:rFonts w:hint="eastAsia"/>
        </w:rPr>
        <w:t>3-8  不同规模城市公交分担率预测模型一览表</w:t>
      </w:r>
    </w:p>
    <w:tbl>
      <w:tblPr>
        <w:tblStyle w:val="94"/>
        <w:tblW w:w="83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99"/>
        <w:gridCol w:w="2557"/>
        <w:gridCol w:w="25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3199" w:type="dxa"/>
            <w:tcBorders>
              <w:top w:val="single" w:color="auto" w:sz="12" w:space="0"/>
              <w:left w:val="nil"/>
              <w:bottom w:val="single" w:color="auto" w:sz="12" w:space="0"/>
              <w:tl2br w:val="single" w:color="auto" w:sz="4" w:space="0"/>
            </w:tcBorders>
            <w:shd w:val="clear" w:color="auto" w:fill="CCC0D9" w:themeFill="accent4" w:themeFillTint="66"/>
            <w:vAlign w:val="center"/>
          </w:tcPr>
          <w:p>
            <w:pPr>
              <w:widowControl w:val="0"/>
              <w:adjustRightInd/>
              <w:snapToGrid/>
              <w:spacing w:before="0" w:after="0" w:line="240" w:lineRule="auto"/>
              <w:ind w:firstLine="482" w:firstLineChars="0"/>
              <w:jc w:val="center"/>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 xml:space="preserve">          年 份</w:t>
            </w:r>
          </w:p>
          <w:p>
            <w:pPr>
              <w:widowControl w:val="0"/>
              <w:adjustRightInd/>
              <w:snapToGrid/>
              <w:spacing w:before="0" w:after="0" w:line="240" w:lineRule="auto"/>
              <w:ind w:firstLine="103" w:firstLineChars="49"/>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指 标</w:t>
            </w:r>
          </w:p>
        </w:tc>
        <w:tc>
          <w:tcPr>
            <w:tcW w:w="2557" w:type="dxa"/>
            <w:tcBorders>
              <w:top w:val="single" w:color="auto" w:sz="12" w:space="0"/>
              <w:bottom w:val="single" w:color="auto" w:sz="12" w:space="0"/>
              <w:right w:val="single" w:color="auto" w:sz="8"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cs="Times New Roman"/>
                <w:b/>
                <w:bCs/>
                <w:snapToGrid w:val="0"/>
                <w:kern w:val="2"/>
                <w:sz w:val="21"/>
                <w:szCs w:val="21"/>
              </w:rPr>
              <w:t>2020年</w:t>
            </w:r>
          </w:p>
        </w:tc>
        <w:tc>
          <w:tcPr>
            <w:tcW w:w="2550" w:type="dxa"/>
            <w:tcBorders>
              <w:top w:val="single" w:color="auto" w:sz="12" w:space="0"/>
              <w:left w:val="single" w:color="auto" w:sz="8" w:space="0"/>
              <w:bottom w:val="single" w:color="auto" w:sz="12" w:space="0"/>
              <w:right w:val="nil"/>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cs="Times New Roman"/>
                <w:b/>
                <w:bCs/>
                <w:snapToGrid w:val="0"/>
                <w:kern w:val="2"/>
                <w:sz w:val="21"/>
                <w:szCs w:val="21"/>
              </w:rPr>
              <w:t>2030年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3199" w:type="dxa"/>
            <w:tcBorders>
              <w:top w:val="single" w:color="auto" w:sz="12"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人口（万人）</w:t>
            </w:r>
          </w:p>
        </w:tc>
        <w:tc>
          <w:tcPr>
            <w:tcW w:w="2557" w:type="dxa"/>
            <w:tcBorders>
              <w:top w:val="single" w:color="auto" w:sz="12"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51</w:t>
            </w:r>
          </w:p>
        </w:tc>
        <w:tc>
          <w:tcPr>
            <w:tcW w:w="2550" w:type="dxa"/>
            <w:tcBorders>
              <w:top w:val="single" w:color="auto" w:sz="12"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sz w:val="21"/>
                <w:szCs w:val="21"/>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trPr>
        <w:tc>
          <w:tcPr>
            <w:tcW w:w="3199" w:type="dxa"/>
            <w:tcBorders>
              <w:top w:val="single" w:color="auto" w:sz="8" w:space="0"/>
              <w:left w:val="nil"/>
              <w:bottom w:val="single" w:color="auto"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分担率</w:t>
            </w:r>
            <w:r>
              <w:rPr>
                <w:rFonts w:cs="Times New Roman"/>
                <w:bCs/>
                <w:snapToGrid w:val="0"/>
                <w:kern w:val="2"/>
                <w:sz w:val="21"/>
                <w:szCs w:val="21"/>
              </w:rPr>
              <w:t>（%</w:t>
            </w:r>
            <w:r>
              <w:rPr>
                <w:rFonts w:hint="eastAsia" w:ascii="宋体" w:hAnsi="宋体" w:cs="宋体"/>
                <w:bCs/>
                <w:snapToGrid w:val="0"/>
                <w:kern w:val="2"/>
                <w:sz w:val="21"/>
                <w:szCs w:val="21"/>
              </w:rPr>
              <w:t>）</w:t>
            </w:r>
          </w:p>
        </w:tc>
        <w:tc>
          <w:tcPr>
            <w:tcW w:w="2557" w:type="dxa"/>
            <w:tcBorders>
              <w:top w:val="single" w:color="auto" w:sz="8" w:space="0"/>
              <w:left w:val="single" w:color="auto" w:sz="8" w:space="0"/>
              <w:bottom w:val="single" w:color="auto"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23</w:t>
            </w:r>
          </w:p>
        </w:tc>
        <w:tc>
          <w:tcPr>
            <w:tcW w:w="2550" w:type="dxa"/>
            <w:tcBorders>
              <w:top w:val="single" w:color="auto" w:sz="8" w:space="0"/>
              <w:left w:val="single" w:color="auto" w:sz="8" w:space="0"/>
              <w:bottom w:val="single" w:color="auto" w:sz="12"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sz w:val="21"/>
                <w:szCs w:val="21"/>
              </w:rPr>
            </w:pPr>
            <w:r>
              <w:rPr>
                <w:rFonts w:cs="Times New Roman"/>
                <w:bCs/>
                <w:snapToGrid w:val="0"/>
                <w:sz w:val="21"/>
                <w:szCs w:val="21"/>
              </w:rPr>
              <w:t>35</w:t>
            </w:r>
          </w:p>
        </w:tc>
      </w:tr>
    </w:tbl>
    <w:p>
      <w:pPr>
        <w:spacing w:before="163" w:after="163"/>
        <w:ind w:firstLine="480"/>
        <w:rPr>
          <w:rFonts w:cs="Times New Roman"/>
        </w:rPr>
      </w:pPr>
      <w:r>
        <w:rPr>
          <w:rFonts w:hint="eastAsia" w:cs="Times New Roman"/>
        </w:rPr>
        <w:t>结合前面对资阳市中心城区综合交通需求结果以及公交分担率预测结果，即可得到资阳市中心城区公交需求预测结果，具体结果见表3-9。</w:t>
      </w:r>
    </w:p>
    <w:p>
      <w:pPr>
        <w:pStyle w:val="113"/>
        <w:spacing w:before="163" w:after="163"/>
      </w:pPr>
      <w:r>
        <w:t>表</w:t>
      </w:r>
      <w:r>
        <w:rPr>
          <w:rFonts w:hint="eastAsia"/>
        </w:rPr>
        <w:t>3-9  资阳市中心城区公交需求预测表</w:t>
      </w:r>
    </w:p>
    <w:tbl>
      <w:tblPr>
        <w:tblStyle w:val="94"/>
        <w:tblW w:w="83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61"/>
        <w:gridCol w:w="2296"/>
        <w:gridCol w:w="194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061" w:type="dxa"/>
            <w:tcBorders>
              <w:top w:val="single" w:color="auto" w:sz="12" w:space="0"/>
              <w:left w:val="nil"/>
              <w:bottom w:val="single" w:color="auto" w:sz="12" w:space="0"/>
              <w:tl2br w:val="single" w:color="auto" w:sz="4" w:space="0"/>
            </w:tcBorders>
            <w:shd w:val="clear" w:color="auto" w:fill="CCC0D9" w:themeFill="accent4" w:themeFillTint="66"/>
          </w:tcPr>
          <w:p>
            <w:pPr>
              <w:widowControl w:val="0"/>
              <w:adjustRightInd/>
              <w:snapToGrid/>
              <w:spacing w:before="0" w:after="0" w:line="240" w:lineRule="auto"/>
              <w:ind w:firstLine="482" w:firstLineChars="0"/>
              <w:jc w:val="center"/>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 xml:space="preserve">        年 份</w:t>
            </w:r>
          </w:p>
          <w:p>
            <w:pPr>
              <w:widowControl w:val="0"/>
              <w:adjustRightInd/>
              <w:snapToGrid/>
              <w:spacing w:before="0" w:after="0" w:line="240" w:lineRule="auto"/>
              <w:ind w:firstLine="207" w:firstLineChars="98"/>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指 标</w:t>
            </w:r>
          </w:p>
        </w:tc>
        <w:tc>
          <w:tcPr>
            <w:tcW w:w="2296" w:type="dxa"/>
            <w:tcBorders>
              <w:top w:val="single" w:color="auto" w:sz="12" w:space="0"/>
              <w:bottom w:val="single" w:color="auto" w:sz="12" w:space="0"/>
              <w:right w:val="single" w:color="auto" w:sz="8"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cs="Times New Roman"/>
                <w:b/>
                <w:bCs/>
                <w:snapToGrid w:val="0"/>
                <w:kern w:val="2"/>
                <w:sz w:val="21"/>
                <w:szCs w:val="21"/>
              </w:rPr>
              <w:t>2020年</w:t>
            </w:r>
          </w:p>
        </w:tc>
        <w:tc>
          <w:tcPr>
            <w:tcW w:w="1949" w:type="dxa"/>
            <w:tcBorders>
              <w:top w:val="single" w:color="auto" w:sz="12" w:space="0"/>
              <w:left w:val="single" w:color="auto" w:sz="8" w:space="0"/>
              <w:bottom w:val="single" w:color="auto" w:sz="12" w:space="0"/>
              <w:right w:val="nil"/>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cs="Times New Roman"/>
                <w:b/>
                <w:bCs/>
                <w:snapToGrid w:val="0"/>
                <w:kern w:val="2"/>
                <w:sz w:val="21"/>
                <w:szCs w:val="21"/>
              </w:rPr>
              <w:t>2030年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061" w:type="dxa"/>
            <w:tcBorders>
              <w:top w:val="single" w:color="auto" w:sz="12"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人口（万人）</w:t>
            </w:r>
          </w:p>
        </w:tc>
        <w:tc>
          <w:tcPr>
            <w:tcW w:w="2296" w:type="dxa"/>
            <w:tcBorders>
              <w:top w:val="single" w:color="auto" w:sz="12"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51</w:t>
            </w:r>
          </w:p>
        </w:tc>
        <w:tc>
          <w:tcPr>
            <w:tcW w:w="1949" w:type="dxa"/>
            <w:tcBorders>
              <w:top w:val="single" w:color="auto" w:sz="12"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061" w:type="dxa"/>
            <w:tcBorders>
              <w:top w:val="single" w:color="auto" w:sz="8"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综合交通需求（万人次/日）</w:t>
            </w:r>
          </w:p>
        </w:tc>
        <w:tc>
          <w:tcPr>
            <w:tcW w:w="2296" w:type="dxa"/>
            <w:tcBorders>
              <w:top w:val="single" w:color="auto" w:sz="8"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122.4</w:t>
            </w:r>
          </w:p>
        </w:tc>
        <w:tc>
          <w:tcPr>
            <w:tcW w:w="1949" w:type="dxa"/>
            <w:tcBorders>
              <w:top w:val="single" w:color="auto" w:sz="8"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252.3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061" w:type="dxa"/>
            <w:tcBorders>
              <w:top w:val="single" w:color="auto" w:sz="8"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公交分担率（</w:t>
            </w:r>
            <w:r>
              <w:rPr>
                <w:rFonts w:cs="Times New Roman"/>
                <w:bCs/>
                <w:snapToGrid w:val="0"/>
                <w:kern w:val="2"/>
                <w:sz w:val="21"/>
                <w:szCs w:val="21"/>
              </w:rPr>
              <w:t>%</w:t>
            </w:r>
            <w:r>
              <w:rPr>
                <w:rFonts w:hint="eastAsia" w:ascii="宋体" w:hAnsi="宋体" w:cs="宋体"/>
                <w:bCs/>
                <w:snapToGrid w:val="0"/>
                <w:kern w:val="2"/>
                <w:sz w:val="21"/>
                <w:szCs w:val="21"/>
              </w:rPr>
              <w:t>）</w:t>
            </w:r>
          </w:p>
        </w:tc>
        <w:tc>
          <w:tcPr>
            <w:tcW w:w="2296" w:type="dxa"/>
            <w:tcBorders>
              <w:top w:val="single" w:color="auto" w:sz="8"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23</w:t>
            </w:r>
          </w:p>
        </w:tc>
        <w:tc>
          <w:tcPr>
            <w:tcW w:w="1949" w:type="dxa"/>
            <w:tcBorders>
              <w:top w:val="single" w:color="auto" w:sz="8"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4061" w:type="dxa"/>
            <w:tcBorders>
              <w:top w:val="single" w:color="auto" w:sz="8" w:space="0"/>
              <w:left w:val="nil"/>
              <w:bottom w:val="single" w:color="000000"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公共交通需求（万人次/日）</w:t>
            </w:r>
          </w:p>
        </w:tc>
        <w:tc>
          <w:tcPr>
            <w:tcW w:w="2296" w:type="dxa"/>
            <w:tcBorders>
              <w:top w:val="single" w:color="auto" w:sz="8" w:space="0"/>
              <w:left w:val="single" w:color="auto" w:sz="8" w:space="0"/>
              <w:bottom w:val="single" w:color="000000"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 xml:space="preserve">28.2 </w:t>
            </w:r>
          </w:p>
        </w:tc>
        <w:tc>
          <w:tcPr>
            <w:tcW w:w="1949" w:type="dxa"/>
            <w:tcBorders>
              <w:top w:val="single" w:color="auto" w:sz="8" w:space="0"/>
              <w:left w:val="single" w:color="auto" w:sz="8" w:space="0"/>
              <w:bottom w:val="single" w:color="000000" w:sz="12"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88.3</w:t>
            </w:r>
          </w:p>
        </w:tc>
      </w:tr>
    </w:tbl>
    <w:p>
      <w:pPr>
        <w:pStyle w:val="5"/>
        <w:spacing w:before="163" w:after="163"/>
      </w:pPr>
      <w:bookmarkStart w:id="74" w:name="_Toc518573675"/>
      <w:r>
        <w:t xml:space="preserve">3.3.3 </w:t>
      </w:r>
      <w:r>
        <w:rPr>
          <w:rFonts w:hint="eastAsia"/>
        </w:rPr>
        <w:t>公交运力需求预测结果</w:t>
      </w:r>
      <w:bookmarkEnd w:id="74"/>
    </w:p>
    <w:p>
      <w:pPr>
        <w:spacing w:before="163" w:after="163"/>
        <w:ind w:firstLine="480"/>
        <w:rPr>
          <w:rFonts w:cs="Times New Roman"/>
        </w:rPr>
      </w:pPr>
      <w:r>
        <w:rPr>
          <w:rFonts w:hint="eastAsia" w:cs="Times New Roman"/>
        </w:rPr>
        <w:t>《城市道路交通规划设计规范》规定中小城市应每1200～1500人一辆公共交通标准车的标准，资阳市中心城区到</w:t>
      </w:r>
      <w:r>
        <w:rPr>
          <w:rFonts w:cs="Times New Roman"/>
        </w:rPr>
        <w:t>2020</w:t>
      </w:r>
      <w:r>
        <w:rPr>
          <w:rFonts w:hint="eastAsia" w:cs="Times New Roman"/>
        </w:rPr>
        <w:t>年公交车辆拥有量应达到</w:t>
      </w:r>
      <w:r>
        <w:rPr>
          <w:rFonts w:cs="Times New Roman"/>
        </w:rPr>
        <w:t>491</w:t>
      </w:r>
      <w:r>
        <w:rPr>
          <w:rFonts w:hint="eastAsia" w:cs="Times New Roman"/>
        </w:rPr>
        <w:t>标台，到20</w:t>
      </w:r>
      <w:r>
        <w:rPr>
          <w:rFonts w:cs="Times New Roman"/>
        </w:rPr>
        <w:t>30</w:t>
      </w:r>
      <w:r>
        <w:rPr>
          <w:rFonts w:hint="eastAsia" w:cs="Times New Roman"/>
        </w:rPr>
        <w:t>年达</w:t>
      </w:r>
      <w:r>
        <w:rPr>
          <w:rFonts w:cs="Times New Roman"/>
        </w:rPr>
        <w:t>943</w:t>
      </w:r>
      <w:r>
        <w:rPr>
          <w:rFonts w:hint="eastAsia" w:cs="Times New Roman"/>
        </w:rPr>
        <w:t>标台。</w:t>
      </w:r>
    </w:p>
    <w:p>
      <w:pPr>
        <w:pStyle w:val="113"/>
        <w:spacing w:before="163" w:after="163"/>
      </w:pPr>
      <w:r>
        <w:t>表</w:t>
      </w:r>
      <w:r>
        <w:rPr>
          <w:rFonts w:hint="eastAsia"/>
        </w:rPr>
        <w:t>3-10  资阳市中心城区公交需求预测表</w:t>
      </w:r>
    </w:p>
    <w:tbl>
      <w:tblPr>
        <w:tblStyle w:val="94"/>
        <w:tblW w:w="83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269"/>
        <w:gridCol w:w="2362"/>
        <w:gridCol w:w="26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269" w:type="dxa"/>
            <w:tcBorders>
              <w:top w:val="single" w:color="auto" w:sz="12" w:space="0"/>
              <w:left w:val="nil"/>
              <w:bottom w:val="single" w:color="auto" w:sz="12" w:space="0"/>
              <w:tl2br w:val="single" w:color="auto" w:sz="4" w:space="0"/>
            </w:tcBorders>
            <w:shd w:val="clear" w:color="auto" w:fill="CCC0D9" w:themeFill="accent4" w:themeFillTint="66"/>
          </w:tcPr>
          <w:p>
            <w:pPr>
              <w:widowControl w:val="0"/>
              <w:adjustRightInd/>
              <w:snapToGrid/>
              <w:spacing w:before="0" w:after="0" w:line="240" w:lineRule="auto"/>
              <w:ind w:firstLine="482" w:firstLineChars="0"/>
              <w:jc w:val="center"/>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 xml:space="preserve">        年 份</w:t>
            </w:r>
          </w:p>
          <w:p>
            <w:pPr>
              <w:widowControl w:val="0"/>
              <w:adjustRightInd/>
              <w:snapToGrid/>
              <w:spacing w:before="0" w:after="0" w:line="240" w:lineRule="auto"/>
              <w:ind w:firstLine="207" w:firstLineChars="98"/>
              <w:textAlignment w:val="center"/>
              <w:rPr>
                <w:rFonts w:ascii="宋体" w:hAnsi="宋体" w:cs="宋体"/>
                <w:b/>
                <w:bCs/>
                <w:snapToGrid w:val="0"/>
                <w:kern w:val="2"/>
                <w:sz w:val="21"/>
                <w:szCs w:val="21"/>
              </w:rPr>
            </w:pPr>
            <w:r>
              <w:rPr>
                <w:rFonts w:hint="eastAsia" w:ascii="宋体" w:hAnsi="宋体" w:cs="宋体"/>
                <w:b/>
                <w:bCs/>
                <w:snapToGrid w:val="0"/>
                <w:kern w:val="2"/>
                <w:sz w:val="21"/>
                <w:szCs w:val="21"/>
              </w:rPr>
              <w:t>指 标</w:t>
            </w:r>
          </w:p>
        </w:tc>
        <w:tc>
          <w:tcPr>
            <w:tcW w:w="2362" w:type="dxa"/>
            <w:tcBorders>
              <w:top w:val="single" w:color="auto" w:sz="12" w:space="0"/>
              <w:bottom w:val="single" w:color="auto" w:sz="12" w:space="0"/>
              <w:right w:val="single" w:color="auto" w:sz="8" w:space="0"/>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hint="eastAsia" w:cs="Times New Roman"/>
                <w:b/>
                <w:bCs/>
                <w:snapToGrid w:val="0"/>
                <w:kern w:val="2"/>
                <w:sz w:val="21"/>
                <w:szCs w:val="21"/>
              </w:rPr>
              <w:t>2020年</w:t>
            </w:r>
          </w:p>
        </w:tc>
        <w:tc>
          <w:tcPr>
            <w:tcW w:w="2675" w:type="dxa"/>
            <w:tcBorders>
              <w:top w:val="single" w:color="auto" w:sz="12" w:space="0"/>
              <w:left w:val="single" w:color="auto" w:sz="8" w:space="0"/>
              <w:bottom w:val="single" w:color="auto" w:sz="12" w:space="0"/>
              <w:right w:val="nil"/>
            </w:tcBorders>
            <w:shd w:val="clear" w:color="auto" w:fill="CCC0D9" w:themeFill="accent4" w:themeFillTint="66"/>
            <w:vAlign w:val="center"/>
          </w:tcPr>
          <w:p>
            <w:pPr>
              <w:widowControl w:val="0"/>
              <w:adjustRightInd/>
              <w:snapToGrid/>
              <w:spacing w:before="0" w:after="0" w:line="240" w:lineRule="auto"/>
              <w:ind w:firstLine="0" w:firstLineChars="0"/>
              <w:jc w:val="center"/>
              <w:textAlignment w:val="center"/>
              <w:rPr>
                <w:rFonts w:cs="Times New Roman"/>
                <w:b/>
                <w:bCs/>
                <w:snapToGrid w:val="0"/>
                <w:kern w:val="2"/>
                <w:sz w:val="21"/>
                <w:szCs w:val="21"/>
              </w:rPr>
            </w:pPr>
            <w:r>
              <w:rPr>
                <w:rFonts w:cs="Times New Roman"/>
                <w:b/>
                <w:bCs/>
                <w:snapToGrid w:val="0"/>
                <w:kern w:val="2"/>
                <w:sz w:val="21"/>
                <w:szCs w:val="21"/>
              </w:rPr>
              <w:t>2030年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269" w:type="dxa"/>
            <w:tcBorders>
              <w:top w:val="single" w:color="auto" w:sz="12"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人口（万人）</w:t>
            </w:r>
          </w:p>
        </w:tc>
        <w:tc>
          <w:tcPr>
            <w:tcW w:w="2362" w:type="dxa"/>
            <w:tcBorders>
              <w:top w:val="single" w:color="auto" w:sz="12"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51</w:t>
            </w:r>
          </w:p>
        </w:tc>
        <w:tc>
          <w:tcPr>
            <w:tcW w:w="2675" w:type="dxa"/>
            <w:tcBorders>
              <w:top w:val="single" w:color="auto" w:sz="12"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87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269" w:type="dxa"/>
            <w:tcBorders>
              <w:top w:val="single" w:color="auto" w:sz="8" w:space="0"/>
              <w:left w:val="nil"/>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配比（标台/万人次）</w:t>
            </w:r>
          </w:p>
        </w:tc>
        <w:tc>
          <w:tcPr>
            <w:tcW w:w="2362" w:type="dxa"/>
            <w:tcBorders>
              <w:top w:val="single" w:color="auto" w:sz="8" w:space="0"/>
              <w:left w:val="single" w:color="auto" w:sz="8" w:space="0"/>
              <w:bottom w:val="single" w:color="auto" w:sz="8"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10</w:t>
            </w:r>
          </w:p>
        </w:tc>
        <w:tc>
          <w:tcPr>
            <w:tcW w:w="2675" w:type="dxa"/>
            <w:tcBorders>
              <w:top w:val="single" w:color="auto" w:sz="8" w:space="0"/>
              <w:left w:val="single" w:color="auto" w:sz="8" w:space="0"/>
              <w:bottom w:val="single" w:color="auto" w:sz="8"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97" w:hRule="atLeast"/>
          <w:jc w:val="center"/>
        </w:trPr>
        <w:tc>
          <w:tcPr>
            <w:tcW w:w="3269" w:type="dxa"/>
            <w:tcBorders>
              <w:top w:val="single" w:color="auto" w:sz="8" w:space="0"/>
              <w:left w:val="nil"/>
              <w:bottom w:val="single" w:color="000000"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ascii="宋体" w:hAnsi="宋体" w:cs="宋体"/>
                <w:bCs/>
                <w:snapToGrid w:val="0"/>
                <w:kern w:val="2"/>
                <w:sz w:val="21"/>
                <w:szCs w:val="21"/>
              </w:rPr>
            </w:pPr>
            <w:r>
              <w:rPr>
                <w:rFonts w:hint="eastAsia" w:ascii="宋体" w:hAnsi="宋体" w:cs="宋体"/>
                <w:bCs/>
                <w:snapToGrid w:val="0"/>
                <w:kern w:val="2"/>
                <w:sz w:val="21"/>
                <w:szCs w:val="21"/>
              </w:rPr>
              <w:t>公交运力（标台）</w:t>
            </w:r>
          </w:p>
        </w:tc>
        <w:tc>
          <w:tcPr>
            <w:tcW w:w="2362" w:type="dxa"/>
            <w:tcBorders>
              <w:top w:val="single" w:color="auto" w:sz="8" w:space="0"/>
              <w:left w:val="single" w:color="auto" w:sz="8" w:space="0"/>
              <w:bottom w:val="single" w:color="000000" w:sz="12" w:space="0"/>
              <w:right w:val="single" w:color="auto" w:sz="8" w:space="0"/>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491</w:t>
            </w:r>
          </w:p>
        </w:tc>
        <w:tc>
          <w:tcPr>
            <w:tcW w:w="2675" w:type="dxa"/>
            <w:tcBorders>
              <w:top w:val="single" w:color="auto" w:sz="8" w:space="0"/>
              <w:left w:val="single" w:color="auto" w:sz="8" w:space="0"/>
              <w:bottom w:val="single" w:color="000000" w:sz="12" w:space="0"/>
              <w:right w:val="nil"/>
            </w:tcBorders>
            <w:vAlign w:val="center"/>
          </w:tcPr>
          <w:p>
            <w:pPr>
              <w:widowControl w:val="0"/>
              <w:adjustRightInd/>
              <w:snapToGrid/>
              <w:spacing w:before="0" w:after="0" w:line="240" w:lineRule="auto"/>
              <w:ind w:firstLine="0" w:firstLineChars="0"/>
              <w:jc w:val="center"/>
              <w:textAlignment w:val="center"/>
              <w:rPr>
                <w:rFonts w:cs="Times New Roman"/>
                <w:bCs/>
                <w:snapToGrid w:val="0"/>
                <w:kern w:val="2"/>
                <w:sz w:val="21"/>
                <w:szCs w:val="21"/>
              </w:rPr>
            </w:pPr>
            <w:r>
              <w:rPr>
                <w:rFonts w:cs="Times New Roman"/>
                <w:bCs/>
                <w:snapToGrid w:val="0"/>
                <w:kern w:val="2"/>
                <w:sz w:val="21"/>
                <w:szCs w:val="21"/>
              </w:rPr>
              <w:t>943</w:t>
            </w:r>
          </w:p>
        </w:tc>
      </w:tr>
    </w:tbl>
    <w:p>
      <w:pPr>
        <w:adjustRightInd/>
        <w:snapToGrid/>
        <w:spacing w:before="163" w:after="163" w:line="276" w:lineRule="auto"/>
        <w:ind w:firstLine="0" w:firstLineChars="0"/>
        <w:jc w:val="left"/>
        <w:rPr>
          <w:szCs w:val="28"/>
        </w:rPr>
        <w:sectPr>
          <w:pgSz w:w="11906" w:h="16838"/>
          <w:pgMar w:top="1440" w:right="1800" w:bottom="1440" w:left="1800" w:header="851" w:footer="992" w:gutter="0"/>
          <w:cols w:space="425" w:num="1"/>
          <w:docGrid w:type="lines" w:linePitch="326" w:charSpace="0"/>
        </w:sectPr>
      </w:pPr>
    </w:p>
    <w:p>
      <w:pPr>
        <w:pStyle w:val="2"/>
        <w:spacing w:before="163" w:after="163"/>
      </w:pPr>
      <w:bookmarkStart w:id="75" w:name="_Toc503152823"/>
      <w:bookmarkStart w:id="76" w:name="_Toc518573676"/>
      <w:bookmarkStart w:id="77" w:name="_Toc503152832"/>
      <w:r>
        <w:rPr>
          <w:rFonts w:hint="eastAsia"/>
        </w:rPr>
        <w:t>第4章  城市公交发展目标</w:t>
      </w:r>
      <w:bookmarkEnd w:id="75"/>
      <w:r>
        <w:rPr>
          <w:rFonts w:hint="eastAsia"/>
        </w:rPr>
        <w:t>与策略</w:t>
      </w:r>
      <w:bookmarkEnd w:id="76"/>
    </w:p>
    <w:p>
      <w:pPr>
        <w:pStyle w:val="4"/>
      </w:pPr>
      <w:bookmarkStart w:id="78" w:name="_Toc503152827"/>
      <w:bookmarkStart w:id="79" w:name="_Toc518573677"/>
      <w:bookmarkStart w:id="80" w:name="_Toc357850347"/>
      <w:r>
        <w:rPr>
          <w:rFonts w:hint="eastAsia"/>
        </w:rPr>
        <w:t>4.</w:t>
      </w:r>
      <w:r>
        <w:t xml:space="preserve">1 </w:t>
      </w:r>
      <w:r>
        <w:rPr>
          <w:rFonts w:hint="eastAsia"/>
        </w:rPr>
        <w:t>城市公</w:t>
      </w:r>
      <w:r>
        <w:t>交发展策略</w:t>
      </w:r>
      <w:bookmarkEnd w:id="78"/>
      <w:bookmarkEnd w:id="79"/>
    </w:p>
    <w:p>
      <w:pPr>
        <w:ind w:firstLine="480"/>
      </w:pPr>
      <w:r>
        <w:rPr>
          <w:rFonts w:hint="eastAsia"/>
        </w:rPr>
        <w:t>以成资一体化发展、地铁18号线建设为背景，发挥资阳市公共交通系统在其中的作用，明确其公共交通系统（特别是常规公交）在各规划期的发展重点，实现通过公交发展推动成资一体化的发展进程。</w:t>
      </w:r>
    </w:p>
    <w:p>
      <w:pPr>
        <w:pStyle w:val="5"/>
      </w:pPr>
      <w:bookmarkStart w:id="81" w:name="_Toc503152828"/>
      <w:bookmarkStart w:id="82" w:name="_Toc518573678"/>
      <w:r>
        <w:rPr>
          <w:rFonts w:hint="eastAsia"/>
        </w:rPr>
        <w:t>4.</w:t>
      </w:r>
      <w:r>
        <w:t>1</w:t>
      </w:r>
      <w:r>
        <w:rPr>
          <w:rFonts w:hint="eastAsia"/>
        </w:rPr>
        <w:t>.1 近期发展</w:t>
      </w:r>
      <w:bookmarkEnd w:id="81"/>
      <w:r>
        <w:rPr>
          <w:rFonts w:hint="eastAsia"/>
        </w:rPr>
        <w:t>策略</w:t>
      </w:r>
      <w:bookmarkEnd w:id="82"/>
    </w:p>
    <w:p>
      <w:pPr>
        <w:ind w:firstLine="480"/>
      </w:pPr>
      <w:r>
        <w:rPr>
          <w:rFonts w:hint="eastAsia"/>
        </w:rPr>
        <w:t>优化完善常规公交运营组织，完善公交优先设施，包括布设公交优先通道，加大港湾式公交停靠站的建设，并结合对外客运枢纽和主干道路的建设，着力降低公交非直线系数，提高公交运营效率。</w:t>
      </w:r>
    </w:p>
    <w:p>
      <w:pPr>
        <w:pStyle w:val="5"/>
      </w:pPr>
      <w:bookmarkStart w:id="83" w:name="_Toc503152829"/>
      <w:bookmarkStart w:id="84" w:name="_Toc518573679"/>
      <w:r>
        <w:rPr>
          <w:rFonts w:hint="eastAsia"/>
        </w:rPr>
        <w:t>4.</w:t>
      </w:r>
      <w:r>
        <w:t>1</w:t>
      </w:r>
      <w:r>
        <w:rPr>
          <w:rFonts w:hint="eastAsia"/>
        </w:rPr>
        <w:t>.</w:t>
      </w:r>
      <w:r>
        <w:t>2</w:t>
      </w:r>
      <w:r>
        <w:rPr>
          <w:rFonts w:hint="eastAsia"/>
        </w:rPr>
        <w:t xml:space="preserve"> 中远期发展</w:t>
      </w:r>
      <w:bookmarkEnd w:id="83"/>
      <w:r>
        <w:rPr>
          <w:rFonts w:hint="eastAsia"/>
        </w:rPr>
        <w:t>策略</w:t>
      </w:r>
      <w:bookmarkEnd w:id="84"/>
    </w:p>
    <w:p>
      <w:pPr>
        <w:ind w:firstLine="480"/>
      </w:pPr>
      <w:r>
        <w:rPr>
          <w:rFonts w:hint="eastAsia"/>
        </w:rPr>
        <w:t>结合轨道交通的建设，构建以轨道交通为骨干，常规公交为主体，中运量公交及其他交通方式为补充的一体化公共交通网络系统。常规公交根据轨道站点调整定位，整合资源，既发挥自身优势，又实现两者合理衔接，支撑城市空间拓展和集聚客流；完善公交枢纽建设，初步构建形成“枢纽型”公交组织体系；形成多层次功能分明、衔接合理的城市公交系统。</w:t>
      </w:r>
    </w:p>
    <w:p>
      <w:pPr>
        <w:pStyle w:val="4"/>
      </w:pPr>
      <w:bookmarkStart w:id="85" w:name="_Toc503152831"/>
      <w:bookmarkStart w:id="86" w:name="_Toc518573680"/>
      <w:r>
        <w:rPr>
          <w:rFonts w:hint="eastAsia"/>
        </w:rPr>
        <w:t>4.</w:t>
      </w:r>
      <w:r>
        <w:t xml:space="preserve">2 </w:t>
      </w:r>
      <w:r>
        <w:rPr>
          <w:rFonts w:hint="eastAsia"/>
        </w:rPr>
        <w:t>城市公交发展战略目标</w:t>
      </w:r>
      <w:bookmarkEnd w:id="85"/>
      <w:bookmarkEnd w:id="86"/>
    </w:p>
    <w:p>
      <w:pPr>
        <w:ind w:firstLine="480"/>
      </w:pPr>
      <w:r>
        <w:rPr>
          <w:rFonts w:hint="eastAsia"/>
        </w:rPr>
        <w:t>通过对资阳市近远期公交需求的预测以及公交发展抉择的分析，可以看出未来几年是资阳市公交发展的关键时期，城市交通需求日益增长，居民出行对公交需求日趋增加；随着城市空间布局的逐渐完善，主城区之间以及临空经济区和主城区之间的出行不断增多，居民出行距离拉长，公交系统优势日渐显现。</w:t>
      </w:r>
    </w:p>
    <w:p>
      <w:pPr>
        <w:ind w:firstLine="480"/>
      </w:pPr>
      <w:r>
        <w:rPr>
          <w:rFonts w:hint="eastAsia"/>
        </w:rPr>
        <w:t>但伴随小汽车的快速发展，城市交通迈入一个敏感的结构转型时期，这段时间的发展将对未来城市发展的模式产生深远影响。因此，为城市公交的近远期发展制定一个科学合理的发展目标就显得尤为重要，不仅能有效缓解未来城市交通拥堵的压力，发挥公共交通优势，更能引导城市交通结构向合理化方向发展。</w:t>
      </w:r>
    </w:p>
    <w:p>
      <w:pPr>
        <w:pStyle w:val="5"/>
      </w:pPr>
      <w:bookmarkStart w:id="87" w:name="_Toc518573681"/>
      <w:r>
        <w:rPr>
          <w:rFonts w:hint="eastAsia"/>
        </w:rPr>
        <w:t>4.</w:t>
      </w:r>
      <w:r>
        <w:t>2</w:t>
      </w:r>
      <w:r>
        <w:rPr>
          <w:rFonts w:hint="eastAsia"/>
        </w:rPr>
        <w:t>.</w:t>
      </w:r>
      <w:r>
        <w:t>1</w:t>
      </w:r>
      <w:r>
        <w:rPr>
          <w:rFonts w:hint="eastAsia"/>
        </w:rPr>
        <w:t xml:space="preserve"> 总体目标</w:t>
      </w:r>
      <w:bookmarkEnd w:id="87"/>
    </w:p>
    <w:p>
      <w:pPr>
        <w:ind w:firstLine="480"/>
      </w:pPr>
      <w:r>
        <w:rPr>
          <w:rFonts w:hint="eastAsia"/>
        </w:rPr>
        <w:t>以快速公共交通为骨干、常规公交为主体的城市交通发展战略为指导，立足于资阳市公交发展现状、特征与趋势，处理好远期发展和近期建设的关系，合理组织公共交通结构，科学布局城市公交线网和交通节点，确定对外交通枢纽、城市主要客流集散点和市内公交线路的衔接规划，为资阳市公共交通远景发展提供方向性指导。</w:t>
      </w:r>
    </w:p>
    <w:p>
      <w:pPr>
        <w:pStyle w:val="5"/>
      </w:pPr>
      <w:bookmarkStart w:id="88" w:name="_Toc518573682"/>
      <w:r>
        <w:rPr>
          <w:rFonts w:hint="eastAsia"/>
        </w:rPr>
        <w:t>4.</w:t>
      </w:r>
      <w:r>
        <w:t>2</w:t>
      </w:r>
      <w:r>
        <w:rPr>
          <w:rFonts w:hint="eastAsia"/>
        </w:rPr>
        <w:t>.</w:t>
      </w:r>
      <w:r>
        <w:t>2</w:t>
      </w:r>
      <w:r>
        <w:rPr>
          <w:rFonts w:hint="eastAsia"/>
        </w:rPr>
        <w:t xml:space="preserve"> 具体目标</w:t>
      </w:r>
      <w:bookmarkEnd w:id="88"/>
    </w:p>
    <w:p>
      <w:pPr>
        <w:ind w:firstLine="480"/>
      </w:pPr>
      <w:r>
        <w:rPr>
          <w:rFonts w:hint="eastAsia" w:ascii="宋体" w:hAnsi="宋体"/>
        </w:rPr>
        <w:t xml:space="preserve">◆ </w:t>
      </w:r>
      <w:r>
        <w:rPr>
          <w:rFonts w:hint="eastAsia"/>
          <w:b/>
        </w:rPr>
        <w:t>公交线网密度：</w:t>
      </w:r>
      <w:r>
        <w:rPr>
          <w:rFonts w:hint="eastAsia"/>
        </w:rPr>
        <w:t>近期中心城区达到2~2.5km/km</w:t>
      </w:r>
      <w:r>
        <w:rPr>
          <w:rFonts w:hint="eastAsia"/>
          <w:vertAlign w:val="superscript"/>
        </w:rPr>
        <w:t>2</w:t>
      </w:r>
      <w:r>
        <w:rPr>
          <w:rFonts w:hint="eastAsia"/>
        </w:rPr>
        <w:t>，远期达到3~4km/km</w:t>
      </w:r>
      <w:r>
        <w:rPr>
          <w:rFonts w:hint="eastAsia"/>
          <w:vertAlign w:val="superscript"/>
        </w:rPr>
        <w:t>2</w:t>
      </w:r>
      <w:r>
        <w:rPr>
          <w:rFonts w:hint="eastAsia"/>
        </w:rPr>
        <w:t>；</w:t>
      </w:r>
    </w:p>
    <w:p>
      <w:pPr>
        <w:ind w:firstLine="480"/>
      </w:pPr>
      <w:bookmarkStart w:id="89" w:name="OLE_LINK5"/>
      <w:bookmarkStart w:id="90" w:name="OLE_LINK6"/>
      <w:r>
        <w:rPr>
          <w:rFonts w:hint="eastAsia" w:ascii="宋体" w:hAnsi="宋体"/>
        </w:rPr>
        <w:t xml:space="preserve">◆ </w:t>
      </w:r>
      <w:r>
        <w:rPr>
          <w:rFonts w:hint="eastAsia"/>
          <w:b/>
        </w:rPr>
        <w:t>车均场站面积：</w:t>
      </w:r>
      <w:bookmarkEnd w:id="89"/>
      <w:bookmarkEnd w:id="90"/>
      <w:r>
        <w:rPr>
          <w:rFonts w:hint="eastAsia"/>
        </w:rPr>
        <w:t>近期中心城区公交首末站每标台为100m</w:t>
      </w:r>
      <w:r>
        <w:rPr>
          <w:rFonts w:hint="eastAsia"/>
          <w:vertAlign w:val="superscript"/>
        </w:rPr>
        <w:t>2</w:t>
      </w:r>
      <w:r>
        <w:rPr>
          <w:rFonts w:hint="eastAsia"/>
        </w:rPr>
        <w:t>，远期为150m</w:t>
      </w:r>
      <w:r>
        <w:rPr>
          <w:rFonts w:hint="eastAsia"/>
          <w:vertAlign w:val="superscript"/>
        </w:rPr>
        <w:t>2</w:t>
      </w:r>
      <w:r>
        <w:rPr>
          <w:rFonts w:hint="eastAsia"/>
        </w:rPr>
        <w:t>；停保场每标台面积为180m</w:t>
      </w:r>
      <w:r>
        <w:rPr>
          <w:rFonts w:hint="eastAsia"/>
          <w:vertAlign w:val="superscript"/>
        </w:rPr>
        <w:t>2</w:t>
      </w:r>
      <w:r>
        <w:rPr>
          <w:rFonts w:hint="eastAsia"/>
        </w:rPr>
        <w:t>；</w:t>
      </w:r>
    </w:p>
    <w:p>
      <w:pPr>
        <w:ind w:firstLine="480"/>
      </w:pPr>
      <w:r>
        <w:rPr>
          <w:rFonts w:hint="eastAsia" w:ascii="宋体" w:hAnsi="宋体"/>
        </w:rPr>
        <w:t xml:space="preserve">◆ </w:t>
      </w:r>
      <w:r>
        <w:rPr>
          <w:rFonts w:hint="eastAsia"/>
          <w:b/>
        </w:rPr>
        <w:t>站点覆盖率：</w:t>
      </w:r>
      <w:r>
        <w:rPr>
          <w:rFonts w:hint="eastAsia"/>
        </w:rPr>
        <w:t>中心城区公交站点300m覆盖率达到50%，500m覆盖率达到90%；</w:t>
      </w:r>
    </w:p>
    <w:p>
      <w:pPr>
        <w:ind w:firstLine="480"/>
      </w:pPr>
      <w:r>
        <w:rPr>
          <w:rFonts w:hint="eastAsia" w:ascii="宋体" w:hAnsi="宋体"/>
        </w:rPr>
        <w:t xml:space="preserve">◆ </w:t>
      </w:r>
      <w:r>
        <w:rPr>
          <w:rFonts w:hint="eastAsia"/>
          <w:b/>
        </w:rPr>
        <w:t>车辆保有量：</w:t>
      </w:r>
      <w:r>
        <w:rPr>
          <w:rFonts w:hint="eastAsia"/>
        </w:rPr>
        <w:t>近期中心城区常规公交万人保有量为8~10标台，远期中心城区常规公交万人保有量为10~12标台；</w:t>
      </w:r>
    </w:p>
    <w:p>
      <w:pPr>
        <w:ind w:firstLine="480"/>
      </w:pPr>
      <w:r>
        <w:rPr>
          <w:rFonts w:hint="eastAsia" w:ascii="宋体" w:hAnsi="宋体"/>
        </w:rPr>
        <w:t xml:space="preserve">◆ </w:t>
      </w:r>
      <w:r>
        <w:rPr>
          <w:rFonts w:hint="eastAsia"/>
          <w:b/>
        </w:rPr>
        <w:t>公交分担率：</w:t>
      </w:r>
      <w:r>
        <w:rPr>
          <w:rFonts w:hint="eastAsia"/>
        </w:rPr>
        <w:t>近期中心城区公交出行比例占机动车出行总量的</w:t>
      </w:r>
      <w:r>
        <w:t>20-25</w:t>
      </w:r>
      <w:r>
        <w:rPr>
          <w:rFonts w:hint="eastAsia"/>
        </w:rPr>
        <w:t>%，远期占机动车出行总量的</w:t>
      </w:r>
      <w:r>
        <w:t>30-35</w:t>
      </w:r>
      <w:r>
        <w:rPr>
          <w:rFonts w:hint="eastAsia"/>
        </w:rPr>
        <w:t>%；</w:t>
      </w:r>
    </w:p>
    <w:p>
      <w:pPr>
        <w:ind w:firstLine="480"/>
      </w:pPr>
      <w:r>
        <w:rPr>
          <w:rFonts w:hint="eastAsia" w:ascii="宋体" w:hAnsi="宋体"/>
        </w:rPr>
        <w:t xml:space="preserve">◆ </w:t>
      </w:r>
      <w:r>
        <w:rPr>
          <w:rFonts w:hint="eastAsia"/>
          <w:b/>
        </w:rPr>
        <w:t>公交出行时耗：</w:t>
      </w:r>
      <w:r>
        <w:rPr>
          <w:rFonts w:hint="eastAsia"/>
        </w:rPr>
        <w:t>90%居民的单程最大出行时耗不大于25 分钟；</w:t>
      </w:r>
    </w:p>
    <w:p>
      <w:pPr>
        <w:ind w:firstLine="480"/>
      </w:pPr>
      <w:r>
        <w:rPr>
          <w:rFonts w:hint="eastAsia" w:ascii="宋体" w:hAnsi="宋体"/>
        </w:rPr>
        <w:t xml:space="preserve">◆ </w:t>
      </w:r>
      <w:r>
        <w:rPr>
          <w:rFonts w:hint="eastAsia"/>
          <w:b/>
        </w:rPr>
        <w:t>公交换乘水平：</w:t>
      </w:r>
      <w:r>
        <w:rPr>
          <w:rFonts w:hint="eastAsia"/>
        </w:rPr>
        <w:t>乘客平均换乘系数不大于1.3，轨道交通站点与公交衔接点的距离不大于300m，市区目的地换乘次数不超过2次；</w:t>
      </w:r>
    </w:p>
    <w:p>
      <w:pPr>
        <w:ind w:firstLine="480"/>
      </w:pPr>
      <w:r>
        <w:rPr>
          <w:rFonts w:hint="eastAsia" w:ascii="宋体" w:hAnsi="宋体"/>
        </w:rPr>
        <w:t xml:space="preserve">◆ </w:t>
      </w:r>
      <w:r>
        <w:rPr>
          <w:rFonts w:hint="eastAsia"/>
          <w:b/>
        </w:rPr>
        <w:t>运营服务水平：</w:t>
      </w:r>
      <w:r>
        <w:rPr>
          <w:rFonts w:hint="eastAsia"/>
        </w:rPr>
        <w:t>常规公交平均运营速度不低于20公里/小时，车辆准点率达到80%。</w:t>
      </w:r>
    </w:p>
    <w:p>
      <w:pPr>
        <w:ind w:firstLine="0" w:firstLineChars="0"/>
        <w:sectPr>
          <w:pgSz w:w="11906" w:h="16838"/>
          <w:pgMar w:top="1440" w:right="1800" w:bottom="1440" w:left="1800" w:header="851" w:footer="992" w:gutter="0"/>
          <w:cols w:space="425" w:num="1"/>
          <w:docGrid w:type="lines" w:linePitch="326" w:charSpace="0"/>
        </w:sectPr>
      </w:pPr>
    </w:p>
    <w:bookmarkEnd w:id="80"/>
    <w:p>
      <w:pPr>
        <w:pStyle w:val="2"/>
        <w:spacing w:before="163" w:after="163"/>
      </w:pPr>
      <w:bookmarkStart w:id="91" w:name="_Toc518573683"/>
      <w:r>
        <w:t>第5章  城市公交线网规划</w:t>
      </w:r>
      <w:bookmarkEnd w:id="77"/>
      <w:bookmarkEnd w:id="91"/>
    </w:p>
    <w:p>
      <w:pPr>
        <w:pStyle w:val="4"/>
        <w:rPr>
          <w:rFonts w:cs="Times New Roman"/>
        </w:rPr>
      </w:pPr>
      <w:bookmarkStart w:id="92" w:name="_Toc503152833"/>
      <w:bookmarkStart w:id="93" w:name="_Toc268625199"/>
      <w:bookmarkStart w:id="94" w:name="_Toc357850349"/>
      <w:bookmarkStart w:id="95" w:name="_Toc518573684"/>
      <w:bookmarkStart w:id="96" w:name="_Toc344335548"/>
      <w:bookmarkStart w:id="97" w:name="_Toc275338836"/>
      <w:bookmarkStart w:id="98" w:name="_Toc267837750"/>
      <w:r>
        <w:rPr>
          <w:rFonts w:cs="Times New Roman"/>
        </w:rPr>
        <w:t>5.1 公交线网规划原则</w:t>
      </w:r>
      <w:bookmarkEnd w:id="92"/>
      <w:bookmarkEnd w:id="93"/>
      <w:bookmarkEnd w:id="94"/>
      <w:bookmarkEnd w:id="95"/>
      <w:bookmarkEnd w:id="96"/>
      <w:bookmarkEnd w:id="97"/>
      <w:bookmarkEnd w:id="98"/>
    </w:p>
    <w:p>
      <w:pPr>
        <w:ind w:firstLine="480"/>
        <w:rPr>
          <w:rFonts w:cs="Times New Roman"/>
        </w:rPr>
      </w:pPr>
      <w:r>
        <w:rPr>
          <w:rFonts w:cs="Times New Roman"/>
        </w:rPr>
        <w:t>公交线网规划从两个方面展开：对老城区冗杂的公交线路进行梳理、优化，降低老城区公交绕行距离以及公交线路重复系数，使居民出行更快捷、更舒适；对南部工业区、临空经济区等新开发的工业园和产业园，重在提高公交覆盖率和可达性，方便居民公交出行。公交线网布局时遵循以下原则：</w:t>
      </w:r>
    </w:p>
    <w:p>
      <w:pPr>
        <w:ind w:firstLine="480"/>
        <w:rPr>
          <w:rFonts w:cs="Times New Roman"/>
        </w:rPr>
      </w:pPr>
      <w:r>
        <w:rPr>
          <w:rFonts w:cs="Times New Roman"/>
        </w:rPr>
        <w:t>1. 线路布局与客流走廊相匹配是公交线网布局的基本要求，充分尊重客流出行规律和分布情况，公交线网布局应与公交客流量相匹配，保障在高峰时段、一定服务水平的要求下满足客流运送的需求；</w:t>
      </w:r>
    </w:p>
    <w:p>
      <w:pPr>
        <w:ind w:firstLine="480"/>
        <w:rPr>
          <w:rFonts w:cs="Times New Roman"/>
        </w:rPr>
      </w:pPr>
      <w:r>
        <w:rPr>
          <w:rFonts w:cs="Times New Roman"/>
        </w:rPr>
        <w:t>2. 公共交通线网发展要求与城市总体布局相符合，坚持交通与土地利用一体化的发展原则，顺应城市发展方向，响应城市空间结构变化和引导新片区开发，实现公共交通与用地开发的协调发展；</w:t>
      </w:r>
    </w:p>
    <w:p>
      <w:pPr>
        <w:ind w:firstLine="480"/>
        <w:rPr>
          <w:rFonts w:cs="Times New Roman"/>
        </w:rPr>
      </w:pPr>
      <w:r>
        <w:rPr>
          <w:rFonts w:cs="Times New Roman"/>
        </w:rPr>
        <w:t>3. 线路长度不宜过长或过短，平面上的线路不宜过多的迂回和曲折，应使大部分客流节约乘车时间；</w:t>
      </w:r>
    </w:p>
    <w:p>
      <w:pPr>
        <w:ind w:firstLine="480"/>
        <w:rPr>
          <w:rFonts w:cs="Times New Roman"/>
        </w:rPr>
      </w:pPr>
      <w:r>
        <w:rPr>
          <w:rFonts w:cs="Times New Roman"/>
        </w:rPr>
        <w:t>4. 在保证基本客流需要的前提下，有利于改善企业生产经营管理，保证企业的经济效益和社会效益；</w:t>
      </w:r>
    </w:p>
    <w:p>
      <w:pPr>
        <w:ind w:firstLine="480"/>
        <w:rPr>
          <w:rFonts w:cs="Times New Roman"/>
        </w:rPr>
      </w:pPr>
      <w:r>
        <w:rPr>
          <w:rFonts w:cs="Times New Roman"/>
        </w:rPr>
        <w:t>5. 设计线路时必须考虑远近结合以及综合运输发展的需要，密切城市内外客运网间的协作与配合，保证乘客在不同运输工具间换乘的方便，充分考虑不同层次网络的衔接，充分发挥各种公交方式的优势，提升公共交通整体水平。</w:t>
      </w:r>
    </w:p>
    <w:p>
      <w:pPr>
        <w:ind w:firstLine="480"/>
        <w:rPr>
          <w:rFonts w:cs="Times New Roman"/>
        </w:rPr>
      </w:pPr>
      <w:r>
        <w:rPr>
          <w:rFonts w:cs="Times New Roman"/>
        </w:rPr>
        <w:t>在以上原则的指导下，规划采用</w:t>
      </w:r>
      <w:r>
        <w:rPr>
          <w:rFonts w:cs="Times New Roman" w:asciiTheme="majorEastAsia" w:hAnsiTheme="majorEastAsia" w:eastAsiaTheme="majorEastAsia"/>
        </w:rPr>
        <w:t>“自下而上，自上而下，理论与实践相结合”</w:t>
      </w:r>
      <w:r>
        <w:rPr>
          <w:rFonts w:cs="Times New Roman"/>
        </w:rPr>
        <w:t>的方法进行公交线网规划方案设计与优化，基本过程如图5-1所示。</w:t>
      </w:r>
    </w:p>
    <w:p>
      <w:pPr>
        <w:ind w:firstLine="480"/>
        <w:rPr>
          <w:rFonts w:cs="Times New Roman"/>
        </w:rPr>
      </w:pPr>
      <w:r>
        <w:rPr>
          <w:rFonts w:cs="Times New Roman"/>
        </w:rPr>
        <mc:AlternateContent>
          <mc:Choice Requires="wpc">
            <w:drawing>
              <wp:inline distT="0" distB="0" distL="0" distR="0">
                <wp:extent cx="4615815" cy="3422015"/>
                <wp:effectExtent l="0" t="0" r="13335" b="26035"/>
                <wp:docPr id="41" name="画布 41"/>
                <wp:cNvGraphicFramePr/>
                <a:graphic xmlns:a="http://schemas.openxmlformats.org/drawingml/2006/main">
                  <a:graphicData uri="http://schemas.microsoft.com/office/word/2010/wordprocessingCanvas">
                    <wpc:wpc>
                      <wpc:bg>
                        <a:noFill/>
                      </wpc:bg>
                      <wpc:whole/>
                      <wps:wsp>
                        <wps:cNvPr id="113" name="Line 34"/>
                        <wps:cNvCnPr>
                          <a:cxnSpLocks noChangeShapeType="1"/>
                        </wps:cNvCnPr>
                        <wps:spPr bwMode="auto">
                          <a:xfrm>
                            <a:off x="1260303" y="1610593"/>
                            <a:ext cx="1877706" cy="0"/>
                          </a:xfrm>
                          <a:prstGeom prst="line">
                            <a:avLst/>
                          </a:prstGeom>
                          <a:noFill/>
                          <a:ln w="9525">
                            <a:solidFill>
                              <a:srgbClr val="000000"/>
                            </a:solidFill>
                            <a:round/>
                            <a:tailEnd type="triangle" w="med" len="med"/>
                          </a:ln>
                        </wps:spPr>
                        <wps:bodyPr/>
                      </wps:wsp>
                      <wps:wsp>
                        <wps:cNvPr id="114" name="Line 35"/>
                        <wps:cNvCnPr>
                          <a:cxnSpLocks noChangeShapeType="1"/>
                        </wps:cNvCnPr>
                        <wps:spPr bwMode="auto">
                          <a:xfrm>
                            <a:off x="826601" y="1741961"/>
                            <a:ext cx="600" cy="555117"/>
                          </a:xfrm>
                          <a:prstGeom prst="line">
                            <a:avLst/>
                          </a:prstGeom>
                          <a:noFill/>
                          <a:ln w="9525">
                            <a:solidFill>
                              <a:srgbClr val="000000"/>
                            </a:solidFill>
                            <a:round/>
                          </a:ln>
                        </wps:spPr>
                        <wps:bodyPr/>
                      </wps:wsp>
                      <wps:wsp>
                        <wps:cNvPr id="115" name="Line 36"/>
                        <wps:cNvCnPr>
                          <a:cxnSpLocks noChangeShapeType="1"/>
                        </wps:cNvCnPr>
                        <wps:spPr bwMode="auto">
                          <a:xfrm>
                            <a:off x="183999" y="1943492"/>
                            <a:ext cx="600" cy="353586"/>
                          </a:xfrm>
                          <a:prstGeom prst="line">
                            <a:avLst/>
                          </a:prstGeom>
                          <a:noFill/>
                          <a:ln w="9525">
                            <a:solidFill>
                              <a:srgbClr val="000000"/>
                            </a:solidFill>
                            <a:round/>
                          </a:ln>
                        </wps:spPr>
                        <wps:bodyPr/>
                      </wps:wsp>
                      <wps:wsp>
                        <wps:cNvPr id="116" name="Line 37"/>
                        <wps:cNvCnPr>
                          <a:cxnSpLocks noChangeShapeType="1"/>
                        </wps:cNvCnPr>
                        <wps:spPr bwMode="auto">
                          <a:xfrm>
                            <a:off x="1471103" y="1943492"/>
                            <a:ext cx="600" cy="353586"/>
                          </a:xfrm>
                          <a:prstGeom prst="line">
                            <a:avLst/>
                          </a:prstGeom>
                          <a:noFill/>
                          <a:ln w="9525">
                            <a:solidFill>
                              <a:srgbClr val="000000"/>
                            </a:solidFill>
                            <a:round/>
                          </a:ln>
                        </wps:spPr>
                        <wps:bodyPr/>
                      </wps:wsp>
                      <wps:wsp>
                        <wps:cNvPr id="117" name="Line 38"/>
                        <wps:cNvCnPr>
                          <a:cxnSpLocks noChangeShapeType="1"/>
                        </wps:cNvCnPr>
                        <wps:spPr bwMode="auto">
                          <a:xfrm>
                            <a:off x="2115005" y="1943492"/>
                            <a:ext cx="600" cy="353586"/>
                          </a:xfrm>
                          <a:prstGeom prst="line">
                            <a:avLst/>
                          </a:prstGeom>
                          <a:noFill/>
                          <a:ln w="9525">
                            <a:solidFill>
                              <a:srgbClr val="000000"/>
                            </a:solidFill>
                            <a:round/>
                          </a:ln>
                        </wps:spPr>
                        <wps:bodyPr/>
                      </wps:wsp>
                      <wps:wsp>
                        <wps:cNvPr id="118" name="Rectangle 39"/>
                        <wps:cNvSpPr>
                          <a:spLocks noChangeArrowheads="1"/>
                        </wps:cNvSpPr>
                        <wps:spPr bwMode="auto">
                          <a:xfrm>
                            <a:off x="3138008" y="2516150"/>
                            <a:ext cx="352401" cy="343862"/>
                          </a:xfrm>
                          <a:prstGeom prst="rect">
                            <a:avLst/>
                          </a:prstGeom>
                          <a:noFill/>
                          <a:ln w="9525">
                            <a:solidFill>
                              <a:srgbClr val="FFFFFF"/>
                            </a:solidFill>
                            <a:miter lim="800000"/>
                          </a:ln>
                        </wps:spPr>
                        <wps:txbx>
                          <w:txbxContent>
                            <w:p>
                              <w:pPr>
                                <w:autoSpaceDE w:val="0"/>
                                <w:autoSpaceDN w:val="0"/>
                                <w:spacing w:before="0" w:after="0" w:line="240" w:lineRule="auto"/>
                                <w:ind w:firstLine="0" w:firstLineChars="0"/>
                                <w:rPr>
                                  <w:rFonts w:ascii="Arial" w:hAnsi="Arial" w:cs="宋体"/>
                                  <w:color w:val="000000"/>
                                  <w:sz w:val="21"/>
                                  <w:szCs w:val="21"/>
                                  <w:lang w:val="zh-CN"/>
                                </w:rPr>
                              </w:pPr>
                              <w:r>
                                <w:rPr>
                                  <w:rFonts w:hint="eastAsia" w:ascii="Arial" w:hAnsi="Arial" w:cs="宋体"/>
                                  <w:color w:val="000000"/>
                                  <w:sz w:val="21"/>
                                  <w:szCs w:val="21"/>
                                  <w:lang w:val="zh-CN"/>
                                </w:rPr>
                                <w:t>是</w:t>
                              </w:r>
                            </w:p>
                          </w:txbxContent>
                        </wps:txbx>
                        <wps:bodyPr rot="0" vert="horz" wrap="square" lIns="63094" tIns="31547" rIns="63094" bIns="31547" anchor="ctr" anchorCtr="0" upright="1">
                          <a:noAutofit/>
                        </wps:bodyPr>
                      </wps:wsp>
                      <wps:wsp>
                        <wps:cNvPr id="119" name="Rectangle 40"/>
                        <wps:cNvSpPr>
                          <a:spLocks noChangeArrowheads="1"/>
                        </wps:cNvSpPr>
                        <wps:spPr bwMode="auto">
                          <a:xfrm>
                            <a:off x="1401303" y="42862"/>
                            <a:ext cx="1501105" cy="275032"/>
                          </a:xfrm>
                          <a:prstGeom prst="rect">
                            <a:avLst/>
                          </a:prstGeom>
                          <a:solidFill>
                            <a:srgbClr val="FFFFFF">
                              <a:alpha val="81175"/>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现状公交线网评价</w:t>
                              </w:r>
                            </w:p>
                          </w:txbxContent>
                        </wps:txbx>
                        <wps:bodyPr rot="0" vert="horz" wrap="square" lIns="63094" tIns="31547" rIns="63094" bIns="31547" anchor="ctr" anchorCtr="0" upright="1">
                          <a:noAutofit/>
                        </wps:bodyPr>
                      </wps:wsp>
                      <wps:wsp>
                        <wps:cNvPr id="120" name="Rectangle 41"/>
                        <wps:cNvSpPr>
                          <a:spLocks noChangeArrowheads="1"/>
                        </wps:cNvSpPr>
                        <wps:spPr bwMode="auto">
                          <a:xfrm>
                            <a:off x="1401903" y="563850"/>
                            <a:ext cx="1501105" cy="274842"/>
                          </a:xfrm>
                          <a:prstGeom prst="rect">
                            <a:avLst/>
                          </a:prstGeom>
                          <a:solidFill>
                            <a:srgbClr val="FFFFFF">
                              <a:alpha val="67842"/>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现状合理公交线路</w:t>
                              </w:r>
                            </w:p>
                          </w:txbxContent>
                        </wps:txbx>
                        <wps:bodyPr rot="0" vert="horz" wrap="square" lIns="63094" tIns="31547" rIns="63094" bIns="31547" anchor="ctr" anchorCtr="0" upright="1">
                          <a:noAutofit/>
                        </wps:bodyPr>
                      </wps:wsp>
                      <wps:wsp>
                        <wps:cNvPr id="121" name="Rectangle 42"/>
                        <wps:cNvSpPr>
                          <a:spLocks noChangeArrowheads="1"/>
                        </wps:cNvSpPr>
                        <wps:spPr bwMode="auto">
                          <a:xfrm>
                            <a:off x="3503110" y="35998"/>
                            <a:ext cx="1073203" cy="274842"/>
                          </a:xfrm>
                          <a:prstGeom prst="rect">
                            <a:avLst/>
                          </a:prstGeom>
                          <a:solidFill>
                            <a:srgbClr val="FFFFFF"/>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备选路线集</w:t>
                              </w:r>
                            </w:p>
                          </w:txbxContent>
                        </wps:txbx>
                        <wps:bodyPr rot="0" vert="horz" wrap="square" lIns="63094" tIns="31547" rIns="63094" bIns="31547" anchor="ctr" anchorCtr="0" upright="1">
                          <a:noAutofit/>
                        </wps:bodyPr>
                      </wps:wsp>
                      <wps:wsp>
                        <wps:cNvPr id="122" name="Rectangle 43"/>
                        <wps:cNvSpPr>
                          <a:spLocks noChangeArrowheads="1"/>
                        </wps:cNvSpPr>
                        <wps:spPr bwMode="auto">
                          <a:xfrm>
                            <a:off x="3611110" y="563850"/>
                            <a:ext cx="857203" cy="274842"/>
                          </a:xfrm>
                          <a:prstGeom prst="rect">
                            <a:avLst/>
                          </a:prstGeom>
                          <a:solidFill>
                            <a:srgbClr val="FFFFFF"/>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选取子集</w:t>
                              </w:r>
                            </w:p>
                          </w:txbxContent>
                        </wps:txbx>
                        <wps:bodyPr rot="0" vert="horz" wrap="square" lIns="63094" tIns="31547" rIns="63094" bIns="31547" anchor="ctr" anchorCtr="0" upright="1">
                          <a:noAutofit/>
                        </wps:bodyPr>
                      </wps:wsp>
                      <wps:wsp>
                        <wps:cNvPr id="123" name="Rectangle 44"/>
                        <wps:cNvSpPr>
                          <a:spLocks noChangeArrowheads="1"/>
                        </wps:cNvSpPr>
                        <wps:spPr bwMode="auto">
                          <a:xfrm>
                            <a:off x="2340406" y="1157100"/>
                            <a:ext cx="1501805" cy="274842"/>
                          </a:xfrm>
                          <a:prstGeom prst="rect">
                            <a:avLst/>
                          </a:prstGeom>
                          <a:solidFill>
                            <a:srgbClr val="FFFFFF">
                              <a:alpha val="81175"/>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初始公交线网方案</w:t>
                              </w:r>
                            </w:p>
                          </w:txbxContent>
                        </wps:txbx>
                        <wps:bodyPr rot="0" vert="horz" wrap="square" lIns="63094" tIns="31547" rIns="63094" bIns="31547" anchor="ctr" anchorCtr="0" upright="1">
                          <a:noAutofit/>
                        </wps:bodyPr>
                      </wps:wsp>
                      <wps:wsp>
                        <wps:cNvPr id="124" name="Rectangle 45"/>
                        <wps:cNvSpPr>
                          <a:spLocks noChangeArrowheads="1"/>
                        </wps:cNvSpPr>
                        <wps:spPr bwMode="auto">
                          <a:xfrm>
                            <a:off x="363700" y="1463496"/>
                            <a:ext cx="936003" cy="274746"/>
                          </a:xfrm>
                          <a:prstGeom prst="rect">
                            <a:avLst/>
                          </a:prstGeom>
                          <a:solidFill>
                            <a:srgbClr val="FFFFFF"/>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方案评价</w:t>
                              </w:r>
                            </w:p>
                          </w:txbxContent>
                        </wps:txbx>
                        <wps:bodyPr rot="0" vert="horz" wrap="square" lIns="63094" tIns="31547" rIns="63094" bIns="31547" anchor="ctr" anchorCtr="0" upright="1">
                          <a:noAutofit/>
                        </wps:bodyPr>
                      </wps:wsp>
                      <wps:wsp>
                        <wps:cNvPr id="125" name="Rectangle 46"/>
                        <wps:cNvSpPr>
                          <a:spLocks noChangeArrowheads="1"/>
                        </wps:cNvSpPr>
                        <wps:spPr bwMode="auto">
                          <a:xfrm>
                            <a:off x="2668707" y="3069456"/>
                            <a:ext cx="930303" cy="274842"/>
                          </a:xfrm>
                          <a:prstGeom prst="rect">
                            <a:avLst/>
                          </a:prstGeom>
                          <a:solidFill>
                            <a:srgbClr val="FFFFFF"/>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推荐方案</w:t>
                              </w:r>
                            </w:p>
                          </w:txbxContent>
                        </wps:txbx>
                        <wps:bodyPr rot="0" vert="horz" wrap="square" lIns="63094" tIns="31547" rIns="63094" bIns="31547" anchor="ctr" anchorCtr="0" upright="1">
                          <a:noAutofit/>
                        </wps:bodyPr>
                      </wps:wsp>
                      <wps:wsp>
                        <wps:cNvPr id="126" name="AutoShape 47"/>
                        <wps:cNvSpPr>
                          <a:spLocks noChangeArrowheads="1"/>
                        </wps:cNvSpPr>
                        <wps:spPr bwMode="auto">
                          <a:xfrm>
                            <a:off x="2221706" y="1791533"/>
                            <a:ext cx="1855506" cy="590294"/>
                          </a:xfrm>
                          <a:prstGeom prst="diamond">
                            <a:avLst/>
                          </a:prstGeom>
                          <a:solidFill>
                            <a:srgbClr val="FFFFFF"/>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方案可行？</w:t>
                              </w:r>
                            </w:p>
                          </w:txbxContent>
                        </wps:txbx>
                        <wps:bodyPr rot="0" vert="horz" wrap="square" lIns="63094" tIns="31547" rIns="63094" bIns="31547" anchor="ctr" anchorCtr="0" upright="1">
                          <a:noAutofit/>
                        </wps:bodyPr>
                      </wps:wsp>
                      <wps:wsp>
                        <wps:cNvPr id="127" name="Rectangle 48"/>
                        <wps:cNvSpPr>
                          <a:spLocks noChangeArrowheads="1"/>
                        </wps:cNvSpPr>
                        <wps:spPr bwMode="auto">
                          <a:xfrm>
                            <a:off x="35999" y="2297173"/>
                            <a:ext cx="288301" cy="1124629"/>
                          </a:xfrm>
                          <a:prstGeom prst="rect">
                            <a:avLst/>
                          </a:prstGeom>
                          <a:solidFill>
                            <a:srgbClr val="FFFFFF">
                              <a:alpha val="65881"/>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线网结构</w:t>
                              </w:r>
                            </w:p>
                          </w:txbxContent>
                        </wps:txbx>
                        <wps:bodyPr rot="0" vert="horz" wrap="square" lIns="63094" tIns="31547" rIns="63094" bIns="31547" anchor="ctr" anchorCtr="0" upright="1">
                          <a:noAutofit/>
                        </wps:bodyPr>
                      </wps:wsp>
                      <wps:wsp>
                        <wps:cNvPr id="128" name="Rectangle 49"/>
                        <wps:cNvSpPr>
                          <a:spLocks noChangeArrowheads="1"/>
                        </wps:cNvSpPr>
                        <wps:spPr bwMode="auto">
                          <a:xfrm>
                            <a:off x="679301" y="2297173"/>
                            <a:ext cx="288301" cy="1124629"/>
                          </a:xfrm>
                          <a:prstGeom prst="rect">
                            <a:avLst/>
                          </a:prstGeom>
                          <a:solidFill>
                            <a:srgbClr val="FFFFFF">
                              <a:alpha val="59999"/>
                            </a:srgbClr>
                          </a:solidFill>
                          <a:ln w="9525">
                            <a:solidFill>
                              <a:srgbClr val="000000"/>
                            </a:solidFill>
                            <a:miter lim="800000"/>
                          </a:ln>
                        </wps:spPr>
                        <wps:txbx>
                          <w:txbxContent>
                            <w:p>
                              <w:pPr>
                                <w:autoSpaceDE w:val="0"/>
                                <w:autoSpaceDN w:val="0"/>
                                <w:spacing w:before="0" w:after="0" w:line="240" w:lineRule="auto"/>
                                <w:ind w:firstLine="0" w:firstLineChars="0"/>
                                <w:jc w:val="center"/>
                                <w:textAlignment w:val="center"/>
                                <w:rPr>
                                  <w:rFonts w:ascii="Arial" w:hAnsi="Arial" w:cs="宋体"/>
                                  <w:color w:val="000000"/>
                                  <w:sz w:val="21"/>
                                  <w:szCs w:val="21"/>
                                  <w:lang w:val="zh-CN"/>
                                </w:rPr>
                              </w:pPr>
                              <w:r>
                                <w:rPr>
                                  <w:rFonts w:hint="eastAsia" w:ascii="Arial" w:hAnsi="Arial" w:cs="宋体"/>
                                  <w:color w:val="000000"/>
                                  <w:sz w:val="21"/>
                                  <w:szCs w:val="21"/>
                                  <w:lang w:val="zh-CN"/>
                                </w:rPr>
                                <w:t>客流分析</w:t>
                              </w:r>
                            </w:p>
                          </w:txbxContent>
                        </wps:txbx>
                        <wps:bodyPr rot="0" vert="horz" wrap="square" lIns="63094" tIns="31547" rIns="63094" bIns="31547" anchor="ctr" anchorCtr="0" upright="1">
                          <a:noAutofit/>
                        </wps:bodyPr>
                      </wps:wsp>
                      <wps:wsp>
                        <wps:cNvPr id="129" name="Rectangle 50"/>
                        <wps:cNvSpPr>
                          <a:spLocks noChangeArrowheads="1"/>
                        </wps:cNvSpPr>
                        <wps:spPr bwMode="auto">
                          <a:xfrm>
                            <a:off x="1321903" y="2297173"/>
                            <a:ext cx="288301" cy="1124629"/>
                          </a:xfrm>
                          <a:prstGeom prst="rect">
                            <a:avLst/>
                          </a:prstGeom>
                          <a:solidFill>
                            <a:srgbClr val="FFFFFF">
                              <a:alpha val="50195"/>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道路交通影响</w:t>
                              </w:r>
                            </w:p>
                          </w:txbxContent>
                        </wps:txbx>
                        <wps:bodyPr rot="0" vert="horz" wrap="square" lIns="63094" tIns="31547" rIns="63094" bIns="31547" anchor="ctr" anchorCtr="0" upright="1">
                          <a:noAutofit/>
                        </wps:bodyPr>
                      </wps:wsp>
                      <wps:wsp>
                        <wps:cNvPr id="130" name="Rectangle 51"/>
                        <wps:cNvSpPr>
                          <a:spLocks noChangeArrowheads="1"/>
                        </wps:cNvSpPr>
                        <wps:spPr bwMode="auto">
                          <a:xfrm>
                            <a:off x="1966405" y="2297173"/>
                            <a:ext cx="288301" cy="1124629"/>
                          </a:xfrm>
                          <a:prstGeom prst="rect">
                            <a:avLst/>
                          </a:prstGeom>
                          <a:solidFill>
                            <a:srgbClr val="FFFFFF">
                              <a:alpha val="65097"/>
                            </a:srgbClr>
                          </a:solidFill>
                          <a:ln w="9525">
                            <a:solidFill>
                              <a:srgbClr val="000000"/>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场站建设</w:t>
                              </w:r>
                            </w:p>
                          </w:txbxContent>
                        </wps:txbx>
                        <wps:bodyPr rot="0" vert="horz" wrap="square" lIns="63094" tIns="31547" rIns="63094" bIns="31547" anchor="ctr" anchorCtr="0" upright="1">
                          <a:noAutofit/>
                        </wps:bodyPr>
                      </wps:wsp>
                      <wps:wsp>
                        <wps:cNvPr id="131" name="Line 52"/>
                        <wps:cNvCnPr>
                          <a:cxnSpLocks noChangeShapeType="1"/>
                        </wps:cNvCnPr>
                        <wps:spPr bwMode="auto">
                          <a:xfrm>
                            <a:off x="4042211" y="309028"/>
                            <a:ext cx="700" cy="257301"/>
                          </a:xfrm>
                          <a:prstGeom prst="line">
                            <a:avLst/>
                          </a:prstGeom>
                          <a:noFill/>
                          <a:ln w="9525">
                            <a:solidFill>
                              <a:srgbClr val="000000"/>
                            </a:solidFill>
                            <a:round/>
                            <a:tailEnd type="triangle" w="med" len="med"/>
                          </a:ln>
                        </wps:spPr>
                        <wps:bodyPr/>
                      </wps:wsp>
                      <wps:wsp>
                        <wps:cNvPr id="132" name="Line 53"/>
                        <wps:cNvCnPr>
                          <a:cxnSpLocks noChangeShapeType="1"/>
                        </wps:cNvCnPr>
                        <wps:spPr bwMode="auto">
                          <a:xfrm>
                            <a:off x="3138008" y="1437471"/>
                            <a:ext cx="600" cy="377705"/>
                          </a:xfrm>
                          <a:prstGeom prst="line">
                            <a:avLst/>
                          </a:prstGeom>
                          <a:noFill/>
                          <a:ln w="9525">
                            <a:solidFill>
                              <a:srgbClr val="000000"/>
                            </a:solidFill>
                            <a:round/>
                            <a:tailEnd type="triangle" w="med" len="med"/>
                          </a:ln>
                        </wps:spPr>
                        <wps:bodyPr/>
                      </wps:wsp>
                      <wps:wsp>
                        <wps:cNvPr id="133" name="Line 54"/>
                        <wps:cNvCnPr>
                          <a:cxnSpLocks noChangeShapeType="1"/>
                        </wps:cNvCnPr>
                        <wps:spPr bwMode="auto">
                          <a:xfrm flipH="1">
                            <a:off x="3138008" y="2381828"/>
                            <a:ext cx="600" cy="687628"/>
                          </a:xfrm>
                          <a:prstGeom prst="line">
                            <a:avLst/>
                          </a:prstGeom>
                          <a:noFill/>
                          <a:ln w="9525">
                            <a:solidFill>
                              <a:srgbClr val="000000"/>
                            </a:solidFill>
                            <a:round/>
                            <a:tailEnd type="triangle" w="med" len="med"/>
                          </a:ln>
                        </wps:spPr>
                        <wps:bodyPr/>
                      </wps:wsp>
                      <wps:wsp>
                        <wps:cNvPr id="134" name="Line 55"/>
                        <wps:cNvCnPr>
                          <a:cxnSpLocks noChangeShapeType="1"/>
                        </wps:cNvCnPr>
                        <wps:spPr bwMode="auto">
                          <a:xfrm>
                            <a:off x="183999" y="1943492"/>
                            <a:ext cx="1931006" cy="0"/>
                          </a:xfrm>
                          <a:prstGeom prst="line">
                            <a:avLst/>
                          </a:prstGeom>
                          <a:noFill/>
                          <a:ln w="9525">
                            <a:solidFill>
                              <a:srgbClr val="000000"/>
                            </a:solidFill>
                            <a:round/>
                          </a:ln>
                        </wps:spPr>
                        <wps:bodyPr/>
                      </wps:wsp>
                      <wps:wsp>
                        <wps:cNvPr id="135" name="Rectangle 56"/>
                        <wps:cNvSpPr>
                          <a:spLocks noChangeArrowheads="1"/>
                        </wps:cNvSpPr>
                        <wps:spPr bwMode="auto">
                          <a:xfrm>
                            <a:off x="4077211" y="1741961"/>
                            <a:ext cx="429201" cy="429756"/>
                          </a:xfrm>
                          <a:prstGeom prst="rect">
                            <a:avLst/>
                          </a:prstGeom>
                          <a:noFill/>
                          <a:ln w="9525">
                            <a:solidFill>
                              <a:srgbClr val="FFFFFF"/>
                            </a:solidFill>
                            <a:miter lim="800000"/>
                          </a:ln>
                        </wps:spPr>
                        <wps:txbx>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否</w:t>
                              </w:r>
                            </w:p>
                          </w:txbxContent>
                        </wps:txbx>
                        <wps:bodyPr rot="0" vert="horz" wrap="square" lIns="63094" tIns="31547" rIns="63094" bIns="31547" anchor="ctr" anchorCtr="0" upright="1">
                          <a:noAutofit/>
                        </wps:bodyPr>
                      </wps:wsp>
                      <wps:wsp>
                        <wps:cNvPr id="136" name="Line 57"/>
                        <wps:cNvCnPr>
                          <a:cxnSpLocks noChangeShapeType="1"/>
                        </wps:cNvCnPr>
                        <wps:spPr bwMode="auto">
                          <a:xfrm>
                            <a:off x="2152505" y="318085"/>
                            <a:ext cx="600" cy="240331"/>
                          </a:xfrm>
                          <a:prstGeom prst="line">
                            <a:avLst/>
                          </a:prstGeom>
                          <a:noFill/>
                          <a:ln w="9525">
                            <a:solidFill>
                              <a:srgbClr val="000000"/>
                            </a:solidFill>
                            <a:round/>
                            <a:tailEnd type="triangle" w="med" len="med"/>
                          </a:ln>
                        </wps:spPr>
                        <wps:bodyPr/>
                      </wps:wsp>
                      <wpg:wgp>
                        <wpg:cNvPr id="137" name="Group 58"/>
                        <wpg:cNvGrpSpPr/>
                        <wpg:grpSpPr>
                          <a:xfrm>
                            <a:off x="2150605" y="838692"/>
                            <a:ext cx="1926606" cy="300867"/>
                            <a:chOff x="5406" y="3290"/>
                            <a:chExt cx="2340" cy="739"/>
                          </a:xfrm>
                        </wpg:grpSpPr>
                        <wps:wsp>
                          <wps:cNvPr id="138" name="Line 59"/>
                          <wps:cNvCnPr>
                            <a:cxnSpLocks noChangeShapeType="1"/>
                          </wps:cNvCnPr>
                          <wps:spPr bwMode="auto">
                            <a:xfrm>
                              <a:off x="6561" y="3617"/>
                              <a:ext cx="0" cy="412"/>
                            </a:xfrm>
                            <a:prstGeom prst="line">
                              <a:avLst/>
                            </a:prstGeom>
                            <a:noFill/>
                            <a:ln w="9525">
                              <a:solidFill>
                                <a:srgbClr val="000000"/>
                              </a:solidFill>
                              <a:round/>
                              <a:tailEnd type="triangle" w="med" len="med"/>
                            </a:ln>
                          </wps:spPr>
                          <wps:bodyPr/>
                        </wps:wsp>
                        <wps:wsp>
                          <wps:cNvPr id="139" name="Freeform 60"/>
                          <wps:cNvSpPr/>
                          <wps:spPr bwMode="auto">
                            <a:xfrm>
                              <a:off x="5406" y="3290"/>
                              <a:ext cx="2340" cy="312"/>
                            </a:xfrm>
                            <a:custGeom>
                              <a:avLst/>
                              <a:gdLst>
                                <a:gd name="T0" fmla="*/ 0 w 3060"/>
                                <a:gd name="T1" fmla="*/ 0 h 468"/>
                                <a:gd name="T2" fmla="*/ 0 w 3060"/>
                                <a:gd name="T3" fmla="*/ 312 h 468"/>
                                <a:gd name="T4" fmla="*/ 2340 w 3060"/>
                                <a:gd name="T5" fmla="*/ 312 h 468"/>
                                <a:gd name="T6" fmla="*/ 2340 w 3060"/>
                                <a:gd name="T7" fmla="*/ 0 h 468"/>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060" h="468">
                                  <a:moveTo>
                                    <a:pt x="0" y="0"/>
                                  </a:moveTo>
                                  <a:lnTo>
                                    <a:pt x="0" y="468"/>
                                  </a:lnTo>
                                  <a:lnTo>
                                    <a:pt x="3060" y="468"/>
                                  </a:lnTo>
                                  <a:lnTo>
                                    <a:pt x="3060" y="0"/>
                                  </a:lnTo>
                                </a:path>
                              </a:pathLst>
                            </a:custGeom>
                            <a:noFill/>
                            <a:ln w="9525">
                              <a:solidFill>
                                <a:srgbClr val="000000"/>
                              </a:solidFill>
                              <a:round/>
                            </a:ln>
                          </wps:spPr>
                          <wps:bodyPr rot="0" vert="horz" wrap="square" lIns="91440" tIns="45720" rIns="91440" bIns="45720" anchor="t" anchorCtr="0" upright="1">
                            <a:noAutofit/>
                          </wps:bodyPr>
                        </wps:wsp>
                      </wpg:wgp>
                      <wps:wsp>
                        <wps:cNvPr id="140" name="Freeform 61"/>
                        <wps:cNvSpPr/>
                        <wps:spPr bwMode="auto">
                          <a:xfrm>
                            <a:off x="4044811" y="449452"/>
                            <a:ext cx="571502" cy="1640565"/>
                          </a:xfrm>
                          <a:custGeom>
                            <a:avLst/>
                            <a:gdLst>
                              <a:gd name="T0" fmla="*/ 0 w 900"/>
                              <a:gd name="T1" fmla="*/ 1720850 h 2652"/>
                              <a:gd name="T2" fmla="*/ 571500 w 900"/>
                              <a:gd name="T3" fmla="*/ 1720850 h 2652"/>
                              <a:gd name="T4" fmla="*/ 571500 w 900"/>
                              <a:gd name="T5" fmla="*/ 0 h 2652"/>
                              <a:gd name="T6" fmla="*/ 0 w 900"/>
                              <a:gd name="T7" fmla="*/ 0 h 2652"/>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900" h="2652">
                                <a:moveTo>
                                  <a:pt x="0" y="2652"/>
                                </a:moveTo>
                                <a:lnTo>
                                  <a:pt x="900" y="2652"/>
                                </a:lnTo>
                                <a:lnTo>
                                  <a:pt x="900" y="0"/>
                                </a:lnTo>
                                <a:lnTo>
                                  <a:pt x="0" y="0"/>
                                </a:lnTo>
                              </a:path>
                            </a:pathLst>
                          </a:custGeom>
                          <a:noFill/>
                          <a:ln w="9525">
                            <a:solidFill>
                              <a:srgbClr val="000000"/>
                            </a:solidFill>
                            <a:round/>
                            <a:tailEnd type="triangle" w="med" len="med"/>
                          </a:ln>
                        </wps:spPr>
                        <wps:bodyPr rot="0" vert="horz" wrap="square" lIns="91440" tIns="45720" rIns="91440" bIns="45720" anchor="t" anchorCtr="0" upright="1">
                          <a:noAutofit/>
                        </wps:bodyPr>
                      </wps:wsp>
                    </wpc:wpc>
                  </a:graphicData>
                </a:graphic>
              </wp:inline>
            </w:drawing>
          </mc:Choice>
          <mc:Fallback>
            <w:pict>
              <v:group id="_x0000_s1026" o:spid="_x0000_s1026" o:spt="203" style="height:269.45pt;width:363.45pt;" coordsize="4615815,3422015" editas="canvas" o:gfxdata="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">
                <o:lock v:ext="edit" aspectratio="f"/>
                <v:shape id="_x0000_s1026" o:spid="_x0000_s1026" style="position:absolute;left:0;top:0;height:3422015;width:4615815;" filled="f" stroked="f" coordsize="21600,21600" o:gfxdata="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">
                  <v:fill on="f" focussize="0,0"/>
                  <v:stroke on="f"/>
                  <v:imagedata o:title=""/>
                  <o:lock v:ext="edit" aspectratio="f"/>
                </v:shape>
                <v:line id="Line 34" o:spid="_x0000_s1026" o:spt="20" style="position:absolute;left:1260303;top:1610593;height:0;width:1877706;" filled="f" stroked="t" coordsize="21600,21600" o:gfxdata="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XDUy42AAAAAUBAAAPAAAAAAAA&#10;AAEAIAAAACIAAABkcnMvZG93bnJldi54bWxQSwECFAAUAAAACACHTuJAatt3rNkBAACOAwAADgAA&#10;AAAAAAABACAAAAAnAQAAZHJzL2Uyb0RvYy54bWxQSwUGAAAAAAYABgBZAQAAcgUAAAAA&#10;">
                  <v:fill on="f" focussize="0,0"/>
                  <v:stroke color="#000000" joinstyle="round" endarrow="block"/>
                  <v:imagedata o:title=""/>
                  <o:lock v:ext="edit" aspectratio="f"/>
                </v:line>
                <v:line id="Line 35" o:spid="_x0000_s1026" o:spt="20" style="position:absolute;left:826601;top:1741961;height:555117;width:600;" filled="f" stroked="t" coordsize="21600,21600" o:gfxdata="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JHnv2NUAAAAFAQAADwAAAAAAAAABACAAAAAiAAAAZHJzL2Rvd25yZXYueG1sUEsB&#10;AhQAFAAAAAgAh07iQBccch+/AQAAYAMAAA4AAAAAAAAAAQAgAAAAJAEAAGRycy9lMm9Eb2MueG1s&#10;UEsFBgAAAAAGAAYAWQEAAFUFAAAAAA==&#10;">
                  <v:fill on="f" focussize="0,0"/>
                  <v:stroke color="#000000" joinstyle="round"/>
                  <v:imagedata o:title=""/>
                  <o:lock v:ext="edit" aspectratio="f"/>
                </v:line>
                <v:line id="Line 36" o:spid="_x0000_s1026" o:spt="20" style="position:absolute;left:183999;top:1943492;height:353586;width:600;" filled="f" stroked="t" coordsize="21600,21600" o:gfxdata="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JHnv2NUAAAAFAQAADwAAAAAAAAABACAAAAAiAAAAZHJzL2Rvd25yZXYueG1sUEsB&#10;AhQAFAAAAAgAh07iQArMTz2/AQAAYAMAAA4AAAAAAAAAAQAgAAAAJAEAAGRycy9lMm9Eb2MueG1s&#10;UEsFBgAAAAAGAAYAWQEAAFUFAAAAAA==&#10;">
                  <v:fill on="f" focussize="0,0"/>
                  <v:stroke color="#000000" joinstyle="round"/>
                  <v:imagedata o:title=""/>
                  <o:lock v:ext="edit" aspectratio="f"/>
                </v:line>
                <v:line id="Line 37" o:spid="_x0000_s1026" o:spt="20" style="position:absolute;left:1471103;top:1943492;height:353586;width:600;" filled="f" stroked="t" coordsize="21600,21600" o:gfxdata="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CR579jVAAAABQEAAA8AAAAAAAAAAQAgAAAAIgAAAGRycy9kb3ducmV2LnhtbFBL&#10;AQIUABQAAAAIAIdO4kCt0sh2wAEAAGEDAAAOAAAAAAAAAAEAIAAAACQBAABkcnMvZTJvRG9jLnht&#10;bFBLBQYAAAAABgAGAFkBAABWBQAAAAA=&#10;">
                  <v:fill on="f" focussize="0,0"/>
                  <v:stroke color="#000000" joinstyle="round"/>
                  <v:imagedata o:title=""/>
                  <o:lock v:ext="edit" aspectratio="f"/>
                </v:line>
                <v:line id="Line 38" o:spid="_x0000_s1026" o:spt="20" style="position:absolute;left:2115005;top:1943492;height:353586;width:600;" filled="f" stroked="t" coordsize="21600,21600" o:gfxdata="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kee/Y1QAAAAUBAAAPAAAAAAAAAAEAIAAAACIAAABkcnMvZG93bnJldi54bWxQ&#10;SwECFAAUAAAACACHTuJA+TNqgsEBAABhAwAADgAAAAAAAAABACAAAAAkAQAAZHJzL2Uyb0RvYy54&#10;bWxQSwUGAAAAAAYABgBZAQAAVwUAAAAA&#10;">
                  <v:fill on="f" focussize="0,0"/>
                  <v:stroke color="#000000" joinstyle="round"/>
                  <v:imagedata o:title=""/>
                  <o:lock v:ext="edit" aspectratio="f"/>
                </v:line>
                <v:rect id="Rectangle 39" o:spid="_x0000_s1026" o:spt="1" style="position:absolute;left:3138008;top:2516150;height:343862;width:352401;v-text-anchor:middle;" filled="f" stroked="t" coordsize="21600,21600" o:gfxdata="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eLRzTWAAAA&#10;BQEAAA8AAAAAAAAAAQAgAAAAIgAAAGRycy9kb3ducmV2LnhtbFBLAQIUABQAAAAIAIdO4kC7TPKJ&#10;HwIAABYEAAAOAAAAAAAAAAEAIAAAACUBAABkcnMvZTJvRG9jLnhtbFBLBQYAAAAABgAGAFkBAAC2&#10;BQAAAAA=&#10;">
                  <v:fill on="f" focussize="0,0"/>
                  <v:stroke color="#FFFFFF"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rPr>
                            <w:rFonts w:ascii="Arial" w:hAnsi="Arial" w:cs="宋体"/>
                            <w:color w:val="000000"/>
                            <w:sz w:val="21"/>
                            <w:szCs w:val="21"/>
                            <w:lang w:val="zh-CN"/>
                          </w:rPr>
                        </w:pPr>
                        <w:r>
                          <w:rPr>
                            <w:rFonts w:hint="eastAsia" w:ascii="Arial" w:hAnsi="Arial" w:cs="宋体"/>
                            <w:color w:val="000000"/>
                            <w:sz w:val="21"/>
                            <w:szCs w:val="21"/>
                            <w:lang w:val="zh-CN"/>
                          </w:rPr>
                          <w:t>是</w:t>
                        </w:r>
                      </w:p>
                    </w:txbxContent>
                  </v:textbox>
                </v:rect>
                <v:rect id="Rectangle 40" o:spid="_x0000_s1026" o:spt="1" style="position:absolute;left:1401303;top:42862;height:275032;width:1501105;v-text-anchor:middle;" fillcolor="#FFFFFF" filled="t" stroked="t" coordsize="21600,21600" o:gfxdata="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kg/LpNgAAAAFAQAADwAAAAAAAAABACAAAAAiAAAAZHJzL2Rvd25yZXYu&#10;eG1sUEsBAhQAFAAAAAgAh07iQLDawhk0AgAAXwQAAA4AAAAAAAAAAQAgAAAAJwEAAGRycy9lMm9E&#10;b2MueG1sUEsFBgAAAAAGAAYAWQEAAM0FAAAAAA==&#10;">
                  <v:fill on="t" opacity="53198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现状公交线网评价</w:t>
                        </w:r>
                      </w:p>
                    </w:txbxContent>
                  </v:textbox>
                </v:rect>
                <v:rect id="Rectangle 41" o:spid="_x0000_s1026" o:spt="1" style="position:absolute;left:1401903;top:563850;height:274842;width:1501105;v-text-anchor:middle;" fillcolor="#FFFFFF" filled="t" stroked="t" coordsize="21600,21600" o:gfxdata="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mSZ0h9cAAAAFAQAADwAAAAAAAAABACAAAAAiAAAAZHJzL2Rvd25yZXYueG1sUEsB&#10;AhQAFAAAAAgAh07iQPMdWUsvAgAAYAQAAA4AAAAAAAAAAQAgAAAAJgEAAGRycy9lMm9Eb2MueG1s&#10;UEsFBgAAAAAGAAYAWQEAAMcFAAAAAA==&#10;">
                  <v:fill on="t" opacity="44460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现状合理公交线路</w:t>
                        </w:r>
                      </w:p>
                    </w:txbxContent>
                  </v:textbox>
                </v:rect>
                <v:rect id="Rectangle 42" o:spid="_x0000_s1026" o:spt="1" style="position:absolute;left:3503110;top:35998;height:274842;width:1073203;v-text-anchor:middle;" fillcolor="#FFFFFF" filled="t" stroked="t" coordsize="21600,21600" o:gfxdata="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GC&#10;NZnaAAAABQEAAA8AAAAAAAAAAQAgAAAAIgAAAGRycy9kb3ducmV2LnhtbFBLAQIUABQAAAAIAIdO&#10;4kCGO2hhIQIAAD4EAAAOAAAAAAAAAAEAIAAAACkBAABkcnMvZTJvRG9jLnhtbFBLBQYAAAAABgAG&#10;AFkBAAC8BQAAAAA=&#10;">
                  <v:fill on="t"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备选路线集</w:t>
                        </w:r>
                      </w:p>
                    </w:txbxContent>
                  </v:textbox>
                </v:rect>
                <v:rect id="Rectangle 43" o:spid="_x0000_s1026" o:spt="1" style="position:absolute;left:3611110;top:563850;height:274842;width:857203;v-text-anchor:middle;" fillcolor="#FFFFFF" filled="t" stroked="t" coordsize="21600,21600" o:gfxdata="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YI1&#10;mdoAAAAFAQAADwAAAAAAAAABACAAAAAiAAAAZHJzL2Rvd25yZXYueG1sUEsBAhQAFAAAAAgAh07i&#10;QDxLD+MgAgAAPgQAAA4AAAAAAAAAAQAgAAAAKQEAAGRycy9lMm9Eb2MueG1sUEsFBgAAAAAGAAYA&#10;WQEAALsFAAAAAA==&#10;">
                  <v:fill on="t"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选取子集</w:t>
                        </w:r>
                      </w:p>
                    </w:txbxContent>
                  </v:textbox>
                </v:rect>
                <v:rect id="Rectangle 44" o:spid="_x0000_s1026" o:spt="1" style="position:absolute;left:2340406;top:1157100;height:274842;width:1501805;v-text-anchor:middle;" fillcolor="#FFFFFF" filled="t" stroked="t" coordsize="21600,21600" o:gfxdata="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JIPy6TYAAAABQEAAA8AAAAAAAAAAQAgAAAAIgAAAGRycy9kb3ducmV2&#10;LnhtbFBLAQIUABQAAAAIAIdO4kBk8ERKNQIAAGEEAAAOAAAAAAAAAAEAIAAAACcBAABkcnMvZTJv&#10;RG9jLnhtbFBLBQYAAAAABgAGAFkBAADOBQAAAAA=&#10;">
                  <v:fill on="t" opacity="53198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初始公交线网方案</w:t>
                        </w:r>
                      </w:p>
                    </w:txbxContent>
                  </v:textbox>
                </v:rect>
                <v:rect id="Rectangle 45" o:spid="_x0000_s1026" o:spt="1" style="position:absolute;left:363700;top:1463496;height:274746;width:936003;v-text-anchor:middle;" fillcolor="#FFFFFF" filled="t" stroked="t" coordsize="21600,21600" o:gfxdata="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B&#10;gjWZ2gAAAAUBAAAPAAAAAAAAAAEAIAAAACIAAABkcnMvZG93bnJldi54bWxQSwECFAAUAAAACACH&#10;TuJAy7OcmiICAAA+BAAADgAAAAAAAAABACAAAAApAQAAZHJzL2Uyb0RvYy54bWxQSwUGAAAAAAYA&#10;BgBZAQAAvQUAAAAA&#10;">
                  <v:fill on="t"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方案评价</w:t>
                        </w:r>
                      </w:p>
                    </w:txbxContent>
                  </v:textbox>
                </v:rect>
                <v:rect id="Rectangle 46" o:spid="_x0000_s1026" o:spt="1" style="position:absolute;left:2668707;top:3069456;height:274842;width:930303;v-text-anchor:middle;" fillcolor="#FFFFFF" filled="t" stroked="t" coordsize="21600,21600" o:gfxdata="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YI1&#10;mdoAAAAFAQAADwAAAAAAAAABACAAAAAiAAAAZHJzL2Rvd25yZXYueG1sUEsBAhQAFAAAAAgAh07i&#10;QEFlhvUgAgAAPwQAAA4AAAAAAAAAAQAgAAAAKQEAAGRycy9lMm9Eb2MueG1sUEsFBgAAAAAGAAYA&#10;WQEAALsFAAAAAA==&#10;">
                  <v:fill on="t"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推荐方案</w:t>
                        </w:r>
                      </w:p>
                    </w:txbxContent>
                  </v:textbox>
                </v:rect>
                <v:shape id="AutoShape 47" o:spid="_x0000_s1026" o:spt="4" type="#_x0000_t4" style="position:absolute;left:2221706;top:1791533;height:590294;width:1855506;v-text-anchor:middle;" fillcolor="#FFFFFF" filled="t" stroked="t" coordsize="21600,21600" o:gfxdata="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">
                  <v:fill on="t"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方案可行？</w:t>
                        </w:r>
                      </w:p>
                    </w:txbxContent>
                  </v:textbox>
                </v:shape>
                <v:rect id="Rectangle 48" o:spid="_x0000_s1026" o:spt="1" style="position:absolute;left:35999;top:2297173;height:1124629;width:288301;v-text-anchor:middle;" fillcolor="#FFFFFF" filled="t" stroked="t" coordsize="21600,21600" o:gfxdata="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9B/uV1wAAAAUBAAAPAAAAAAAAAAEAIAAAACIAAABkcnMvZG93bnJldi54&#10;bWxQSwECFAAUAAAACACHTuJA2/nmQjQCAABfBAAADgAAAAAAAAABACAAAAAmAQAAZHJzL2Uyb0Rv&#10;Yy54bWxQSwUGAAAAAAYABgBZAQAAzAUAAAAA&#10;">
                  <v:fill on="t" opacity="43175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线网结构</w:t>
                        </w:r>
                      </w:p>
                    </w:txbxContent>
                  </v:textbox>
                </v:rect>
                <v:rect id="Rectangle 49" o:spid="_x0000_s1026" o:spt="1" style="position:absolute;left:679301;top:2297173;height:1124629;width:288301;v-text-anchor:middle;" fillcolor="#FFFFFF" filled="t" stroked="t" coordsize="21600,21600" o:gfxdata="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XvXxONUAAAAFAQAADwAAAAAAAAABACAAAAAiAAAAZHJzL2Rvd25yZXYueG1sUEsB&#10;AhQAFAAAAAgAh07iQLwuda4xAgAAYAQAAA4AAAAAAAAAAQAgAAAAJAEAAGRycy9lMm9Eb2MueG1s&#10;UEsFBgAAAAAGAAYAWQEAAMcFAAAAAA==&#10;">
                  <v:fill on="t" opacity="39320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textAlignment w:val="center"/>
                          <w:rPr>
                            <w:rFonts w:ascii="Arial" w:hAnsi="Arial" w:cs="宋体"/>
                            <w:color w:val="000000"/>
                            <w:sz w:val="21"/>
                            <w:szCs w:val="21"/>
                            <w:lang w:val="zh-CN"/>
                          </w:rPr>
                        </w:pPr>
                        <w:r>
                          <w:rPr>
                            <w:rFonts w:hint="eastAsia" w:ascii="Arial" w:hAnsi="Arial" w:cs="宋体"/>
                            <w:color w:val="000000"/>
                            <w:sz w:val="21"/>
                            <w:szCs w:val="21"/>
                            <w:lang w:val="zh-CN"/>
                          </w:rPr>
                          <w:t>客流分析</w:t>
                        </w:r>
                      </w:p>
                    </w:txbxContent>
                  </v:textbox>
                </v:rect>
                <v:rect id="Rectangle 50" o:spid="_x0000_s1026" o:spt="1" style="position:absolute;left:1321903;top:2297173;height:1124629;width:288301;v-text-anchor:middle;" fillcolor="#FFFFFF" filled="t" stroked="t" coordsize="21600,21600" o:gfxdata="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A/VBSdUAAAAFAQAADwAAAAAAAAABACAAAAAiAAAAZHJzL2Rvd25yZXYueG1s&#10;UEsBAhQAFAAAAAgAh07iQALFVZU0AgAAYQQAAA4AAAAAAAAAAQAgAAAAJAEAAGRycy9lMm9Eb2Mu&#10;eG1sUEsFBgAAAAAGAAYAWQEAAMoFAAAAAA==&#10;">
                  <v:fill on="t" opacity="32895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道路交通影响</w:t>
                        </w:r>
                      </w:p>
                    </w:txbxContent>
                  </v:textbox>
                </v:rect>
                <v:rect id="Rectangle 51" o:spid="_x0000_s1026" o:spt="1" style="position:absolute;left:1966405;top:2297173;height:1124629;width:288301;v-text-anchor:middle;" fillcolor="#FFFFFF" filled="t" stroked="t" coordsize="21600,21600" o:gfxdata="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ueTrNgAAAAFAQAADwAAAAAAAAABACAAAAAiAAAAZHJzL2Rvd25yZXYu&#10;eG1sUEsBAhQAFAAAAAgAh07iQE84MAA0AgAAYQQAAA4AAAAAAAAAAQAgAAAAJwEAAGRycy9lMm9E&#10;b2MueG1sUEsFBgAAAAAGAAYAWQEAAM0FAAAAAA==&#10;">
                  <v:fill on="t" opacity="42661f" focussize="0,0"/>
                  <v:stroke color="#000000"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场站建设</w:t>
                        </w:r>
                      </w:p>
                    </w:txbxContent>
                  </v:textbox>
                </v:rect>
                <v:line id="Line 52" o:spid="_x0000_s1026" o:spt="20" style="position:absolute;left:4042211;top:309028;height:257301;width:700;" filled="f" stroked="t" coordsize="21600,21600" o:gfxdata="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w1MuNgAAAAFAQAADwAAAAAA&#10;AAABACAAAAAiAAAAZHJzL2Rvd25yZXYueG1sUEsBAhQAFAAAAAgAh07iQJTQ1V3aAQAAjgMAAA4A&#10;AAAAAAAAAQAgAAAAJwEAAGRycy9lMm9Eb2MueG1sUEsFBgAAAAAGAAYAWQEAAHMFAAAAAA==&#10;">
                  <v:fill on="f" focussize="0,0"/>
                  <v:stroke color="#000000" joinstyle="round" endarrow="block"/>
                  <v:imagedata o:title=""/>
                  <o:lock v:ext="edit" aspectratio="f"/>
                </v:line>
                <v:line id="Line 53" o:spid="_x0000_s1026" o:spt="20" style="position:absolute;left:3138008;top:1437471;height:377705;width:600;" filled="f" stroked="t" coordsize="21600,21600" o:gfxdata="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">
                  <v:fill on="f" focussize="0,0"/>
                  <v:stroke color="#000000" joinstyle="round" endarrow="block"/>
                  <v:imagedata o:title=""/>
                  <o:lock v:ext="edit" aspectratio="f"/>
                </v:line>
                <v:line id="Line 54" o:spid="_x0000_s1026" o:spt="20" style="position:absolute;left:3138008;top:2381828;flip:x;height:687628;width:600;" filled="f" stroked="t" coordsize="21600,21600" o:gfxdata="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N9l2evYAAAABQEA&#10;AA8AAAAAAAAAAQAgAAAAIgAAAGRycy9kb3ducmV2LnhtbFBLAQIUABQAAAAIAIdO4kBzwyA14QEA&#10;AJkDAAAOAAAAAAAAAAEAIAAAACcBAABkcnMvZTJvRG9jLnhtbFBLBQYAAAAABgAGAFkBAAB6BQAA&#10;AAA=&#10;">
                  <v:fill on="f" focussize="0,0"/>
                  <v:stroke color="#000000" joinstyle="round" endarrow="block"/>
                  <v:imagedata o:title=""/>
                  <o:lock v:ext="edit" aspectratio="f"/>
                </v:line>
                <v:line id="Line 55" o:spid="_x0000_s1026" o:spt="20" style="position:absolute;left:183999;top:1943492;height:0;width:1931006;" filled="f" stroked="t" coordsize="21600,21600" o:gfxdata="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">
                  <v:fill on="f" focussize="0,0"/>
                  <v:stroke color="#000000" joinstyle="round"/>
                  <v:imagedata o:title=""/>
                  <o:lock v:ext="edit" aspectratio="f"/>
                </v:line>
                <v:rect id="Rectangle 56" o:spid="_x0000_s1026" o:spt="1" style="position:absolute;left:4077211;top:1741961;height:429756;width:429201;v-text-anchor:middle;" filled="f" stroked="t" coordsize="21600,21600" o:gfxdata="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">
                  <v:fill on="f" focussize="0,0"/>
                  <v:stroke color="#FFFFFF" miterlimit="8" joinstyle="miter"/>
                  <v:imagedata o:title=""/>
                  <o:lock v:ext="edit" aspectratio="f"/>
                  <v:textbox inset="4.96803149606299pt,2.4840157480315pt,4.96803149606299pt,2.4840157480315pt">
                    <w:txbxContent>
                      <w:p>
                        <w:pPr>
                          <w:autoSpaceDE w:val="0"/>
                          <w:autoSpaceDN w:val="0"/>
                          <w:spacing w:before="0" w:after="0" w:line="240" w:lineRule="auto"/>
                          <w:ind w:firstLine="0" w:firstLineChars="0"/>
                          <w:jc w:val="center"/>
                          <w:rPr>
                            <w:rFonts w:ascii="Arial" w:hAnsi="Arial" w:cs="宋体"/>
                            <w:color w:val="000000"/>
                            <w:sz w:val="21"/>
                            <w:szCs w:val="21"/>
                            <w:lang w:val="zh-CN"/>
                          </w:rPr>
                        </w:pPr>
                        <w:r>
                          <w:rPr>
                            <w:rFonts w:hint="eastAsia" w:ascii="Arial" w:hAnsi="Arial" w:cs="宋体"/>
                            <w:color w:val="000000"/>
                            <w:sz w:val="21"/>
                            <w:szCs w:val="21"/>
                            <w:lang w:val="zh-CN"/>
                          </w:rPr>
                          <w:t>否</w:t>
                        </w:r>
                      </w:p>
                    </w:txbxContent>
                  </v:textbox>
                </v:rect>
                <v:line id="Line 57" o:spid="_x0000_s1026" o:spt="20" style="position:absolute;left:2152505;top:318085;height:240331;width:600;" filled="f" stroked="t" coordsize="21600,21600" o:gfxdata="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XDUy42AAAAAUBAAAPAAAAAAAA&#10;AAEAIAAAACIAAABkcnMvZG93bnJldi54bWxQSwECFAAUAAAACACHTuJAYWjIRdkBAACOAwAADgAA&#10;AAAAAAABACAAAAAnAQAAZHJzL2Uyb0RvYy54bWxQSwUGAAAAAAYABgBZAQAAcgUAAAAA&#10;">
                  <v:fill on="f" focussize="0,0"/>
                  <v:stroke color="#000000" joinstyle="round" endarrow="block"/>
                  <v:imagedata o:title=""/>
                  <o:lock v:ext="edit" aspectratio="f"/>
                </v:line>
                <v:group id="Group 58" o:spid="_x0000_s1026" o:spt="203" style="position:absolute;left:2150605;top:838692;height:300867;width:1926606;" coordorigin="5406,3290" coordsize="2340,739" o:gfxdata="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">
                  <o:lock v:ext="edit" aspectratio="f"/>
                  <v:line id="Line 59" o:spid="_x0000_s1026" o:spt="20" style="position:absolute;left:6561;top:3617;height:412;width:0;" filled="f" stroked="t" coordsize="21600,21600" o:gfxdata="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pzgN&#10;wAAAANwAAAAPAAAAAAAAAAEAIAAAACIAAABkcnMvZG93bnJldi54bWxQSwECFAAUAAAACACHTuJA&#10;My8FnjsAAAA5AAAAEAAAAAAAAAABACAAAAAPAQAAZHJzL3NoYXBleG1sLnhtbFBLBQYAAAAABgAG&#10;AFsBAAC5AwAAAAA=&#10;">
                    <v:fill on="f" focussize="0,0"/>
                    <v:stroke color="#000000" joinstyle="round" endarrow="block"/>
                    <v:imagedata o:title=""/>
                    <o:lock v:ext="edit" aspectratio="f"/>
                  </v:line>
                  <v:shape id="Freeform 60" o:spid="_x0000_s1026" o:spt="100" style="position:absolute;left:5406;top:3290;height:312;width:2340;" filled="f" stroked="t" coordsize="3060,468" o:gfxdata="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JnLZb4A&#10;AADcAAAADwAAAAAAAAABACAAAAAiAAAAZHJzL2Rvd25yZXYueG1sUEsBAhQAFAAAAAgAh07iQDMv&#10;BZ47AAAAOQAAABAAAAAAAAAAAQAgAAAADQEAAGRycy9zaGFwZXhtbC54bWxQSwUGAAAAAAYABgBb&#10;AQAAtwMAAAAA&#10;" path="m0,0l0,468,3060,468,3060,0e">
                    <v:path o:connectlocs="0,0;0,208;1789,208;1789,0" o:connectangles="0,0,0,0"/>
                    <v:fill on="f" focussize="0,0"/>
                    <v:stroke color="#000000" joinstyle="round"/>
                    <v:imagedata o:title=""/>
                    <o:lock v:ext="edit" aspectratio="f"/>
                  </v:shape>
                </v:group>
                <v:shape id="Freeform 61" o:spid="_x0000_s1026" o:spt="100" style="position:absolute;left:4044811;top:449452;height:1640565;width:571502;" filled="f" stroked="t" coordsize="900,2652" o:gfxdata="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" path="m0,2652l900,2652,900,0,0,0e">
                  <v:path o:connectlocs="0,1064542337;362903770,1064542337;362903770,0;0,0" o:connectangles="0,0,0,0"/>
                  <v:fill on="f" focussize="0,0"/>
                  <v:stroke color="#000000" joinstyle="round" endarrow="block"/>
                  <v:imagedata o:title=""/>
                  <o:lock v:ext="edit" aspectratio="f"/>
                </v:shape>
                <w10:wrap type="none"/>
                <w10:anchorlock/>
              </v:group>
            </w:pict>
          </mc:Fallback>
        </mc:AlternateContent>
      </w:r>
    </w:p>
    <w:p>
      <w:pPr>
        <w:pStyle w:val="117"/>
      </w:pPr>
      <w:r>
        <w:t>图5-1  公交线网方案规划流程图</w:t>
      </w:r>
    </w:p>
    <w:p>
      <w:pPr>
        <w:pStyle w:val="4"/>
        <w:rPr>
          <w:rFonts w:cs="Times New Roman"/>
        </w:rPr>
      </w:pPr>
      <w:bookmarkStart w:id="99" w:name="_Toc518573685"/>
      <w:bookmarkStart w:id="100" w:name="_Toc503152834"/>
      <w:r>
        <w:rPr>
          <w:rFonts w:cs="Times New Roman"/>
        </w:rPr>
        <w:t>5.2 公交线网规划步骤</w:t>
      </w:r>
      <w:bookmarkEnd w:id="99"/>
      <w:bookmarkEnd w:id="100"/>
    </w:p>
    <w:p>
      <w:pPr>
        <w:ind w:firstLine="480"/>
        <w:rPr>
          <w:rFonts w:cs="Times New Roman"/>
        </w:rPr>
      </w:pPr>
      <w:r>
        <w:rPr>
          <w:rFonts w:cs="Times New Roman"/>
        </w:rPr>
        <w:t>目前</w:t>
      </w:r>
      <w:r>
        <w:rPr>
          <w:rFonts w:hint="eastAsia" w:cs="Times New Roman"/>
        </w:rPr>
        <w:t>城中片区</w:t>
      </w:r>
      <w:r>
        <w:rPr>
          <w:rFonts w:cs="Times New Roman"/>
        </w:rPr>
        <w:t>人口密度较高，且道路普遍较窄，停车设施缺乏；公交线路在老城区较为集中，虽然公交线网覆盖率高，但过于冗杂的线路对于</w:t>
      </w:r>
      <w:r>
        <w:rPr>
          <w:rFonts w:hint="eastAsia" w:cs="Times New Roman"/>
        </w:rPr>
        <w:t>城中片区</w:t>
      </w:r>
      <w:r>
        <w:rPr>
          <w:rFonts w:cs="Times New Roman"/>
        </w:rPr>
        <w:t>道路较窄的道路条件来说反而会影响公交运行效率。由于老城发展较为成熟，配套完善，正逐渐向周围辐射，同时随着未来临空经济区的建成，各片区之间交流日益密切，对公共交通的需求也日益增加。</w:t>
      </w:r>
    </w:p>
    <w:p>
      <w:pPr>
        <w:ind w:firstLine="480"/>
        <w:rPr>
          <w:rFonts w:cs="Times New Roman"/>
        </w:rPr>
      </w:pPr>
      <w:r>
        <w:rPr>
          <w:rFonts w:cs="Times New Roman"/>
        </w:rPr>
        <w:t>根据《资阳市城市总体规划（2017-2035）》，资阳市在2016年—2030年期间，（1）建设以高速公路、快速客运专线铁路为骨架的区域快速运输网络，（2）实现资阳与成都城市核心区之间的快速直达，（3）强化资阳中心城区与市域重要城镇之间的快速联系。</w:t>
      </w:r>
    </w:p>
    <w:p>
      <w:pPr>
        <w:ind w:firstLine="480"/>
        <w:rPr>
          <w:rFonts w:cs="Times New Roman"/>
        </w:rPr>
      </w:pPr>
      <w:r>
        <w:rPr>
          <w:rFonts w:cs="Times New Roman"/>
        </w:rPr>
        <w:t>根据以上的用地布局调整策略，本次公交线网规划可以分两步来实施：</w:t>
      </w:r>
    </w:p>
    <w:p>
      <w:pPr>
        <w:ind w:firstLine="480"/>
        <w:rPr>
          <w:rFonts w:cs="Times New Roman"/>
        </w:rPr>
      </w:pPr>
      <w:r>
        <w:rPr>
          <w:rFonts w:cs="Times New Roman"/>
        </w:rPr>
        <w:t>第一阶段—近期规划（2018-2020）：重点对现状线路进行优化调整，对公交未覆盖区域进行线网补充，对各主要客流集散地进行连接；</w:t>
      </w:r>
    </w:p>
    <w:p>
      <w:pPr>
        <w:ind w:firstLine="480"/>
        <w:rPr>
          <w:rFonts w:cs="Times New Roman"/>
        </w:rPr>
      </w:pPr>
      <w:r>
        <w:rPr>
          <w:rFonts w:cs="Times New Roman"/>
        </w:rPr>
        <w:t>第二阶段—后期规划（2020-2030）：配合公交场站的新建，将公交线网向城市外围延伸，进一步提高公交覆盖范围。</w:t>
      </w:r>
    </w:p>
    <w:p>
      <w:pPr>
        <w:pStyle w:val="4"/>
        <w:rPr>
          <w:rFonts w:cs="Times New Roman"/>
        </w:rPr>
      </w:pPr>
      <w:bookmarkStart w:id="101" w:name="_Toc518573686"/>
      <w:r>
        <w:rPr>
          <w:rFonts w:cs="Times New Roman"/>
        </w:rPr>
        <w:t>5.3 公交线网发展规模</w:t>
      </w:r>
      <w:bookmarkEnd w:id="101"/>
    </w:p>
    <w:p>
      <w:pPr>
        <w:ind w:firstLine="480"/>
        <w:rPr>
          <w:rFonts w:cs="Times New Roman"/>
        </w:rPr>
      </w:pPr>
      <w:r>
        <w:rPr>
          <w:rFonts w:cs="Times New Roman"/>
        </w:rPr>
        <w:t>公交线网规模分析主要针对城市公交进行，通过论证分析，以平衡供给与需求，避免资源浪费或供给不足。</w:t>
      </w:r>
    </w:p>
    <w:p>
      <w:pPr>
        <w:ind w:firstLine="480"/>
        <w:rPr>
          <w:rFonts w:cs="Times New Roman"/>
        </w:rPr>
      </w:pPr>
      <w:r>
        <w:rPr>
          <w:rFonts w:cs="Times New Roman"/>
        </w:rPr>
        <w:t>力争资阳中心城区近期公交线网密度达到2公里/平方公里，重复系数为2.50，则规划公交线路总里程力争达到207公里，线路平均长度为8～12公里，则需要公交线路17～25条；保证后期公交线网密度达到3公里/平方公里，重复系数1.80，则规划公交线路总里程应达到224公里，线路平均长度为8～12公里，则需要公交线路19～28条。</w:t>
      </w:r>
    </w:p>
    <w:p>
      <w:pPr>
        <w:pStyle w:val="4"/>
        <w:spacing w:before="163" w:after="163"/>
        <w:rPr>
          <w:rFonts w:cs="Times New Roman"/>
        </w:rPr>
      </w:pPr>
      <w:bookmarkStart w:id="102" w:name="_Toc518573687"/>
      <w:bookmarkStart w:id="103" w:name="_Toc503152836"/>
      <w:r>
        <w:rPr>
          <w:rFonts w:cs="Times New Roman"/>
        </w:rPr>
        <w:t>5.4 城市公交线网规划方案</w:t>
      </w:r>
      <w:bookmarkEnd w:id="102"/>
      <w:bookmarkEnd w:id="103"/>
    </w:p>
    <w:p>
      <w:pPr>
        <w:pStyle w:val="5"/>
        <w:rPr>
          <w:rFonts w:cs="Times New Roman"/>
        </w:rPr>
      </w:pPr>
      <w:bookmarkStart w:id="104" w:name="_Toc518573688"/>
      <w:r>
        <w:rPr>
          <w:rFonts w:cs="Times New Roman"/>
        </w:rPr>
        <w:t>5.4.1 规划思路</w:t>
      </w:r>
      <w:bookmarkEnd w:id="49"/>
      <w:bookmarkEnd w:id="104"/>
    </w:p>
    <w:p>
      <w:pPr>
        <w:ind w:firstLine="482"/>
        <w:rPr>
          <w:rFonts w:cs="Times New Roman"/>
          <w:b/>
        </w:rPr>
      </w:pPr>
      <w:r>
        <w:rPr>
          <w:rFonts w:cs="Times New Roman"/>
          <w:b/>
        </w:rPr>
        <w:t>1. 公交线网分级</w:t>
      </w:r>
    </w:p>
    <w:p>
      <w:pPr>
        <w:ind w:firstLine="480"/>
        <w:rPr>
          <w:rFonts w:cs="Times New Roman"/>
        </w:rPr>
      </w:pPr>
      <w:r>
        <w:rPr>
          <w:rFonts w:cs="Times New Roman"/>
        </w:rPr>
        <w:t>随着资阳市中心城区不断扩大，想要提高公共交通覆盖路，同时保证一定的服务水平，必须分级布设公交线网。公交快线指承担大运量和主要客流集散地的长距离、快速交通，公交干线承担各个组团间及组团内部出行，公交支线则是快线和干线的延伸，打通城市公交微循环，快线、干线、支线三级公交线网可以保持合理的平均线路长度，提高营运效率和服务水平，并提供较高的覆盖率。</w:t>
      </w:r>
    </w:p>
    <w:p>
      <w:pPr>
        <w:ind w:firstLine="482"/>
        <w:rPr>
          <w:rFonts w:cs="Times New Roman"/>
          <w:b/>
        </w:rPr>
      </w:pPr>
      <w:r>
        <w:rPr>
          <w:rFonts w:cs="Times New Roman"/>
          <w:b/>
        </w:rPr>
        <w:t>2. 公交线网组织模式</w:t>
      </w:r>
    </w:p>
    <w:p>
      <w:pPr>
        <w:ind w:firstLine="480"/>
        <w:rPr>
          <w:rFonts w:cs="Times New Roman"/>
        </w:rPr>
      </w:pPr>
      <w:r>
        <w:rPr>
          <w:rFonts w:cs="Times New Roman"/>
        </w:rPr>
        <w:t>城市公交强调系统分级的组织模式，形成</w:t>
      </w:r>
      <w:r>
        <w:rPr>
          <w:rFonts w:cs="Times New Roman" w:asciiTheme="majorEastAsia" w:hAnsiTheme="majorEastAsia" w:eastAsiaTheme="majorEastAsia"/>
        </w:rPr>
        <w:t>以“枢纽”为中</w:t>
      </w:r>
      <w:r>
        <w:rPr>
          <w:rFonts w:cs="Times New Roman"/>
        </w:rPr>
        <w:t>心的公共交通运输网络布局，合理集散不同功能层次运输系统的衔接和换乘。各组团之间通过组团内枢纽间的公交快线相连接。组团内和相邻组团之间采用一定数量的点对点或环线的公交干线和支线相连。</w:t>
      </w:r>
    </w:p>
    <w:p>
      <w:pPr>
        <w:ind w:firstLine="482"/>
        <w:rPr>
          <w:rFonts w:cs="Times New Roman"/>
          <w:b/>
        </w:rPr>
      </w:pPr>
      <w:r>
        <w:rPr>
          <w:rFonts w:cs="Times New Roman"/>
          <w:b/>
        </w:rPr>
        <w:t>3. 线网设计考虑因素</w:t>
      </w:r>
    </w:p>
    <w:p>
      <w:pPr>
        <w:ind w:firstLine="480"/>
        <w:rPr>
          <w:rFonts w:cs="Times New Roman"/>
        </w:rPr>
      </w:pPr>
      <w:r>
        <w:rPr>
          <w:rFonts w:cs="Times New Roman"/>
        </w:rPr>
        <w:t>资阳市在公共交通发展初期，线路的设计以方便居民出行为重要目标，这样做可最大程度的吸引客流，提升公交分担率，具有一定的合理性；但为了保证公共交通的可持续发展，在后续发展中除了考虑乘客乘车的便捷性，还须认识到线路及站点设置的规范性，以解决现状公共交通与城市交通的冲突和矛盾。因此，针对现状调研结果，结合现有资阳市公交比较突出的问题和矛盾，本次公交线网规划提出了定位于操作的实施性方案，最大限度地将规划的可操作性和科学性结合起来。</w:t>
      </w:r>
    </w:p>
    <w:p>
      <w:pPr>
        <w:spacing w:before="163" w:after="163"/>
        <w:ind w:firstLine="482"/>
        <w:rPr>
          <w:rFonts w:cs="Times New Roman"/>
          <w:b/>
        </w:rPr>
      </w:pPr>
      <w:r>
        <w:rPr>
          <w:rFonts w:cs="Times New Roman"/>
          <w:b/>
        </w:rPr>
        <w:t>4. 线网规划方法</w:t>
      </w:r>
    </w:p>
    <w:p>
      <w:pPr>
        <w:spacing w:before="163" w:after="163"/>
        <w:ind w:firstLine="482"/>
        <w:rPr>
          <w:rFonts w:cs="Times New Roman"/>
          <w:b/>
        </w:rPr>
      </w:pPr>
      <w:r>
        <w:rPr>
          <w:rFonts w:cs="Times New Roman"/>
          <w:b/>
        </w:rPr>
        <w:t>1</w:t>
      </w:r>
      <w:r>
        <w:rPr>
          <w:rFonts w:hint="eastAsia" w:cs="Times New Roman"/>
          <w:b/>
        </w:rPr>
        <w:t>）</w:t>
      </w:r>
      <w:r>
        <w:rPr>
          <w:rFonts w:cs="Times New Roman"/>
          <w:b/>
        </w:rPr>
        <w:t>近期客运集散点</w:t>
      </w:r>
    </w:p>
    <w:p>
      <w:pPr>
        <w:spacing w:before="163" w:after="163"/>
        <w:ind w:firstLine="480"/>
        <w:rPr>
          <w:rFonts w:cs="Times New Roman"/>
        </w:rPr>
      </w:pPr>
      <w:r>
        <w:rPr>
          <w:rFonts w:cs="Times New Roman"/>
        </w:rPr>
        <w:t>通过实地跟车调研，确定了资阳市主要客流集散点。资阳市公交客流主要集散点主要分布在老城区以及老城区至其他片区的交通走廊上，具体分布如下图5-2所示</w:t>
      </w:r>
      <w:r>
        <w:rPr>
          <w:rFonts w:hint="eastAsia" w:cs="Times New Roman"/>
        </w:rPr>
        <w:t>。</w:t>
      </w:r>
    </w:p>
    <w:p>
      <w:pPr>
        <w:pStyle w:val="161"/>
        <w:rPr>
          <w:rFonts w:ascii="Times New Roman" w:cs="Times New Roman"/>
          <w:szCs w:val="22"/>
        </w:rPr>
      </w:pPr>
      <w:r>
        <w:rPr>
          <w:rFonts w:ascii="Times New Roman" w:cs="Times New Roman"/>
        </w:rPr>
        <w:drawing>
          <wp:inline distT="0" distB="0" distL="0" distR="0">
            <wp:extent cx="4777740" cy="5243195"/>
            <wp:effectExtent l="19050" t="19050" r="22860" b="146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789230" cy="5256275"/>
                    </a:xfrm>
                    <a:prstGeom prst="rect">
                      <a:avLst/>
                    </a:prstGeom>
                    <a:ln>
                      <a:solidFill>
                        <a:schemeClr val="tx1"/>
                      </a:solidFill>
                    </a:ln>
                  </pic:spPr>
                </pic:pic>
              </a:graphicData>
            </a:graphic>
          </wp:inline>
        </w:drawing>
      </w:r>
    </w:p>
    <w:p>
      <w:pPr>
        <w:pStyle w:val="117"/>
      </w:pPr>
      <w:r>
        <w:t>图5-2  资阳市现状主要客流集散点分布图</w:t>
      </w:r>
    </w:p>
    <w:p>
      <w:pPr>
        <w:spacing w:before="163" w:after="163"/>
        <w:ind w:firstLine="482"/>
        <w:rPr>
          <w:rFonts w:cs="Times New Roman"/>
          <w:b/>
        </w:rPr>
      </w:pPr>
      <w:r>
        <w:rPr>
          <w:rFonts w:cs="Times New Roman"/>
          <w:b/>
        </w:rPr>
        <w:t>2</w:t>
      </w:r>
      <w:r>
        <w:rPr>
          <w:rFonts w:hint="eastAsia" w:cs="Times New Roman"/>
          <w:b/>
        </w:rPr>
        <w:t>）</w:t>
      </w:r>
      <w:r>
        <w:rPr>
          <w:rFonts w:cs="Times New Roman"/>
          <w:b/>
        </w:rPr>
        <w:t>线网近期改善措施</w:t>
      </w:r>
    </w:p>
    <w:p>
      <w:pPr>
        <w:spacing w:before="163" w:after="163"/>
        <w:ind w:firstLine="480"/>
        <w:rPr>
          <w:rFonts w:cs="Times New Roman"/>
        </w:rPr>
      </w:pPr>
      <w:r>
        <w:rPr>
          <w:rFonts w:cs="Times New Roman"/>
        </w:rPr>
        <w:t>针对现状评价中公交线路常见线路重叠、绕行过多、效益不佳、过于拥挤、线路过长、运行不可靠等问题，对其客流及相关指标等进行分析，判断线路问题，采取针对性的优化调整措施，具体措施如下：</w:t>
      </w:r>
    </w:p>
    <w:p>
      <w:pPr>
        <w:spacing w:before="163" w:after="163"/>
        <w:ind w:firstLine="480"/>
        <w:rPr>
          <w:rFonts w:cs="Times New Roman"/>
        </w:rPr>
      </w:pPr>
      <w:r>
        <w:rPr>
          <w:rFonts w:hint="eastAsia" w:ascii="宋体" w:hAnsi="宋体" w:cs="宋体"/>
        </w:rPr>
        <w:t>①</w:t>
      </w:r>
      <w:r>
        <w:rPr>
          <w:rFonts w:cs="Times New Roman"/>
        </w:rPr>
        <w:t>调整通道、降低重复</w:t>
      </w:r>
    </w:p>
    <w:p>
      <w:pPr>
        <w:spacing w:before="163" w:after="163"/>
        <w:ind w:firstLine="480"/>
        <w:rPr>
          <w:rFonts w:cs="Times New Roman"/>
        </w:rPr>
      </w:pPr>
      <w:r>
        <w:rPr>
          <w:rFonts w:cs="Times New Roman"/>
        </w:rPr>
        <w:t>对于重叠较长的两条线路，在两条线路重叠路段均不饱和的情况下，可以考虑对其中一条线路进行走向调整，一方面降低重复系数，提高线网服务范围，另一方面改善线路运营效益。</w:t>
      </w:r>
    </w:p>
    <w:p>
      <w:pPr>
        <w:pStyle w:val="161"/>
        <w:rPr>
          <w:rFonts w:ascii="Times New Roman" w:cs="Times New Roman"/>
        </w:rPr>
      </w:pPr>
      <w:r>
        <w:rPr>
          <w:rFonts w:ascii="Times New Roman" w:cs="Times New Roman"/>
        </w:rPr>
        <w:drawing>
          <wp:inline distT="0" distB="0" distL="0" distR="0">
            <wp:extent cx="3434080" cy="1941195"/>
            <wp:effectExtent l="19050" t="19050" r="13970" b="2095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68" cstate="print">
                      <a:extLst>
                        <a:ext uri="{28A0092B-C50C-407E-A947-70E740481C1C}">
                          <a14:useLocalDpi xmlns:a14="http://schemas.microsoft.com/office/drawing/2010/main" val="0"/>
                        </a:ext>
                      </a:extLst>
                    </a:blip>
                    <a:srcRect l="2568" t="5061" r="1737" b="883"/>
                    <a:stretch>
                      <a:fillRect/>
                    </a:stretch>
                  </pic:blipFill>
                  <pic:spPr>
                    <a:xfrm>
                      <a:off x="0" y="0"/>
                      <a:ext cx="3434400" cy="1941441"/>
                    </a:xfrm>
                    <a:prstGeom prst="rect">
                      <a:avLst/>
                    </a:prstGeom>
                    <a:noFill/>
                    <a:ln w="6350">
                      <a:solidFill>
                        <a:schemeClr val="tx1"/>
                      </a:solidFill>
                    </a:ln>
                  </pic:spPr>
                </pic:pic>
              </a:graphicData>
            </a:graphic>
          </wp:inline>
        </w:drawing>
      </w:r>
    </w:p>
    <w:p>
      <w:pPr>
        <w:pStyle w:val="117"/>
      </w:pPr>
      <w:r>
        <w:t>图5-3  公交线路常用优化方法1——调整通道、降低重复</w:t>
      </w:r>
    </w:p>
    <w:p>
      <w:pPr>
        <w:spacing w:before="163" w:after="163"/>
        <w:ind w:firstLine="480"/>
        <w:rPr>
          <w:rFonts w:cs="Times New Roman"/>
        </w:rPr>
      </w:pPr>
      <w:r>
        <w:rPr>
          <w:rFonts w:hint="eastAsia" w:ascii="宋体" w:hAnsi="宋体" w:cs="宋体"/>
        </w:rPr>
        <w:t>②</w:t>
      </w:r>
      <w:r>
        <w:rPr>
          <w:rFonts w:cs="Times New Roman"/>
        </w:rPr>
        <w:t>裁弯取值、配套支线</w:t>
      </w:r>
    </w:p>
    <w:p>
      <w:pPr>
        <w:spacing w:before="163" w:after="163"/>
        <w:ind w:firstLine="480"/>
        <w:rPr>
          <w:rFonts w:cs="Times New Roman"/>
        </w:rPr>
      </w:pPr>
      <w:r>
        <w:rPr>
          <w:rFonts w:cs="Times New Roman"/>
        </w:rPr>
        <w:t>该方法适用于非直线系数较高的线路。通常对于非直线系数高于评价标准的线路，局部路段上下客流量较少时，可以考虑对线路进行取直，减少线路的不合理绕行，提高运行效率和效益。同时，需要考虑原有线路经地区的公交出行，尽可能利用其他线路代替，或者新建支线来代替。</w:t>
      </w:r>
    </w:p>
    <w:p>
      <w:pPr>
        <w:pStyle w:val="161"/>
        <w:rPr>
          <w:rFonts w:ascii="Times New Roman" w:cs="Times New Roman"/>
        </w:rPr>
      </w:pPr>
      <w:r>
        <w:rPr>
          <w:rFonts w:ascii="Times New Roman" w:cs="Times New Roman"/>
        </w:rPr>
        <w:drawing>
          <wp:inline distT="0" distB="0" distL="0" distR="0">
            <wp:extent cx="3432810" cy="2616200"/>
            <wp:effectExtent l="19050" t="19050" r="15240" b="1270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3433313" cy="2616407"/>
                    </a:xfrm>
                    <a:prstGeom prst="rect">
                      <a:avLst/>
                    </a:prstGeom>
                    <a:noFill/>
                    <a:ln>
                      <a:solidFill>
                        <a:schemeClr val="tx1"/>
                      </a:solidFill>
                    </a:ln>
                  </pic:spPr>
                </pic:pic>
              </a:graphicData>
            </a:graphic>
          </wp:inline>
        </w:drawing>
      </w:r>
    </w:p>
    <w:p>
      <w:pPr>
        <w:pStyle w:val="117"/>
      </w:pPr>
      <w:r>
        <w:t>图5</w:t>
      </w:r>
      <w:r>
        <w:rPr>
          <w:rFonts w:hint="eastAsia"/>
        </w:rPr>
        <w:t>-</w:t>
      </w:r>
      <w:r>
        <w:t>4  公交线路常用优化方法2——裁弯取值、配套支线</w:t>
      </w:r>
    </w:p>
    <w:p>
      <w:pPr>
        <w:spacing w:before="163" w:after="163"/>
        <w:ind w:firstLine="480"/>
        <w:rPr>
          <w:rFonts w:cs="Times New Roman"/>
        </w:rPr>
      </w:pPr>
      <w:r>
        <w:rPr>
          <w:rFonts w:hint="eastAsia" w:ascii="宋体" w:hAnsi="宋体" w:cs="宋体"/>
        </w:rPr>
        <w:t>③</w:t>
      </w:r>
      <w:r>
        <w:rPr>
          <w:rFonts w:cs="Times New Roman"/>
        </w:rPr>
        <w:t>线路延伸、服务新区</w:t>
      </w:r>
    </w:p>
    <w:p>
      <w:pPr>
        <w:spacing w:before="163" w:after="163"/>
        <w:ind w:firstLine="480"/>
        <w:rPr>
          <w:rFonts w:cs="Times New Roman"/>
        </w:rPr>
      </w:pPr>
      <w:r>
        <w:rPr>
          <w:rFonts w:cs="Times New Roman"/>
        </w:rPr>
        <w:t>对于新建地区，可以通过适当延伸周边已有的线路不长、客流较少的线路通达，提高公交服务范围。此外，对于如同上图所示的两条公交线路，如线路A长度适中，可考虑将线路A适当延伸，进一步强化其功能，同时调整第二条公交线路，加大线网覆盖范围。</w:t>
      </w:r>
    </w:p>
    <w:p>
      <w:pPr>
        <w:pStyle w:val="161"/>
        <w:rPr>
          <w:rFonts w:ascii="Times New Roman" w:cs="Times New Roman"/>
        </w:rPr>
      </w:pPr>
      <w:r>
        <w:rPr>
          <w:rFonts w:ascii="Times New Roman" w:cs="Times New Roman"/>
        </w:rPr>
        <w:drawing>
          <wp:inline distT="0" distB="0" distL="0" distR="0">
            <wp:extent cx="3434080" cy="2646045"/>
            <wp:effectExtent l="19050" t="19050" r="13970" b="209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70" cstate="print">
                      <a:extLst>
                        <a:ext uri="{28A0092B-C50C-407E-A947-70E740481C1C}">
                          <a14:useLocalDpi xmlns:a14="http://schemas.microsoft.com/office/drawing/2010/main" val="0"/>
                        </a:ext>
                      </a:extLst>
                    </a:blip>
                    <a:srcRect l="543" r="1094"/>
                    <a:stretch>
                      <a:fillRect/>
                    </a:stretch>
                  </pic:blipFill>
                  <pic:spPr>
                    <a:xfrm>
                      <a:off x="0" y="0"/>
                      <a:ext cx="3434400" cy="2646574"/>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pPr>
        <w:pStyle w:val="117"/>
      </w:pPr>
      <w:r>
        <w:t>图5-5  公交线路常用优化方法3——线路延伸、服务新区</w:t>
      </w:r>
    </w:p>
    <w:p>
      <w:pPr>
        <w:spacing w:before="163" w:after="163"/>
        <w:ind w:firstLine="480"/>
        <w:rPr>
          <w:rFonts w:cs="Times New Roman"/>
        </w:rPr>
      </w:pPr>
      <w:r>
        <w:rPr>
          <w:rFonts w:hint="eastAsia" w:ascii="宋体" w:hAnsi="宋体" w:cs="宋体"/>
        </w:rPr>
        <w:t>④</w:t>
      </w:r>
      <w:r>
        <w:rPr>
          <w:rFonts w:cs="Times New Roman"/>
        </w:rPr>
        <w:t>取消线路运力</w:t>
      </w:r>
    </w:p>
    <w:p>
      <w:pPr>
        <w:spacing w:before="163" w:after="163"/>
        <w:ind w:firstLine="480"/>
        <w:rPr>
          <w:rFonts w:cs="Times New Roman"/>
        </w:rPr>
      </w:pPr>
      <w:r>
        <w:rPr>
          <w:rFonts w:cs="Times New Roman"/>
        </w:rPr>
        <w:t>当公交线路稳定后客流过小、运营效益较差时，以及走廊内两公交线路重叠比例过高，而两条线路平均满载率又较低时，可以将客流小、效益不佳的线路取消，通过其他线路换乘或者设置支线的方式满足出行服务。</w:t>
      </w:r>
    </w:p>
    <w:p>
      <w:pPr>
        <w:pStyle w:val="161"/>
        <w:rPr>
          <w:rFonts w:ascii="Times New Roman" w:cs="Times New Roman"/>
        </w:rPr>
      </w:pPr>
      <w:r>
        <w:rPr>
          <w:rFonts w:ascii="Times New Roman" w:cs="Times New Roman"/>
        </w:rPr>
        <w:drawing>
          <wp:inline distT="0" distB="0" distL="0" distR="0">
            <wp:extent cx="3434080" cy="2645410"/>
            <wp:effectExtent l="19050" t="19050" r="13970" b="215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71" cstate="print">
                      <a:extLst>
                        <a:ext uri="{28A0092B-C50C-407E-A947-70E740481C1C}">
                          <a14:useLocalDpi xmlns:a14="http://schemas.microsoft.com/office/drawing/2010/main" val="0"/>
                        </a:ext>
                      </a:extLst>
                    </a:blip>
                    <a:srcRect r="1096"/>
                    <a:stretch>
                      <a:fillRect/>
                    </a:stretch>
                  </pic:blipFill>
                  <pic:spPr>
                    <a:xfrm>
                      <a:off x="0" y="0"/>
                      <a:ext cx="3434400" cy="2645515"/>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pPr>
        <w:pStyle w:val="117"/>
      </w:pPr>
      <w:r>
        <w:t>图5-6  公交线路优化方法4——取消线路、节约运力</w:t>
      </w:r>
    </w:p>
    <w:bookmarkEnd w:id="50"/>
    <w:p>
      <w:pPr>
        <w:pStyle w:val="5"/>
        <w:spacing w:before="163" w:after="163"/>
        <w:rPr>
          <w:rFonts w:cs="Times New Roman"/>
        </w:rPr>
      </w:pPr>
      <w:bookmarkStart w:id="105" w:name="_Toc372140068"/>
      <w:bookmarkStart w:id="106" w:name="_Toc503152838"/>
      <w:bookmarkStart w:id="107" w:name="_Toc518573689"/>
      <w:r>
        <w:rPr>
          <w:rFonts w:cs="Times New Roman"/>
        </w:rPr>
        <w:t xml:space="preserve">5.4.2 </w:t>
      </w:r>
      <w:bookmarkEnd w:id="105"/>
      <w:r>
        <w:rPr>
          <w:rFonts w:cs="Times New Roman"/>
        </w:rPr>
        <w:t>近期公交线网规划方案</w:t>
      </w:r>
      <w:bookmarkEnd w:id="106"/>
      <w:bookmarkEnd w:id="107"/>
    </w:p>
    <w:p>
      <w:pPr>
        <w:spacing w:before="163" w:after="163"/>
        <w:ind w:firstLine="480"/>
        <w:rPr>
          <w:rFonts w:cs="Times New Roman"/>
        </w:rPr>
      </w:pPr>
      <w:r>
        <w:rPr>
          <w:rFonts w:cs="Times New Roman"/>
        </w:rPr>
        <w:t>近期公交线网规划（2018—2020年）主要针对现状线网的调整优化，针对现状线网整体覆盖程度不高、部分线路客流需求匮乏、线路功能划分不明确等问题，针对单条线路逐条改善优化线网。</w:t>
      </w:r>
    </w:p>
    <w:p>
      <w:pPr>
        <w:spacing w:before="163" w:after="163"/>
        <w:ind w:firstLine="482"/>
        <w:rPr>
          <w:rFonts w:cs="Times New Roman"/>
          <w:b/>
        </w:rPr>
      </w:pPr>
      <w:r>
        <w:rPr>
          <w:rFonts w:cs="Times New Roman"/>
          <w:b/>
        </w:rPr>
        <w:t>（1）快线</w:t>
      </w:r>
    </w:p>
    <w:p>
      <w:pPr>
        <w:spacing w:before="163" w:after="163"/>
        <w:ind w:firstLine="482"/>
        <w:rPr>
          <w:rFonts w:cs="Times New Roman"/>
          <w:b/>
        </w:rPr>
      </w:pPr>
      <w:r>
        <w:rPr>
          <w:rFonts w:cs="Times New Roman"/>
          <w:b/>
        </w:rPr>
        <w:t>1、高铁快线1路</w:t>
      </w:r>
    </w:p>
    <w:p>
      <w:pPr>
        <w:spacing w:before="163" w:after="163"/>
        <w:ind w:firstLine="482"/>
        <w:rPr>
          <w:rFonts w:cs="Times New Roman"/>
          <w:b/>
        </w:rPr>
      </w:pPr>
      <w:r>
        <w:rPr>
          <w:rFonts w:cs="Times New Roman"/>
          <w:b/>
        </w:rPr>
        <w:t>起讫点：成渝高速路口公交站</w:t>
      </w:r>
      <w:r>
        <w:rPr>
          <w:rFonts w:cs="Times New Roman" w:asciiTheme="majorEastAsia" w:hAnsiTheme="majorEastAsia" w:eastAsiaTheme="majorEastAsia"/>
          <w:b/>
        </w:rPr>
        <w:t>—</w:t>
      </w:r>
      <w:r>
        <w:rPr>
          <w:rFonts w:cs="Times New Roman"/>
          <w:b/>
        </w:rPr>
        <w:t>城东高铁站</w:t>
      </w:r>
    </w:p>
    <w:p>
      <w:pPr>
        <w:spacing w:before="163" w:after="163"/>
        <w:ind w:firstLine="480"/>
        <w:rPr>
          <w:rFonts w:cs="Times New Roman"/>
        </w:rPr>
      </w:pPr>
      <w:r>
        <w:rPr>
          <w:rFonts w:cs="Times New Roman"/>
        </w:rPr>
        <w:t>调整方式：</w:t>
      </w:r>
      <w:r>
        <w:rPr>
          <w:rFonts w:hint="eastAsia" w:cs="Times New Roman"/>
        </w:rPr>
        <w:t>基本</w:t>
      </w:r>
      <w:r>
        <w:rPr>
          <w:rFonts w:cs="Times New Roman"/>
        </w:rPr>
        <w:t>保持现状</w:t>
      </w:r>
      <w:r>
        <w:rPr>
          <w:rFonts w:hint="eastAsia" w:cs="Times New Roman"/>
        </w:rPr>
        <w:t>，适当调整。</w:t>
      </w:r>
    </w:p>
    <w:p>
      <w:pPr>
        <w:spacing w:before="163" w:after="163"/>
        <w:ind w:firstLine="480"/>
        <w:rPr>
          <w:rFonts w:cs="Times New Roman"/>
        </w:rPr>
      </w:pPr>
      <w:r>
        <w:rPr>
          <w:rFonts w:cs="Times New Roman"/>
        </w:rPr>
        <w:t>调整原因：高铁快线1路与资阳市公交客流主要方向大体一致，现状高铁快线1路途经站点的客流需求较大，因此对高铁快线1路进行现状保留</w:t>
      </w:r>
      <w:r>
        <w:rPr>
          <w:rFonts w:hint="eastAsia" w:cs="Times New Roman"/>
        </w:rPr>
        <w:t>，并将途经站点进行适当调整</w:t>
      </w:r>
      <w:r>
        <w:rPr>
          <w:rFonts w:cs="Times New Roman"/>
        </w:rPr>
        <w:t>。</w:t>
      </w:r>
    </w:p>
    <w:p>
      <w:pPr>
        <w:spacing w:before="163" w:after="163"/>
        <w:ind w:firstLine="480"/>
        <w:rPr>
          <w:rFonts w:cs="Times New Roman" w:asciiTheme="majorEastAsia" w:hAnsiTheme="majorEastAsia" w:eastAsiaTheme="majorEastAsia"/>
        </w:rPr>
      </w:pPr>
      <w:r>
        <w:rPr>
          <w:rFonts w:cs="Times New Roman"/>
        </w:rPr>
        <w:t>运行线路：</w:t>
      </w:r>
      <w:r>
        <w:rPr>
          <w:rFonts w:cs="Times New Roman" w:asciiTheme="majorEastAsia" w:hAnsiTheme="majorEastAsia" w:eastAsiaTheme="majorEastAsia"/>
        </w:rPr>
        <w:t>成渝高速路口公交站—娇子大道—台阳路—骏兴路—铜车马街—建设南路二段—建设南路一段—建设东路—沱桥路—沱江一桥—锦湾大道—宝台大道—城东高铁站</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途经站点：成渝高速路口公交站—市政务服务中心—黄泥巴山—台阳路—九曲花园—建设南路二段—市公交公司—沱一桥—毛家堰—宝台政府—沱三桥东—城东高铁站</w:t>
      </w:r>
    </w:p>
    <w:p>
      <w:pPr>
        <w:spacing w:before="163" w:after="163"/>
        <w:ind w:firstLine="480"/>
        <w:rPr>
          <w:rFonts w:cs="Times New Roman"/>
        </w:rPr>
      </w:pPr>
      <w:r>
        <w:rPr>
          <w:rFonts w:cs="Times New Roman"/>
        </w:rPr>
        <w:t>线路里程：9.58公里</w:t>
      </w:r>
    </w:p>
    <w:p>
      <w:pPr>
        <w:spacing w:before="163" w:after="163"/>
        <w:ind w:firstLine="480"/>
        <w:rPr>
          <w:rFonts w:cs="Times New Roman"/>
        </w:rPr>
      </w:pPr>
      <w:r>
        <w:rPr>
          <w:rFonts w:cs="Times New Roman"/>
        </w:rPr>
        <w:t>平均站间距：871米</w:t>
      </w:r>
    </w:p>
    <w:p>
      <w:pPr>
        <w:spacing w:before="163" w:after="163"/>
        <w:ind w:firstLine="480"/>
        <w:rPr>
          <w:rFonts w:cs="Times New Roman"/>
        </w:rPr>
      </w:pPr>
      <w:r>
        <w:rPr>
          <w:rFonts w:cs="Times New Roman"/>
        </w:rPr>
        <w:t>功能：连接了城西、老城区和沱东片区，满足了老城区以及沱东片区的快速出行的交通需求，同时也满足了城区居民乘坐高铁的需求。</w:t>
      </w:r>
    </w:p>
    <w:p>
      <w:pPr>
        <w:spacing w:before="163" w:after="163"/>
        <w:ind w:firstLine="482"/>
        <w:rPr>
          <w:rFonts w:cs="Times New Roman"/>
          <w:b/>
        </w:rPr>
      </w:pPr>
      <w:r>
        <w:rPr>
          <w:rFonts w:cs="Times New Roman"/>
          <w:b/>
        </w:rPr>
        <w:t>2、高铁快线2路</w:t>
      </w:r>
    </w:p>
    <w:p>
      <w:pPr>
        <w:spacing w:before="163" w:after="163"/>
        <w:ind w:firstLine="482"/>
        <w:rPr>
          <w:rFonts w:cs="Times New Roman" w:asciiTheme="majorEastAsia" w:hAnsiTheme="majorEastAsia" w:eastAsiaTheme="majorEastAsia"/>
          <w:b/>
        </w:rPr>
      </w:pPr>
      <w:r>
        <w:rPr>
          <w:rFonts w:cs="Times New Roman" w:asciiTheme="majorEastAsia" w:hAnsiTheme="majorEastAsia" w:eastAsiaTheme="majorEastAsia"/>
          <w:b/>
        </w:rPr>
        <w:t>起讫点：城东高铁站—教育园区</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调整方式：</w:t>
      </w:r>
      <w:r>
        <w:rPr>
          <w:rFonts w:hint="eastAsia" w:cs="Times New Roman" w:asciiTheme="majorEastAsia" w:hAnsiTheme="majorEastAsia" w:eastAsiaTheme="majorEastAsia"/>
        </w:rPr>
        <w:t>基本</w:t>
      </w:r>
      <w:r>
        <w:rPr>
          <w:rFonts w:cs="Times New Roman" w:asciiTheme="majorEastAsia" w:hAnsiTheme="majorEastAsia" w:eastAsiaTheme="majorEastAsia"/>
        </w:rPr>
        <w:t>保持现状</w:t>
      </w:r>
      <w:r>
        <w:rPr>
          <w:rFonts w:hint="eastAsia" w:cs="Times New Roman" w:asciiTheme="majorEastAsia" w:hAnsiTheme="majorEastAsia" w:eastAsiaTheme="majorEastAsia"/>
        </w:rPr>
        <w:t>，适当调整。</w:t>
      </w:r>
    </w:p>
    <w:p>
      <w:pPr>
        <w:spacing w:before="163" w:after="163"/>
        <w:ind w:firstLine="480"/>
        <w:rPr>
          <w:rFonts w:cs="Times New Roman"/>
        </w:rPr>
      </w:pPr>
      <w:r>
        <w:rPr>
          <w:rFonts w:cs="Times New Roman"/>
        </w:rPr>
        <w:t>调整原因：高铁快线2路与资阳市公交客流主要方向大体一致，现状高铁快线2路途经站点的客流需求较大，因此对高铁快线2路进行现状保留来满足老城区居民前往高铁站的换乘需求</w:t>
      </w:r>
      <w:r>
        <w:rPr>
          <w:rFonts w:hint="eastAsia" w:cs="Times New Roman"/>
        </w:rPr>
        <w:t>，并将途经站点进行适当调整</w:t>
      </w:r>
      <w:r>
        <w:rPr>
          <w:rFonts w:cs="Times New Roman"/>
        </w:rPr>
        <w:t>。</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运行线路：城东高铁站—宝台大道—迎宾大道—雁北路—雁城路—</w:t>
      </w:r>
      <w:r>
        <w:rPr>
          <w:rFonts w:cs="Times New Roman" w:eastAsiaTheme="majorEastAsia"/>
        </w:rPr>
        <w:t>321</w:t>
      </w:r>
      <w:r>
        <w:rPr>
          <w:rFonts w:cs="Times New Roman" w:asciiTheme="majorEastAsia" w:hAnsiTheme="majorEastAsia" w:eastAsiaTheme="majorEastAsia"/>
        </w:rPr>
        <w:t>国道—育才路—</w:t>
      </w:r>
      <w:r>
        <w:rPr>
          <w:rFonts w:hint="eastAsia" w:cs="Times New Roman" w:asciiTheme="majorEastAsia" w:hAnsiTheme="majorEastAsia" w:eastAsiaTheme="majorEastAsia"/>
        </w:rPr>
        <w:t>春天半岛</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途经站点：城东高铁站—沱三桥东—</w:t>
      </w:r>
      <w:r>
        <w:rPr>
          <w:rFonts w:hint="eastAsia" w:cs="Times New Roman" w:asciiTheme="majorEastAsia" w:hAnsiTheme="majorEastAsia" w:eastAsiaTheme="majorEastAsia"/>
        </w:rPr>
        <w:t>沱三桥西</w:t>
      </w:r>
      <w:r>
        <w:rPr>
          <w:rFonts w:cs="Times New Roman" w:asciiTheme="majorEastAsia" w:hAnsiTheme="majorEastAsia" w:eastAsiaTheme="majorEastAsia"/>
        </w:rPr>
        <w:t>—城北市场—医药公司—区医院—家乐福—西门市场—交警一大队—电信大楼—天宇市场—狮子山—春天半岛</w:t>
      </w:r>
    </w:p>
    <w:p>
      <w:pPr>
        <w:spacing w:before="163" w:after="163"/>
        <w:ind w:firstLine="480"/>
        <w:rPr>
          <w:rFonts w:cs="Times New Roman"/>
        </w:rPr>
      </w:pPr>
      <w:r>
        <w:rPr>
          <w:rFonts w:cs="Times New Roman"/>
        </w:rPr>
        <w:t>线路里程：9.23公里</w:t>
      </w:r>
    </w:p>
    <w:p>
      <w:pPr>
        <w:spacing w:before="163" w:after="163"/>
        <w:ind w:firstLine="480"/>
        <w:rPr>
          <w:rFonts w:cs="Times New Roman"/>
        </w:rPr>
      </w:pPr>
      <w:r>
        <w:rPr>
          <w:rFonts w:cs="Times New Roman"/>
        </w:rPr>
        <w:t>平均站间距：769米</w:t>
      </w:r>
    </w:p>
    <w:p>
      <w:pPr>
        <w:spacing w:before="163" w:after="163"/>
        <w:ind w:firstLine="480"/>
        <w:rPr>
          <w:rFonts w:cs="Times New Roman"/>
        </w:rPr>
      </w:pPr>
      <w:r>
        <w:rPr>
          <w:rFonts w:cs="Times New Roman"/>
        </w:rPr>
        <w:t>功能：</w:t>
      </w:r>
      <w:r>
        <w:rPr>
          <w:rFonts w:hint="eastAsia" w:cs="Times New Roman"/>
        </w:rPr>
        <w:t>春天半岛首末站位于教育园区附近，</w:t>
      </w:r>
      <w:r>
        <w:rPr>
          <w:rFonts w:cs="Times New Roman"/>
        </w:rPr>
        <w:t>教育园区是学校汇集的教育区域，高铁快线2以沱东区的城东高铁站为首末，通过城中区，抵达城</w:t>
      </w:r>
      <w:r>
        <w:rPr>
          <w:rFonts w:hint="eastAsia" w:cs="Times New Roman"/>
        </w:rPr>
        <w:t>北</w:t>
      </w:r>
      <w:r>
        <w:rPr>
          <w:rFonts w:cs="Times New Roman"/>
        </w:rPr>
        <w:t>的教育园区，满足沿线乘客出行目的之一的上学需求。</w:t>
      </w:r>
    </w:p>
    <w:p>
      <w:pPr>
        <w:spacing w:before="163" w:after="163"/>
        <w:ind w:firstLine="482"/>
        <w:rPr>
          <w:rFonts w:cs="Times New Roman"/>
          <w:b/>
        </w:rPr>
      </w:pPr>
      <w:r>
        <w:rPr>
          <w:rFonts w:cs="Times New Roman"/>
          <w:b/>
        </w:rPr>
        <w:t>（2）干线</w:t>
      </w:r>
    </w:p>
    <w:p>
      <w:pPr>
        <w:spacing w:before="163" w:after="163"/>
        <w:ind w:firstLine="482"/>
        <w:rPr>
          <w:rFonts w:cs="Times New Roman"/>
          <w:b/>
        </w:rPr>
      </w:pPr>
      <w:r>
        <w:rPr>
          <w:rFonts w:cs="Times New Roman"/>
          <w:b/>
        </w:rPr>
        <w:t>1、1路</w:t>
      </w:r>
    </w:p>
    <w:p>
      <w:pPr>
        <w:spacing w:before="163" w:after="163"/>
        <w:ind w:firstLine="482"/>
        <w:rPr>
          <w:rFonts w:cs="Times New Roman" w:asciiTheme="majorEastAsia" w:hAnsiTheme="majorEastAsia" w:eastAsiaTheme="majorEastAsia"/>
          <w:b/>
        </w:rPr>
      </w:pPr>
      <w:r>
        <w:rPr>
          <w:rFonts w:cs="Times New Roman" w:asciiTheme="majorEastAsia" w:hAnsiTheme="majorEastAsia" w:eastAsiaTheme="majorEastAsia"/>
          <w:b/>
        </w:rPr>
        <w:t>起讫点：汽车客运中心—清泉</w:t>
      </w:r>
    </w:p>
    <w:p>
      <w:pPr>
        <w:spacing w:before="163" w:after="163"/>
        <w:ind w:firstLine="480"/>
        <w:rPr>
          <w:rFonts w:cs="Times New Roman"/>
        </w:rPr>
      </w:pPr>
      <w:r>
        <w:rPr>
          <w:rFonts w:cs="Times New Roman"/>
        </w:rPr>
        <w:t>调整方式：</w:t>
      </w:r>
      <w:r>
        <w:rPr>
          <w:rFonts w:hint="eastAsia" w:cs="Times New Roman"/>
        </w:rPr>
        <w:t>基本</w:t>
      </w:r>
      <w:r>
        <w:rPr>
          <w:rFonts w:cs="Times New Roman"/>
        </w:rPr>
        <w:t>保持现状</w:t>
      </w:r>
      <w:r>
        <w:rPr>
          <w:rFonts w:hint="eastAsia" w:cs="Times New Roman"/>
        </w:rPr>
        <w:t>，适当调整。</w:t>
      </w:r>
    </w:p>
    <w:p>
      <w:pPr>
        <w:spacing w:before="163" w:after="163"/>
        <w:ind w:firstLine="480"/>
        <w:rPr>
          <w:rFonts w:cs="Times New Roman"/>
        </w:rPr>
      </w:pPr>
      <w:r>
        <w:rPr>
          <w:rFonts w:cs="Times New Roman"/>
        </w:rPr>
        <w:t>调整原因：1路公交与资阳市公交客流主要方向大体一致，现状1路途经站点的客流需求较大，因此对1路进行现状</w:t>
      </w:r>
      <w:r>
        <w:rPr>
          <w:rFonts w:hint="eastAsia" w:cs="Times New Roman"/>
        </w:rPr>
        <w:t>基本</w:t>
      </w:r>
      <w:r>
        <w:rPr>
          <w:rFonts w:cs="Times New Roman"/>
        </w:rPr>
        <w:t>保留</w:t>
      </w:r>
      <w:r>
        <w:rPr>
          <w:rFonts w:hint="eastAsia" w:cs="Times New Roman"/>
        </w:rPr>
        <w:t>，用以</w:t>
      </w:r>
      <w:r>
        <w:rPr>
          <w:rFonts w:cs="Times New Roman"/>
        </w:rPr>
        <w:t>满足老城区居民前往汽车客运中心的换乘需求</w:t>
      </w:r>
      <w:r>
        <w:rPr>
          <w:rFonts w:hint="eastAsia" w:cs="Times New Roman"/>
        </w:rPr>
        <w:t>，并适当调整公交的运行线路，增加公交覆盖率</w:t>
      </w:r>
      <w:r>
        <w:rPr>
          <w:rFonts w:cs="Times New Roman"/>
        </w:rPr>
        <w:t>。</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运行线路：汽车客运中心—书台路—滨江大道—和平南路—建设北路二段</w:t>
      </w:r>
      <w:r>
        <w:rPr>
          <w:rFonts w:hint="eastAsia" w:cs="Times New Roman" w:asciiTheme="majorEastAsia" w:hAnsiTheme="majorEastAsia" w:eastAsiaTheme="majorEastAsia"/>
        </w:rPr>
        <w:t>—雁城路—</w:t>
      </w:r>
      <w:r>
        <w:rPr>
          <w:rFonts w:cs="Times New Roman" w:asciiTheme="majorEastAsia" w:hAnsiTheme="majorEastAsia" w:eastAsiaTheme="majorEastAsia"/>
        </w:rPr>
        <w:t>车城大道</w:t>
      </w:r>
      <w:r>
        <w:rPr>
          <w:rFonts w:hint="eastAsia" w:cs="Times New Roman" w:asciiTheme="majorEastAsia" w:hAnsiTheme="majorEastAsia" w:eastAsiaTheme="majorEastAsia"/>
        </w:rPr>
        <w:t>一段</w:t>
      </w:r>
      <w:r>
        <w:rPr>
          <w:rFonts w:cs="Times New Roman" w:asciiTheme="majorEastAsia" w:hAnsiTheme="majorEastAsia" w:eastAsiaTheme="majorEastAsia"/>
        </w:rPr>
        <w:t>—车城大道二段—车城大道三段—车城大道四段—</w:t>
      </w:r>
      <w:r>
        <w:rPr>
          <w:rFonts w:cs="Times New Roman" w:eastAsiaTheme="majorEastAsia"/>
        </w:rPr>
        <w:t>321</w:t>
      </w:r>
      <w:r>
        <w:rPr>
          <w:rFonts w:cs="Times New Roman" w:asciiTheme="majorEastAsia" w:hAnsiTheme="majorEastAsia" w:eastAsiaTheme="majorEastAsia"/>
        </w:rPr>
        <w:t>国道—清泉</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汽车客运中心—江南花都—江南半岛—苌弘广场—师范校—南门口—百货大楼—区医院—家乐福—西门市场—交警一大队—电信大楼—四三一总厂—天景花园—天宇市场—市公安局—狮子山—市人民医院—筏子桥—友谊桥—二分厂—孙家湾—德胜疗养中心—玉柴公司—大堰叉路口—清泉</w:t>
      </w:r>
    </w:p>
    <w:p>
      <w:pPr>
        <w:spacing w:before="163" w:after="163"/>
        <w:ind w:firstLine="480"/>
        <w:rPr>
          <w:rFonts w:cs="Times New Roman"/>
        </w:rPr>
      </w:pPr>
      <w:r>
        <w:rPr>
          <w:rFonts w:cs="Times New Roman"/>
        </w:rPr>
        <w:t>线路里程：12.15公里</w:t>
      </w:r>
    </w:p>
    <w:p>
      <w:pPr>
        <w:spacing w:before="163" w:after="163"/>
        <w:ind w:firstLine="480"/>
        <w:rPr>
          <w:rFonts w:cs="Times New Roman"/>
        </w:rPr>
      </w:pPr>
      <w:r>
        <w:rPr>
          <w:rFonts w:cs="Times New Roman"/>
        </w:rPr>
        <w:t>平均站间距：486米</w:t>
      </w:r>
    </w:p>
    <w:p>
      <w:pPr>
        <w:spacing w:before="163" w:after="163"/>
        <w:ind w:firstLine="480"/>
        <w:rPr>
          <w:rFonts w:cs="Times New Roman"/>
        </w:rPr>
      </w:pPr>
      <w:r>
        <w:rPr>
          <w:rFonts w:cs="Times New Roman"/>
        </w:rPr>
        <w:t>功能：1路公交连接了城北片区、城中老城区以及城南汽车客运中心，满足了老城区以及城北片区的快速出行的交通需求，同时也满足了城区居民换乘汽车客运的需求。</w:t>
      </w:r>
    </w:p>
    <w:p>
      <w:pPr>
        <w:spacing w:before="163" w:after="163"/>
        <w:ind w:firstLine="482"/>
        <w:rPr>
          <w:rFonts w:cs="Times New Roman"/>
          <w:b/>
        </w:rPr>
      </w:pPr>
      <w:r>
        <w:rPr>
          <w:rFonts w:cs="Times New Roman"/>
          <w:b/>
        </w:rPr>
        <w:t>2、3路</w:t>
      </w:r>
    </w:p>
    <w:p>
      <w:pPr>
        <w:spacing w:before="163" w:after="163"/>
        <w:ind w:firstLine="482"/>
        <w:rPr>
          <w:rFonts w:cs="Times New Roman" w:asciiTheme="majorEastAsia" w:hAnsiTheme="majorEastAsia" w:eastAsiaTheme="majorEastAsia"/>
          <w:b/>
        </w:rPr>
      </w:pPr>
      <w:r>
        <w:rPr>
          <w:rFonts w:cs="Times New Roman" w:asciiTheme="majorEastAsia" w:hAnsiTheme="majorEastAsia" w:eastAsiaTheme="majorEastAsia"/>
          <w:b/>
        </w:rPr>
        <w:t>起讫点：汽车客运中心—教育园区</w:t>
      </w:r>
    </w:p>
    <w:p>
      <w:pPr>
        <w:spacing w:before="163" w:after="163"/>
        <w:ind w:firstLine="480"/>
        <w:rPr>
          <w:rFonts w:cs="Times New Roman"/>
        </w:rPr>
      </w:pPr>
      <w:r>
        <w:rPr>
          <w:rFonts w:cs="Times New Roman"/>
        </w:rPr>
        <w:t>调整方式：截弯取直，配套支线</w:t>
      </w:r>
    </w:p>
    <w:p>
      <w:pPr>
        <w:spacing w:before="163" w:after="163"/>
        <w:ind w:firstLine="480"/>
        <w:rPr>
          <w:rFonts w:cs="Times New Roman"/>
          <w:b/>
        </w:rPr>
      </w:pPr>
      <w:r>
        <w:rPr>
          <w:rFonts w:cs="Times New Roman"/>
        </w:rPr>
        <w:t>调整原因：现状3路公交非直线系数过大，途经站点客流量也很大，因此采取截弯取直，配套支线的调整方法，因此新增支线8路公交。</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w:t>
      </w:r>
      <w:r>
        <w:rPr>
          <w:rFonts w:hint="eastAsia" w:cs="Times New Roman" w:asciiTheme="majorEastAsia" w:hAnsiTheme="majorEastAsia" w:eastAsiaTheme="majorEastAsia"/>
        </w:rPr>
        <w:t>汽车客运中心—书台路—骏兴路—滨河大道—和平南路—建设南路—建设东路—建设北路—雁城路—</w:t>
      </w:r>
      <w:r>
        <w:rPr>
          <w:rFonts w:cs="Times New Roman" w:eastAsiaTheme="majorEastAsia"/>
        </w:rPr>
        <w:t>321</w:t>
      </w:r>
      <w:r>
        <w:rPr>
          <w:rFonts w:hint="eastAsia" w:cs="Times New Roman" w:asciiTheme="majorEastAsia" w:hAnsiTheme="majorEastAsia" w:eastAsiaTheme="majorEastAsia"/>
        </w:rPr>
        <w:t>国道—四海大道—广厦路—文博路—滨河西路—育才路—教育园区</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w:t>
      </w:r>
      <w:r>
        <w:rPr>
          <w:rFonts w:hint="eastAsia" w:cs="Times New Roman" w:asciiTheme="majorEastAsia" w:hAnsiTheme="majorEastAsia" w:eastAsiaTheme="majorEastAsia"/>
        </w:rPr>
        <w:t>汽车客运中心—江南花都—江南半岛—苌弘广场—师范校—南门口—市公交公司—中医院—静苑小区—建东市场—资阳客运站—医药公司—建设北路一段—区医院—家乐福—西门市场—交警一大队—电信大楼—四三一总厂—天宇市场—三号桥—弘乐府—四海国际—三贤公园后门—市档案局—市委党校—教育园区文慧桥—教育园区</w:t>
      </w:r>
    </w:p>
    <w:p>
      <w:pPr>
        <w:spacing w:before="163" w:after="163"/>
        <w:ind w:firstLine="480"/>
        <w:rPr>
          <w:rFonts w:cs="Times New Roman"/>
        </w:rPr>
      </w:pPr>
      <w:r>
        <w:rPr>
          <w:rFonts w:cs="Times New Roman"/>
        </w:rPr>
        <w:t>线路里程：10.03公里</w:t>
      </w:r>
    </w:p>
    <w:p>
      <w:pPr>
        <w:spacing w:before="163" w:after="163"/>
        <w:ind w:firstLine="480"/>
        <w:rPr>
          <w:rFonts w:cs="Times New Roman"/>
        </w:rPr>
      </w:pPr>
      <w:r>
        <w:rPr>
          <w:rFonts w:cs="Times New Roman"/>
        </w:rPr>
        <w:t>平均站间距：371米</w:t>
      </w:r>
    </w:p>
    <w:p>
      <w:pPr>
        <w:spacing w:before="163" w:after="163"/>
        <w:ind w:firstLine="480"/>
        <w:rPr>
          <w:rFonts w:cs="Times New Roman"/>
        </w:rPr>
      </w:pPr>
      <w:r>
        <w:rPr>
          <w:rFonts w:cs="Times New Roman"/>
        </w:rPr>
        <w:t>功能：串联了城北片区、老城区以及城南片区，在加强了汽车客运中心换乘服务的同时，也满足了不同片区之间的出行需求。</w:t>
      </w:r>
    </w:p>
    <w:p>
      <w:pPr>
        <w:spacing w:before="163" w:after="163"/>
        <w:ind w:firstLine="482"/>
        <w:rPr>
          <w:rFonts w:cs="Times New Roman"/>
          <w:b/>
        </w:rPr>
      </w:pPr>
      <w:r>
        <w:rPr>
          <w:rFonts w:cs="Times New Roman"/>
          <w:b/>
        </w:rPr>
        <w:t>3、6路</w:t>
      </w:r>
    </w:p>
    <w:p>
      <w:pPr>
        <w:spacing w:before="163" w:after="163"/>
        <w:ind w:firstLine="482"/>
        <w:rPr>
          <w:rFonts w:cs="Times New Roman" w:asciiTheme="majorEastAsia" w:hAnsiTheme="majorEastAsia" w:eastAsiaTheme="majorEastAsia"/>
          <w:b/>
        </w:rPr>
      </w:pPr>
      <w:r>
        <w:rPr>
          <w:rFonts w:cs="Times New Roman" w:asciiTheme="majorEastAsia" w:hAnsiTheme="majorEastAsia" w:eastAsiaTheme="majorEastAsia"/>
          <w:b/>
        </w:rPr>
        <w:t>起讫点：成渝高速路口公交站—马站</w:t>
      </w:r>
    </w:p>
    <w:p>
      <w:pPr>
        <w:spacing w:before="163" w:after="163"/>
        <w:ind w:firstLine="480"/>
        <w:rPr>
          <w:rFonts w:cs="Times New Roman"/>
        </w:rPr>
      </w:pPr>
      <w:r>
        <w:rPr>
          <w:rFonts w:cs="Times New Roman"/>
        </w:rPr>
        <w:t>调整方式：截弯取直</w:t>
      </w:r>
      <w:r>
        <w:rPr>
          <w:rFonts w:hint="eastAsia" w:cs="Times New Roman"/>
        </w:rPr>
        <w:t>。</w:t>
      </w:r>
    </w:p>
    <w:p>
      <w:pPr>
        <w:spacing w:before="163" w:after="163"/>
        <w:ind w:firstLine="480"/>
        <w:rPr>
          <w:rFonts w:cs="Times New Roman"/>
        </w:rPr>
      </w:pPr>
      <w:r>
        <w:rPr>
          <w:rFonts w:cs="Times New Roman"/>
        </w:rPr>
        <w:t>调整原因：现状6路公交非直线系数过大，因此采用截弯取直的调整方法进行线路优化</w:t>
      </w:r>
      <w:r>
        <w:rPr>
          <w:rFonts w:hint="eastAsia" w:cs="Times New Roman"/>
        </w:rPr>
        <w:t>，并调整6路公交的首末站。</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运行线路：成渝高速路口公交站—娇子大道—车城大道一段—雁城路—建设北路—建设东路—沱桥路—锦湾大道—宝台大道—正兴街—蜀乡大道—支四路—站南环路—宝台大道—</w:t>
      </w:r>
      <w:r>
        <w:rPr>
          <w:rFonts w:cs="Times New Roman" w:eastAsiaTheme="majorEastAsia"/>
        </w:rPr>
        <w:t>106</w:t>
      </w:r>
      <w:r>
        <w:rPr>
          <w:rFonts w:cs="Times New Roman" w:asciiTheme="majorEastAsia" w:hAnsiTheme="majorEastAsia" w:eastAsiaTheme="majorEastAsia"/>
        </w:rPr>
        <w:t>省道—马站</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成渝高速路口公交站—蜀亨大酒店—马鞍路口—市政务中心—黄泥巴山—九曲河广场—娇子大道一段—交警一大队—西门市场—家乐福—区医院—建设北路一段—医药公司—资阳客运站—建东市场—静苑小区—沱江一桥—东城大道一段—毛家堰—半山风情—宝台政府—天生花苑—区政务中心—导航站—高铁旱桥—城东高铁站—雷音花苑—绵阳育才中学—马站</w:t>
      </w:r>
    </w:p>
    <w:p>
      <w:pPr>
        <w:spacing w:before="163" w:after="163"/>
        <w:ind w:firstLine="480"/>
        <w:rPr>
          <w:rFonts w:cs="Times New Roman"/>
        </w:rPr>
      </w:pPr>
      <w:r>
        <w:rPr>
          <w:rFonts w:cs="Times New Roman"/>
        </w:rPr>
        <w:t>线路里程：13.95公里</w:t>
      </w:r>
    </w:p>
    <w:p>
      <w:pPr>
        <w:spacing w:before="163" w:after="163"/>
        <w:ind w:firstLine="480"/>
        <w:rPr>
          <w:rFonts w:cs="Times New Roman"/>
        </w:rPr>
      </w:pPr>
      <w:r>
        <w:rPr>
          <w:rFonts w:cs="Times New Roman"/>
        </w:rPr>
        <w:t>平均站间距：498米</w:t>
      </w:r>
    </w:p>
    <w:p>
      <w:pPr>
        <w:spacing w:before="163" w:after="163"/>
        <w:ind w:firstLine="480"/>
        <w:rPr>
          <w:rFonts w:cs="Times New Roman"/>
        </w:rPr>
      </w:pPr>
      <w:r>
        <w:rPr>
          <w:rFonts w:cs="Times New Roman"/>
        </w:rPr>
        <w:t>功能：连接了资阳市的三个片区，使得城西片区以及老城区的居民能够更加方便快捷地进行高铁换乘，更好地实现了轨道交通与城市公交之间的接驳。</w:t>
      </w:r>
    </w:p>
    <w:p>
      <w:pPr>
        <w:spacing w:before="163" w:after="163"/>
        <w:ind w:firstLine="482"/>
        <w:rPr>
          <w:rFonts w:cs="Times New Roman"/>
          <w:b/>
        </w:rPr>
      </w:pPr>
      <w:r>
        <w:rPr>
          <w:rFonts w:cs="Times New Roman"/>
          <w:b/>
        </w:rPr>
        <w:t>4、7路</w:t>
      </w:r>
    </w:p>
    <w:p>
      <w:pPr>
        <w:spacing w:before="163" w:after="163"/>
        <w:ind w:firstLine="482"/>
        <w:rPr>
          <w:rFonts w:cs="Times New Roman" w:asciiTheme="majorEastAsia" w:hAnsiTheme="majorEastAsia" w:eastAsiaTheme="majorEastAsia"/>
          <w:b/>
        </w:rPr>
      </w:pPr>
      <w:r>
        <w:rPr>
          <w:rFonts w:cs="Times New Roman" w:asciiTheme="majorEastAsia" w:hAnsiTheme="majorEastAsia" w:eastAsiaTheme="majorEastAsia"/>
          <w:b/>
        </w:rPr>
        <w:t>起讫点：沱江新城—教育园区</w:t>
      </w:r>
    </w:p>
    <w:p>
      <w:pPr>
        <w:spacing w:before="163" w:after="163"/>
        <w:ind w:firstLine="480"/>
        <w:rPr>
          <w:rFonts w:cs="Times New Roman"/>
        </w:rPr>
      </w:pPr>
      <w:r>
        <w:rPr>
          <w:rFonts w:cs="Times New Roman"/>
        </w:rPr>
        <w:t>调整方式：截弯取直</w:t>
      </w:r>
      <w:r>
        <w:rPr>
          <w:rFonts w:hint="eastAsia" w:cs="Times New Roman"/>
        </w:rPr>
        <w:t>。</w:t>
      </w:r>
    </w:p>
    <w:p>
      <w:pPr>
        <w:spacing w:before="163" w:after="163"/>
        <w:ind w:firstLine="480"/>
        <w:rPr>
          <w:rFonts w:cs="Times New Roman"/>
        </w:rPr>
      </w:pPr>
      <w:r>
        <w:rPr>
          <w:rFonts w:cs="Times New Roman"/>
        </w:rPr>
        <w:t>调整</w:t>
      </w:r>
      <w:r>
        <w:rPr>
          <w:rFonts w:hAnsi="仿宋_GB2312" w:cs="Times New Roman"/>
          <w:szCs w:val="32"/>
        </w:rPr>
        <w:t>原因：现状</w:t>
      </w:r>
      <w:r>
        <w:rPr>
          <w:rFonts w:cs="Times New Roman"/>
          <w:szCs w:val="32"/>
        </w:rPr>
        <w:t>7</w:t>
      </w:r>
      <w:r>
        <w:rPr>
          <w:rFonts w:hAnsi="仿宋_GB2312" w:cs="Times New Roman"/>
          <w:szCs w:val="32"/>
        </w:rPr>
        <w:t>路非直线系数过大，因此将</w:t>
      </w:r>
      <w:r>
        <w:rPr>
          <w:rFonts w:cs="Times New Roman"/>
          <w:szCs w:val="32"/>
        </w:rPr>
        <w:t>7</w:t>
      </w:r>
      <w:r>
        <w:rPr>
          <w:rFonts w:hAnsi="仿宋_GB2312" w:cs="Times New Roman"/>
          <w:szCs w:val="32"/>
        </w:rPr>
        <w:t>路公交调整到路况较好的城区外环路，并且为环线打通后的绕城公交的运行做前期准备。</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运行线路：沱江新城—滨江大道—雁北路—建设东路—建设南路—建设西路—外西街—雁城路—松涛路一段—松涛路二段—大千路—娇子大道—外环路西一段—车城大道四段—车城大道三段—育才路—教育园区</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w:t>
      </w:r>
      <w:r>
        <w:rPr>
          <w:rFonts w:cs="Times New Roman" w:asciiTheme="majorEastAsia" w:hAnsiTheme="majorEastAsia" w:eastAsiaTheme="majorEastAsia"/>
          <w:szCs w:val="32"/>
        </w:rPr>
        <w:t>沱江新城—碧水丽都—青年林—金山名苑—</w:t>
      </w:r>
      <w:r>
        <w:rPr>
          <w:rFonts w:cs="Times New Roman" w:asciiTheme="majorEastAsia" w:hAnsiTheme="majorEastAsia" w:eastAsiaTheme="majorEastAsia"/>
          <w:bCs/>
          <w:szCs w:val="32"/>
        </w:rPr>
        <w:t>沱三桥</w:t>
      </w:r>
      <w:r>
        <w:rPr>
          <w:rFonts w:hint="eastAsia" w:cs="Times New Roman" w:asciiTheme="majorEastAsia" w:hAnsiTheme="majorEastAsia" w:eastAsiaTheme="majorEastAsia"/>
          <w:bCs/>
          <w:szCs w:val="32"/>
        </w:rPr>
        <w:t>西</w:t>
      </w:r>
      <w:r>
        <w:rPr>
          <w:rFonts w:cs="Times New Roman" w:asciiTheme="majorEastAsia" w:hAnsiTheme="majorEastAsia" w:eastAsiaTheme="majorEastAsia"/>
          <w:szCs w:val="32"/>
        </w:rPr>
        <w:t>—城北市场—资阳客运站—建东市场—静苑小区—中医院—</w:t>
      </w:r>
      <w:r>
        <w:rPr>
          <w:rFonts w:cs="Times New Roman" w:asciiTheme="majorEastAsia" w:hAnsiTheme="majorEastAsia" w:eastAsiaTheme="majorEastAsia"/>
          <w:bCs/>
          <w:szCs w:val="32"/>
        </w:rPr>
        <w:t>市公交公司</w:t>
      </w:r>
      <w:r>
        <w:rPr>
          <w:rFonts w:cs="Times New Roman" w:asciiTheme="majorEastAsia" w:hAnsiTheme="majorEastAsia" w:eastAsiaTheme="majorEastAsia"/>
          <w:szCs w:val="32"/>
        </w:rPr>
        <w:t>—市一医院—建设南路二段—建设西路口—水工局—西门市场—松涛路一段—松涛桥—市房管局—石灰桥—交警支队—恒大城—电缆厂—拉丝厂—四海公司—</w:t>
      </w:r>
      <w:r>
        <w:rPr>
          <w:rFonts w:cs="Times New Roman" w:asciiTheme="majorEastAsia" w:hAnsiTheme="majorEastAsia" w:eastAsiaTheme="majorEastAsia"/>
          <w:bCs/>
          <w:szCs w:val="32"/>
        </w:rPr>
        <w:t>泰恒眼科</w:t>
      </w:r>
      <w:r>
        <w:rPr>
          <w:rFonts w:cs="Times New Roman" w:asciiTheme="majorEastAsia" w:hAnsiTheme="majorEastAsia" w:eastAsiaTheme="majorEastAsia"/>
          <w:szCs w:val="32"/>
        </w:rPr>
        <w:t>—仁德药业—大千药业—马鞍九义校—体育广场—蜀亨大酒店—市交通局—博雅园—</w:t>
      </w:r>
      <w:r>
        <w:rPr>
          <w:rFonts w:cs="Times New Roman" w:asciiTheme="majorEastAsia" w:hAnsiTheme="majorEastAsia" w:eastAsiaTheme="majorEastAsia"/>
          <w:bCs/>
          <w:szCs w:val="32"/>
        </w:rPr>
        <w:t>狮子山街道办事处</w:t>
      </w:r>
      <w:r>
        <w:rPr>
          <w:rFonts w:cs="Times New Roman" w:asciiTheme="majorEastAsia" w:hAnsiTheme="majorEastAsia" w:eastAsiaTheme="majorEastAsia"/>
          <w:szCs w:val="32"/>
        </w:rPr>
        <w:t>—赛特化工—王河堰—槐树村—临江味业—张车堰—周祠坝—友谊桥—筏子桥—</w:t>
      </w:r>
      <w:r>
        <w:rPr>
          <w:rFonts w:cs="Times New Roman" w:asciiTheme="majorEastAsia" w:hAnsiTheme="majorEastAsia" w:eastAsiaTheme="majorEastAsia"/>
          <w:color w:val="C00000"/>
          <w:szCs w:val="32"/>
        </w:rPr>
        <w:t>市人民医院</w:t>
      </w:r>
      <w:r>
        <w:rPr>
          <w:rFonts w:hint="eastAsia" w:cs="Times New Roman" w:asciiTheme="majorEastAsia" w:hAnsiTheme="majorEastAsia" w:eastAsiaTheme="majorEastAsia"/>
          <w:color w:val="C00000"/>
          <w:szCs w:val="32"/>
          <w:lang w:eastAsia="zh-CN"/>
        </w:rPr>
        <w:t>住院部</w:t>
      </w:r>
      <w:r>
        <w:rPr>
          <w:rFonts w:cs="Times New Roman" w:asciiTheme="majorEastAsia" w:hAnsiTheme="majorEastAsia" w:eastAsiaTheme="majorEastAsia"/>
          <w:color w:val="C00000"/>
          <w:szCs w:val="32"/>
        </w:rPr>
        <w:t>—</w:t>
      </w:r>
      <w:r>
        <w:rPr>
          <w:rFonts w:hint="eastAsia" w:cs="Times New Roman" w:asciiTheme="majorEastAsia" w:hAnsiTheme="majorEastAsia" w:eastAsiaTheme="majorEastAsia"/>
          <w:color w:val="C00000"/>
          <w:szCs w:val="32"/>
          <w:lang w:eastAsia="zh-CN"/>
        </w:rPr>
        <w:t>春天桥</w:t>
      </w:r>
      <w:r>
        <w:rPr>
          <w:rFonts w:cs="Times New Roman" w:asciiTheme="majorEastAsia" w:hAnsiTheme="majorEastAsia" w:eastAsiaTheme="majorEastAsia"/>
          <w:color w:val="C00000"/>
          <w:szCs w:val="32"/>
        </w:rPr>
        <w:t>—春天半岛</w:t>
      </w:r>
      <w:r>
        <w:rPr>
          <w:rFonts w:cs="Times New Roman" w:asciiTheme="majorEastAsia" w:hAnsiTheme="majorEastAsia" w:eastAsiaTheme="majorEastAsia"/>
          <w:szCs w:val="32"/>
        </w:rPr>
        <w:t>—教育园区</w:t>
      </w:r>
    </w:p>
    <w:p>
      <w:pPr>
        <w:spacing w:before="163" w:after="163"/>
        <w:ind w:firstLine="480"/>
        <w:rPr>
          <w:rFonts w:cs="Times New Roman"/>
          <w:szCs w:val="32"/>
        </w:rPr>
      </w:pPr>
      <w:r>
        <w:rPr>
          <w:rFonts w:cs="Times New Roman"/>
          <w:szCs w:val="32"/>
        </w:rPr>
        <w:t>线路里程：17.16公里</w:t>
      </w:r>
    </w:p>
    <w:p>
      <w:pPr>
        <w:spacing w:before="163" w:after="163"/>
        <w:ind w:firstLine="480"/>
        <w:rPr>
          <w:rFonts w:cs="Times New Roman"/>
          <w:szCs w:val="32"/>
        </w:rPr>
      </w:pPr>
      <w:r>
        <w:rPr>
          <w:rFonts w:cs="Times New Roman"/>
          <w:szCs w:val="32"/>
        </w:rPr>
        <w:t>平均站间距：381米</w:t>
      </w:r>
    </w:p>
    <w:p>
      <w:pPr>
        <w:spacing w:before="163" w:after="163"/>
        <w:ind w:firstLine="480"/>
        <w:rPr>
          <w:rFonts w:cs="Times New Roman"/>
          <w:szCs w:val="32"/>
        </w:rPr>
      </w:pPr>
      <w:r>
        <w:rPr>
          <w:rFonts w:hAnsi="仿宋_GB2312" w:cs="Times New Roman"/>
          <w:szCs w:val="32"/>
        </w:rPr>
        <w:t>功能：连接沱江新城与教育园区，为老城区到教育园区的学生上下学提供方便快捷的公交服务，同时环绕老城区外围，为将来城市公交环线规划打下基础。</w:t>
      </w:r>
    </w:p>
    <w:p>
      <w:pPr>
        <w:spacing w:before="163" w:after="163"/>
        <w:ind w:firstLine="482"/>
        <w:rPr>
          <w:rFonts w:cs="Times New Roman"/>
          <w:b/>
        </w:rPr>
      </w:pPr>
      <w:r>
        <w:rPr>
          <w:rFonts w:cs="Times New Roman"/>
          <w:b/>
        </w:rPr>
        <w:t>（3）支线</w:t>
      </w:r>
    </w:p>
    <w:p>
      <w:pPr>
        <w:spacing w:before="163" w:after="163"/>
        <w:ind w:firstLine="482"/>
        <w:rPr>
          <w:rFonts w:cs="Times New Roman"/>
          <w:b/>
        </w:rPr>
      </w:pPr>
      <w:r>
        <w:rPr>
          <w:rFonts w:cs="Times New Roman"/>
          <w:b/>
        </w:rPr>
        <w:t>1、2路（环线）</w:t>
      </w:r>
    </w:p>
    <w:p>
      <w:pPr>
        <w:spacing w:before="163" w:after="163"/>
        <w:ind w:firstLine="482"/>
        <w:rPr>
          <w:rFonts w:cs="Times New Roman"/>
          <w:b/>
        </w:rPr>
      </w:pPr>
      <w:r>
        <w:rPr>
          <w:rFonts w:cs="Times New Roman"/>
          <w:b/>
        </w:rPr>
        <w:t>起讫点：</w:t>
      </w:r>
      <w:r>
        <w:rPr>
          <w:rFonts w:hint="eastAsia" w:cs="Times New Roman"/>
          <w:b/>
        </w:rPr>
        <w:t>成渝高速路口公交站—成渝高速路口公交站</w:t>
      </w:r>
    </w:p>
    <w:p>
      <w:pPr>
        <w:spacing w:before="163" w:after="163"/>
        <w:ind w:firstLine="480"/>
        <w:rPr>
          <w:rFonts w:cs="Times New Roman"/>
        </w:rPr>
      </w:pPr>
      <w:r>
        <w:rPr>
          <w:rFonts w:cs="Times New Roman"/>
        </w:rPr>
        <w:t>调整方案：截弯取直，延伸线路、服务新区</w:t>
      </w:r>
      <w:r>
        <w:rPr>
          <w:rFonts w:hint="eastAsia" w:cs="Times New Roman"/>
        </w:rPr>
        <w:t>。</w:t>
      </w:r>
    </w:p>
    <w:p>
      <w:pPr>
        <w:spacing w:before="163" w:after="163"/>
        <w:ind w:firstLine="480"/>
        <w:rPr>
          <w:rFonts w:cs="Times New Roman"/>
        </w:rPr>
      </w:pPr>
      <w:r>
        <w:rPr>
          <w:rFonts w:cs="Times New Roman"/>
        </w:rPr>
        <w:t>调整原因：现状2路公交非直线系数过大而且途经站点客流需求少，因此对2路公交进行调整。</w:t>
      </w:r>
    </w:p>
    <w:p>
      <w:pPr>
        <w:spacing w:before="163" w:after="163"/>
        <w:ind w:firstLine="480"/>
        <w:rPr>
          <w:rFonts w:cs="Times New Roman" w:asciiTheme="majorEastAsia" w:hAnsiTheme="majorEastAsia" w:eastAsiaTheme="majorEastAsia"/>
        </w:rPr>
      </w:pPr>
      <w:r>
        <w:rPr>
          <w:rFonts w:cs="Times New Roman"/>
        </w:rPr>
        <w:t>运行线路：</w:t>
      </w:r>
      <w:r>
        <w:rPr>
          <w:rFonts w:cs="Times New Roman" w:asciiTheme="majorEastAsia" w:hAnsiTheme="majorEastAsia" w:eastAsiaTheme="majorEastAsia"/>
        </w:rPr>
        <w:t>成渝高速路口公交站—娇子大道—建设北路—和平北街—滨江大道—骏兴路—书台路—汽车客运中心—书台路—</w:t>
      </w:r>
      <w:r>
        <w:rPr>
          <w:rFonts w:cs="Times New Roman"/>
        </w:rPr>
        <w:t>321国道</w:t>
      </w:r>
      <w:r>
        <w:rPr>
          <w:rFonts w:cs="Times New Roman" w:asciiTheme="majorEastAsia" w:hAnsiTheme="majorEastAsia" w:eastAsiaTheme="majorEastAsia"/>
        </w:rPr>
        <w:t>—外环路—娇子大道—成渝高速路口公交站</w:t>
      </w:r>
    </w:p>
    <w:p>
      <w:pPr>
        <w:spacing w:before="163" w:after="163"/>
        <w:ind w:firstLine="480"/>
        <w:rPr>
          <w:rFonts w:cs="Times New Roman" w:asciiTheme="majorEastAsia" w:hAnsiTheme="majorEastAsia" w:eastAsiaTheme="majorEastAsia"/>
        </w:rPr>
      </w:pPr>
      <w:r>
        <w:rPr>
          <w:rFonts w:cs="Times New Roman"/>
        </w:rPr>
        <w:t>环线A</w:t>
      </w:r>
      <w:r>
        <w:rPr>
          <w:rFonts w:hint="eastAsia" w:cs="Times New Roman"/>
        </w:rPr>
        <w:t>（</w:t>
      </w:r>
      <w:r>
        <w:rPr>
          <w:rFonts w:cs="Times New Roman"/>
        </w:rPr>
        <w:t>环线外侧</w:t>
      </w:r>
      <w:r>
        <w:rPr>
          <w:rFonts w:hint="eastAsia" w:cs="Times New Roman"/>
        </w:rPr>
        <w:t>）</w:t>
      </w:r>
      <w:r>
        <w:rPr>
          <w:rFonts w:cs="Times New Roman"/>
        </w:rPr>
        <w:t>途经站点：</w:t>
      </w:r>
      <w:r>
        <w:rPr>
          <w:rFonts w:hint="eastAsia" w:cs="Times New Roman"/>
        </w:rPr>
        <w:t>成渝高速路口</w:t>
      </w:r>
      <w:r>
        <w:rPr>
          <w:rFonts w:cs="Times New Roman"/>
        </w:rPr>
        <w:t>公交</w:t>
      </w:r>
      <w:r>
        <w:rPr>
          <w:rFonts w:cs="Times New Roman" w:asciiTheme="majorEastAsia" w:hAnsiTheme="majorEastAsia" w:eastAsiaTheme="majorEastAsia"/>
        </w:rPr>
        <w:t>站</w:t>
      </w:r>
      <w:r>
        <w:rPr>
          <w:rFonts w:hint="eastAsia" w:cs="Times New Roman" w:asciiTheme="majorEastAsia" w:hAnsiTheme="majorEastAsia" w:eastAsiaTheme="majorEastAsia"/>
        </w:rPr>
        <w:t>—蜀亨大酒店—市交通局—骨科医院—置地城—凯旋国际—东风</w:t>
      </w:r>
      <w:r>
        <w:rPr>
          <w:rFonts w:cs="Times New Roman" w:asciiTheme="majorEastAsia" w:hAnsiTheme="majorEastAsia" w:eastAsiaTheme="majorEastAsia"/>
        </w:rPr>
        <w:t>明</w:t>
      </w:r>
      <w:r>
        <w:rPr>
          <w:rFonts w:hint="eastAsia" w:cs="Times New Roman" w:asciiTheme="majorEastAsia" w:hAnsiTheme="majorEastAsia" w:eastAsiaTheme="majorEastAsia"/>
        </w:rPr>
        <w:t>大</w:t>
      </w:r>
      <w:r>
        <w:rPr>
          <w:rFonts w:cs="Times New Roman" w:asciiTheme="majorEastAsia" w:hAnsiTheme="majorEastAsia" w:eastAsiaTheme="majorEastAsia"/>
        </w:rPr>
        <w:t>机械</w:t>
      </w:r>
      <w:r>
        <w:rPr>
          <w:rFonts w:hint="eastAsia" w:cs="Times New Roman" w:asciiTheme="majorEastAsia" w:hAnsiTheme="majorEastAsia" w:eastAsiaTheme="majorEastAsia"/>
        </w:rPr>
        <w:t>厂—皇冠制罐—四海集团—钉乡站—响水站—招呼站—外</w:t>
      </w:r>
      <w:r>
        <w:rPr>
          <w:rFonts w:hint="eastAsia" w:cs="Times New Roman"/>
        </w:rPr>
        <w:t>环321路口</w:t>
      </w:r>
      <w:r>
        <w:rPr>
          <w:rFonts w:hint="eastAsia" w:cs="Times New Roman" w:asciiTheme="majorEastAsia" w:hAnsiTheme="majorEastAsia" w:eastAsiaTheme="majorEastAsia"/>
        </w:rPr>
        <w:t>—资阳广播电视大学—水工医院—南市—高</w:t>
      </w:r>
      <w:r>
        <w:rPr>
          <w:rFonts w:cs="Times New Roman" w:asciiTheme="majorEastAsia" w:hAnsiTheme="majorEastAsia" w:eastAsiaTheme="majorEastAsia"/>
        </w:rPr>
        <w:t>坳</w:t>
      </w:r>
      <w:r>
        <w:rPr>
          <w:rFonts w:hint="eastAsia" w:cs="Times New Roman" w:asciiTheme="majorEastAsia" w:hAnsiTheme="majorEastAsia" w:eastAsiaTheme="majorEastAsia"/>
        </w:rPr>
        <w:t>—天王水泥厂—教仪厂—广子沟—恒大城南—汽车客运中心</w:t>
      </w:r>
      <w:r>
        <w:rPr>
          <w:rFonts w:cs="Times New Roman" w:asciiTheme="majorEastAsia" w:hAnsiTheme="majorEastAsia" w:eastAsiaTheme="majorEastAsia"/>
        </w:rPr>
        <w:t>（</w:t>
      </w:r>
      <w:r>
        <w:rPr>
          <w:rFonts w:hint="eastAsia" w:cs="Times New Roman" w:asciiTheme="majorEastAsia" w:hAnsiTheme="majorEastAsia" w:eastAsiaTheme="majorEastAsia"/>
        </w:rPr>
        <w:t>进站</w:t>
      </w:r>
      <w:r>
        <w:rPr>
          <w:rFonts w:cs="Times New Roman" w:asciiTheme="majorEastAsia" w:hAnsiTheme="majorEastAsia" w:eastAsiaTheme="majorEastAsia"/>
        </w:rPr>
        <w:t>）</w:t>
      </w:r>
      <w:r>
        <w:rPr>
          <w:rFonts w:hint="eastAsia" w:cs="Times New Roman" w:asciiTheme="majorEastAsia" w:hAnsiTheme="majorEastAsia" w:eastAsiaTheme="majorEastAsia"/>
        </w:rPr>
        <w:t>—江南花都—江南半岛—苌弘广场—师范校—南门</w:t>
      </w:r>
      <w:r>
        <w:rPr>
          <w:rFonts w:hint="eastAsia" w:cs="Times New Roman"/>
        </w:rPr>
        <w:t>口—百货大楼—区医院—家乐福—西门工商行—西门桥街—台阳路</w:t>
      </w:r>
      <w:r>
        <w:rPr>
          <w:rFonts w:hint="eastAsia" w:cs="Times New Roman" w:asciiTheme="majorEastAsia" w:hAnsiTheme="majorEastAsia" w:eastAsiaTheme="majorEastAsia"/>
        </w:rPr>
        <w:t>—九曲河广场—黄泥巴山—市政务服务中心—马鞍路口—蜀亨大酒店—市交通局—成渝高速路口</w:t>
      </w:r>
      <w:r>
        <w:rPr>
          <w:rFonts w:cs="Times New Roman" w:asciiTheme="majorEastAsia" w:hAnsiTheme="majorEastAsia" w:eastAsiaTheme="majorEastAsia"/>
        </w:rPr>
        <w:t>公交站</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环线</w:t>
      </w:r>
      <w:r>
        <w:rPr>
          <w:rFonts w:cs="Times New Roman" w:eastAsiaTheme="majorEastAsia"/>
        </w:rPr>
        <w:t>B</w:t>
      </w:r>
      <w:r>
        <w:rPr>
          <w:rFonts w:cs="Times New Roman" w:asciiTheme="majorEastAsia" w:hAnsiTheme="majorEastAsia" w:eastAsiaTheme="majorEastAsia"/>
        </w:rPr>
        <w:t>（环线内侧）途经站点：成渝高速路口公交站—蜀亨大酒店—马鞍路口—市政务服务中心—黄泥巴山—</w:t>
      </w:r>
      <w:r>
        <w:rPr>
          <w:rFonts w:hint="eastAsia" w:cs="Times New Roman" w:asciiTheme="majorEastAsia" w:hAnsiTheme="majorEastAsia" w:eastAsiaTheme="majorEastAsia"/>
        </w:rPr>
        <w:t>九</w:t>
      </w:r>
      <w:r>
        <w:rPr>
          <w:rFonts w:cs="Times New Roman" w:asciiTheme="majorEastAsia" w:hAnsiTheme="majorEastAsia" w:eastAsiaTheme="majorEastAsia"/>
        </w:rPr>
        <w:t>曲河广场—台阳路—西门桥街—西门工商行—家乐福—区医院—百货大楼—南门口—师范校—苌弘广场—江南半岛—江南花都—汽车客运中心（不进站）—恒大城南—广子沟—教仪厂—天王水泥厂—高坳—南市—水工医院—资阳广播电视大学—</w:t>
      </w:r>
      <w:r>
        <w:rPr>
          <w:rFonts w:cs="Times New Roman"/>
        </w:rPr>
        <w:t>外环321路口</w:t>
      </w:r>
      <w:r>
        <w:rPr>
          <w:rFonts w:cs="Times New Roman" w:asciiTheme="majorEastAsia" w:hAnsiTheme="majorEastAsia" w:eastAsiaTheme="majorEastAsia"/>
        </w:rPr>
        <w:t>—招呼站—响水站—钉乡站—四海集团—皇冠制罐—东风明大机械厂—凯旋国际—置地城—骨科医院—市交通局—成渝高速路口公交站</w:t>
      </w:r>
    </w:p>
    <w:p>
      <w:pPr>
        <w:spacing w:before="163" w:after="163"/>
        <w:ind w:firstLine="480"/>
        <w:rPr>
          <w:rFonts w:cs="Times New Roman"/>
        </w:rPr>
      </w:pPr>
      <w:r>
        <w:rPr>
          <w:rFonts w:cs="Times New Roman"/>
        </w:rPr>
        <w:t>线路里程：17.11公里</w:t>
      </w:r>
    </w:p>
    <w:p>
      <w:pPr>
        <w:spacing w:before="163" w:after="163"/>
        <w:ind w:firstLine="480"/>
        <w:rPr>
          <w:rFonts w:cs="Times New Roman"/>
        </w:rPr>
      </w:pPr>
      <w:r>
        <w:rPr>
          <w:rFonts w:cs="Times New Roman"/>
        </w:rPr>
        <w:t>平均站间距：439</w:t>
      </w:r>
      <w:r>
        <w:rPr>
          <w:rFonts w:hint="eastAsia" w:cs="Times New Roman"/>
        </w:rPr>
        <w:t>米（环线A）/</w:t>
      </w:r>
      <w:r>
        <w:rPr>
          <w:rFonts w:cs="Times New Roman"/>
        </w:rPr>
        <w:t>462米</w:t>
      </w:r>
      <w:r>
        <w:rPr>
          <w:rFonts w:hint="eastAsia" w:cs="Times New Roman"/>
        </w:rPr>
        <w:t>（环线</w:t>
      </w:r>
      <w:r>
        <w:rPr>
          <w:rFonts w:cs="Times New Roman"/>
        </w:rPr>
        <w:t>B</w:t>
      </w:r>
      <w:r>
        <w:rPr>
          <w:rFonts w:hint="eastAsia" w:cs="Times New Roman"/>
        </w:rPr>
        <w:t>）</w:t>
      </w:r>
    </w:p>
    <w:p>
      <w:pPr>
        <w:spacing w:before="163" w:after="163"/>
        <w:ind w:firstLine="480"/>
        <w:rPr>
          <w:rFonts w:cs="Times New Roman"/>
        </w:rPr>
      </w:pPr>
      <w:r>
        <w:rPr>
          <w:rFonts w:cs="Times New Roman"/>
        </w:rPr>
        <w:t>功能：满足城南片区到城西以及汽车客运中心的出行需求，同时保证了城南片区、城西以及老城区的互联互通。</w:t>
      </w:r>
    </w:p>
    <w:p>
      <w:pPr>
        <w:spacing w:before="163" w:after="163"/>
        <w:ind w:firstLine="482"/>
        <w:rPr>
          <w:rFonts w:cs="Times New Roman"/>
          <w:b/>
        </w:rPr>
      </w:pPr>
      <w:r>
        <w:rPr>
          <w:rFonts w:cs="Times New Roman"/>
          <w:b/>
        </w:rPr>
        <w:t>2、4路</w:t>
      </w:r>
    </w:p>
    <w:p>
      <w:pPr>
        <w:spacing w:before="163" w:after="163"/>
        <w:ind w:firstLine="482"/>
        <w:rPr>
          <w:rFonts w:cs="Times New Roman"/>
          <w:b/>
        </w:rPr>
      </w:pPr>
      <w:r>
        <w:rPr>
          <w:rFonts w:cs="Times New Roman"/>
          <w:b/>
        </w:rPr>
        <w:t>起讫点：城东高铁</w:t>
      </w:r>
      <w:r>
        <w:rPr>
          <w:rFonts w:cs="Times New Roman" w:asciiTheme="majorEastAsia" w:hAnsiTheme="majorEastAsia" w:eastAsiaTheme="majorEastAsia"/>
          <w:b/>
        </w:rPr>
        <w:t>站—</w:t>
      </w:r>
      <w:r>
        <w:rPr>
          <w:rFonts w:cs="Times New Roman"/>
          <w:b/>
        </w:rPr>
        <w:t>教育园区</w:t>
      </w:r>
    </w:p>
    <w:p>
      <w:pPr>
        <w:spacing w:before="163" w:after="163"/>
        <w:ind w:firstLine="480"/>
        <w:rPr>
          <w:rFonts w:cs="Times New Roman"/>
        </w:rPr>
      </w:pPr>
      <w:r>
        <w:rPr>
          <w:rFonts w:cs="Times New Roman"/>
        </w:rPr>
        <w:t>调整方式：调整线路、服务新区</w:t>
      </w:r>
      <w:r>
        <w:rPr>
          <w:rFonts w:hint="eastAsia" w:cs="Times New Roman"/>
        </w:rPr>
        <w:t>。</w:t>
      </w:r>
    </w:p>
    <w:p>
      <w:pPr>
        <w:spacing w:before="163" w:after="163"/>
        <w:ind w:firstLine="480"/>
        <w:rPr>
          <w:rFonts w:cs="Times New Roman" w:asciiTheme="majorEastAsia" w:hAnsiTheme="majorEastAsia" w:eastAsiaTheme="majorEastAsia"/>
        </w:rPr>
      </w:pPr>
      <w:r>
        <w:rPr>
          <w:rFonts w:cs="Times New Roman"/>
        </w:rPr>
        <w:t>调整原因：现状4路作为支线公交，极大地丰富了资阳市的公交线网，增加了资阳市城区公交覆盖率，在资阳市公交系统中发挥着十分重要的作用，因此，对4路公交的大部分线路进行保留，并适当延伸线路，增加4路公交的覆盖率。</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运行线路：</w:t>
      </w:r>
      <w:r>
        <w:rPr>
          <w:rFonts w:hint="eastAsia" w:cs="Times New Roman" w:asciiTheme="majorEastAsia" w:hAnsiTheme="majorEastAsia" w:eastAsiaTheme="majorEastAsia"/>
        </w:rPr>
        <w:t>城东高铁站—宝台大道—迎宾大道—汇兴街—正兴街—蜀乡大道—迎宾大道—迎宾大桥—雁北路—建设东路—政府西路—昌鑫路—雁城路—</w:t>
      </w:r>
      <w:r>
        <w:rPr>
          <w:rFonts w:hint="eastAsia" w:cs="Times New Roman"/>
        </w:rPr>
        <w:t>321国道</w:t>
      </w:r>
      <w:r>
        <w:rPr>
          <w:rFonts w:hint="eastAsia" w:cs="Times New Roman" w:asciiTheme="majorEastAsia" w:hAnsiTheme="majorEastAsia" w:eastAsiaTheme="majorEastAsia"/>
        </w:rPr>
        <w:t>—晨风路—滨河西路二段—娇子大道—外环路—</w:t>
      </w:r>
      <w:r>
        <w:rPr>
          <w:rFonts w:hint="eastAsia" w:cs="Times New Roman"/>
        </w:rPr>
        <w:t>321国道</w:t>
      </w:r>
      <w:r>
        <w:rPr>
          <w:rFonts w:hint="eastAsia" w:cs="Times New Roman" w:asciiTheme="majorEastAsia" w:hAnsiTheme="majorEastAsia" w:eastAsiaTheme="majorEastAsia"/>
        </w:rPr>
        <w:t>—育才路—教育园区</w:t>
      </w:r>
    </w:p>
    <w:p>
      <w:pPr>
        <w:ind w:firstLine="480"/>
        <w:rPr>
          <w:rFonts w:cs="Times New Roman"/>
        </w:rPr>
      </w:pPr>
      <w:r>
        <w:rPr>
          <w:rFonts w:cs="Times New Roman" w:asciiTheme="majorEastAsia" w:hAnsiTheme="majorEastAsia" w:eastAsiaTheme="majorEastAsia"/>
        </w:rPr>
        <w:t>途经站点：</w:t>
      </w:r>
      <w:r>
        <w:rPr>
          <w:rFonts w:hint="eastAsia" w:cs="Times New Roman" w:asciiTheme="majorEastAsia" w:hAnsiTheme="majorEastAsia" w:eastAsiaTheme="majorEastAsia"/>
        </w:rPr>
        <w:t>城东高铁站—航向九义校—演艺中心—字库山公园</w:t>
      </w:r>
      <w:r>
        <w:rPr>
          <w:rFonts w:hint="eastAsia" w:cs="Times New Roman"/>
        </w:rPr>
        <w:t>—区公安局—城东区政府—区政务服务中心—沱三桥西—城北市场—资阳客运站—建东市场—政府东路口—区政府—桥亭子—上西街口—水工局—西门市场—交警一大队—电信大楼—四三一总厂—晨风大酒店—文体中心—车苑小区—滨河西路—市政府—市政务服务中心—万达广场—幸福大道二段—幸福大道三段—幸福大道四段—市人民医院—馨合家园—春天半岛—教育园区</w:t>
      </w:r>
    </w:p>
    <w:p>
      <w:pPr>
        <w:ind w:firstLine="480"/>
        <w:rPr>
          <w:rFonts w:cs="Times New Roman"/>
        </w:rPr>
      </w:pPr>
      <w:r>
        <w:rPr>
          <w:rFonts w:cs="Times New Roman"/>
        </w:rPr>
        <w:t>线路里程：15.99公里</w:t>
      </w:r>
    </w:p>
    <w:p>
      <w:pPr>
        <w:spacing w:before="163" w:after="163"/>
        <w:ind w:firstLine="480"/>
        <w:rPr>
          <w:rFonts w:cs="Times New Roman"/>
        </w:rPr>
      </w:pPr>
      <w:r>
        <w:rPr>
          <w:rFonts w:cs="Times New Roman"/>
        </w:rPr>
        <w:t>平均站间距：485米</w:t>
      </w:r>
    </w:p>
    <w:p>
      <w:pPr>
        <w:spacing w:before="163" w:after="163"/>
        <w:ind w:firstLine="480"/>
        <w:rPr>
          <w:rFonts w:cs="Times New Roman"/>
          <w:b/>
        </w:rPr>
      </w:pPr>
      <w:r>
        <w:rPr>
          <w:rFonts w:cs="Times New Roman"/>
        </w:rPr>
        <w:t>功能：4路作为支线公交，增加了公交覆盖面积，丰富了资阳公交线网系统，使得资阳公共交通更具可达性，同时使得教育园区、老城区与沱东新区的联系更加便捷。</w:t>
      </w:r>
    </w:p>
    <w:p>
      <w:pPr>
        <w:spacing w:before="163" w:after="163"/>
        <w:ind w:firstLine="482"/>
        <w:rPr>
          <w:rFonts w:cs="Times New Roman"/>
          <w:b/>
        </w:rPr>
      </w:pPr>
      <w:r>
        <w:rPr>
          <w:rFonts w:cs="Times New Roman"/>
          <w:b/>
        </w:rPr>
        <w:t>3、5路</w:t>
      </w:r>
    </w:p>
    <w:p>
      <w:pPr>
        <w:spacing w:before="163" w:after="163"/>
        <w:ind w:firstLine="482"/>
        <w:rPr>
          <w:rFonts w:cs="Times New Roman"/>
          <w:b/>
        </w:rPr>
      </w:pPr>
      <w:r>
        <w:rPr>
          <w:rFonts w:cs="Times New Roman"/>
          <w:b/>
        </w:rPr>
        <w:t>起讫点：汽车客运中心</w:t>
      </w:r>
      <w:r>
        <w:rPr>
          <w:rFonts w:cs="Times New Roman" w:asciiTheme="majorEastAsia" w:hAnsiTheme="majorEastAsia" w:eastAsiaTheme="majorEastAsia"/>
          <w:b/>
        </w:rPr>
        <w:t>—</w:t>
      </w:r>
      <w:r>
        <w:rPr>
          <w:rFonts w:cs="Times New Roman"/>
          <w:b/>
        </w:rPr>
        <w:t>魏家湾</w:t>
      </w:r>
    </w:p>
    <w:p>
      <w:pPr>
        <w:spacing w:before="163" w:after="163"/>
        <w:ind w:firstLine="480"/>
        <w:rPr>
          <w:rFonts w:cs="Times New Roman"/>
        </w:rPr>
      </w:pPr>
      <w:r>
        <w:rPr>
          <w:rFonts w:cs="Times New Roman"/>
        </w:rPr>
        <w:t>调整方式：基本保留</w:t>
      </w:r>
      <w:r>
        <w:rPr>
          <w:rFonts w:hint="eastAsia" w:cs="Times New Roman"/>
        </w:rPr>
        <w:t>。</w:t>
      </w:r>
    </w:p>
    <w:p>
      <w:pPr>
        <w:spacing w:before="163" w:after="163"/>
        <w:ind w:firstLine="480"/>
        <w:rPr>
          <w:rFonts w:cs="Times New Roman"/>
        </w:rPr>
      </w:pPr>
      <w:r>
        <w:rPr>
          <w:rFonts w:cs="Times New Roman"/>
        </w:rPr>
        <w:t>调整原因：5路公交作为资阳市公交系统中比较重要的支线线路，其通过站点客流较大，因此，对5路公交线路基本保留，对个别站点进行调整。</w:t>
      </w:r>
    </w:p>
    <w:p>
      <w:pPr>
        <w:spacing w:before="163" w:after="163"/>
        <w:ind w:firstLine="480"/>
        <w:rPr>
          <w:rFonts w:cs="Times New Roman"/>
        </w:rPr>
      </w:pPr>
      <w:r>
        <w:rPr>
          <w:rFonts w:cs="Times New Roman"/>
        </w:rPr>
        <w:t>运行线路：汽车客运中</w:t>
      </w:r>
      <w:r>
        <w:rPr>
          <w:rFonts w:cs="Times New Roman" w:asciiTheme="majorEastAsia" w:hAnsiTheme="majorEastAsia" w:eastAsiaTheme="majorEastAsia"/>
        </w:rPr>
        <w:t>心—书台路—滨江大道—南骏大道—仁德西路—娇子大道—外西街—建设西路—建设南路—和平中路—健康路—桥亭子街—政府东路—建设东路—沱桥路—锦湾大道—希望大道—资资路—魏家</w:t>
      </w:r>
      <w:r>
        <w:rPr>
          <w:rFonts w:cs="Times New Roman"/>
        </w:rPr>
        <w:t>湾</w:t>
      </w:r>
    </w:p>
    <w:p>
      <w:pPr>
        <w:ind w:firstLine="480"/>
        <w:rPr>
          <w:rFonts w:cs="Times New Roman" w:asciiTheme="majorEastAsia" w:hAnsiTheme="majorEastAsia" w:eastAsiaTheme="majorEastAsia"/>
        </w:rPr>
      </w:pPr>
      <w:r>
        <w:rPr>
          <w:rFonts w:cs="Times New Roman"/>
        </w:rPr>
        <w:t>途经站点：</w:t>
      </w:r>
      <w:r>
        <w:rPr>
          <w:rFonts w:cs="Times New Roman" w:asciiTheme="majorEastAsia" w:hAnsiTheme="majorEastAsia" w:eastAsiaTheme="majorEastAsia"/>
        </w:rPr>
        <w:t>汽车客运中心—江南花都—江南半岛—天台山村—孙家坝农贸市场—市地税局—市新区一医院—市就业培训中心—市政务服务中心—市政府—河堰嘴—电信大楼—交警一大队—西门市场—水工局—建设西路口—建设南路二段—市一医院—百货大楼—区政府—政府东路口—静苑小区—沱江一桥—东城大道一段—毛家堰—中交锦湾—城东中医院—黄泥村—拱城铺—文明寺—药业产业园—海天小学—魏家湾</w:t>
      </w:r>
    </w:p>
    <w:p>
      <w:pPr>
        <w:spacing w:before="163" w:after="163"/>
        <w:ind w:firstLine="480"/>
        <w:rPr>
          <w:rFonts w:cs="Times New Roman"/>
        </w:rPr>
      </w:pPr>
      <w:r>
        <w:rPr>
          <w:rFonts w:cs="Times New Roman"/>
        </w:rPr>
        <w:t>线路里程：15.08公里</w:t>
      </w:r>
    </w:p>
    <w:p>
      <w:pPr>
        <w:spacing w:before="163" w:after="163"/>
        <w:ind w:firstLine="480"/>
        <w:rPr>
          <w:rFonts w:cs="Times New Roman"/>
        </w:rPr>
      </w:pPr>
      <w:r>
        <w:rPr>
          <w:rFonts w:cs="Times New Roman"/>
        </w:rPr>
        <w:t>平均站间距：471米</w:t>
      </w:r>
    </w:p>
    <w:p>
      <w:pPr>
        <w:spacing w:before="163" w:after="163"/>
        <w:ind w:firstLine="480"/>
        <w:rPr>
          <w:rFonts w:cs="Times New Roman"/>
        </w:rPr>
      </w:pPr>
      <w:r>
        <w:rPr>
          <w:rFonts w:cs="Times New Roman"/>
        </w:rPr>
        <w:t>功能：串联了汽车客运中心、中心老城区以及沱东新区，满足了新老城区之间乘客的出行需求，作为支线公交，增加了公交覆盖面积，丰富了资阳公交线网系统，使得资阳公共交通更具可达性。</w:t>
      </w:r>
    </w:p>
    <w:p>
      <w:pPr>
        <w:spacing w:before="163" w:after="163"/>
        <w:ind w:firstLine="482"/>
        <w:rPr>
          <w:rFonts w:cs="Times New Roman"/>
          <w:b/>
        </w:rPr>
      </w:pPr>
      <w:r>
        <w:rPr>
          <w:rFonts w:cs="Times New Roman"/>
          <w:b/>
        </w:rPr>
        <w:t>4、8路</w:t>
      </w:r>
    </w:p>
    <w:p>
      <w:pPr>
        <w:spacing w:before="163" w:after="163"/>
        <w:ind w:firstLine="482"/>
        <w:rPr>
          <w:rFonts w:cs="Times New Roman"/>
          <w:b/>
        </w:rPr>
      </w:pPr>
      <w:r>
        <w:rPr>
          <w:rFonts w:cs="Times New Roman"/>
          <w:b/>
        </w:rPr>
        <w:t>起讫点：汽车客运中</w:t>
      </w:r>
      <w:r>
        <w:rPr>
          <w:rFonts w:cs="Times New Roman" w:asciiTheme="majorEastAsia" w:hAnsiTheme="majorEastAsia" w:eastAsiaTheme="majorEastAsia"/>
          <w:b/>
        </w:rPr>
        <w:t>心—</w:t>
      </w:r>
      <w:r>
        <w:rPr>
          <w:rFonts w:cs="Times New Roman"/>
          <w:b/>
        </w:rPr>
        <w:t>教育园区</w:t>
      </w:r>
    </w:p>
    <w:p>
      <w:pPr>
        <w:spacing w:before="163" w:after="163"/>
        <w:ind w:firstLine="480"/>
        <w:rPr>
          <w:rFonts w:cs="Times New Roman"/>
        </w:rPr>
      </w:pPr>
      <w:r>
        <w:rPr>
          <w:rFonts w:cs="Times New Roman"/>
        </w:rPr>
        <w:t>调整方式：新增线路</w:t>
      </w:r>
    </w:p>
    <w:p>
      <w:pPr>
        <w:spacing w:before="163" w:after="163"/>
        <w:ind w:firstLine="480"/>
        <w:rPr>
          <w:rFonts w:cs="Times New Roman"/>
        </w:rPr>
      </w:pPr>
      <w:r>
        <w:rPr>
          <w:rFonts w:cs="Times New Roman"/>
        </w:rPr>
        <w:t>调整原因：规划8路公交为调整后的3路公交所配套的支线。</w:t>
      </w:r>
    </w:p>
    <w:p>
      <w:pPr>
        <w:spacing w:before="163" w:after="163"/>
        <w:ind w:firstLine="480"/>
        <w:rPr>
          <w:rFonts w:cs="Times New Roman" w:asciiTheme="majorEastAsia" w:hAnsiTheme="majorEastAsia" w:eastAsiaTheme="majorEastAsia"/>
        </w:rPr>
      </w:pPr>
      <w:r>
        <w:rPr>
          <w:rFonts w:cs="Times New Roman"/>
        </w:rPr>
        <w:t>运行线路：汽车客运中心</w:t>
      </w:r>
      <w:r>
        <w:rPr>
          <w:rFonts w:cs="Times New Roman" w:asciiTheme="majorEastAsia" w:hAnsiTheme="majorEastAsia" w:eastAsiaTheme="majorEastAsia"/>
        </w:rPr>
        <w:t>—书台路—松涛路二段—松涛路一段—松林路—皇龙路—仁德西路—娇子大道—广场路—车城大道二段—狮子路—滨河西路二段—晨风路—车城大道二段—车城大道三段—车城大道三段东一巷—滨河西路三段—育才路—教育园区</w:t>
      </w:r>
    </w:p>
    <w:p>
      <w:pPr>
        <w:spacing w:before="163" w:after="163"/>
        <w:ind w:firstLine="480"/>
        <w:rPr>
          <w:rFonts w:cs="Times New Roman"/>
        </w:rPr>
      </w:pPr>
      <w:r>
        <w:rPr>
          <w:rFonts w:cs="Times New Roman" w:asciiTheme="majorEastAsia" w:hAnsiTheme="majorEastAsia" w:eastAsiaTheme="majorEastAsia"/>
        </w:rPr>
        <w:t>途经站点：汽车客运中心—恒大城南—广子沟站—恒大城—交警支队—石灰桥—市房管局—林业局—市新区一医院—市就业培训中心—市政务服务中心—市政府—河堰嘴—车城广场—狮子路—车苑小区—文体中心—晨风大酒店—天宇市场—市公安局—市委党校—教育园区文慧桥—教育园</w:t>
      </w:r>
      <w:r>
        <w:rPr>
          <w:rFonts w:cs="Times New Roman"/>
          <w:szCs w:val="32"/>
        </w:rPr>
        <w:t>区。</w:t>
      </w:r>
      <w:bookmarkStart w:id="258" w:name="_GoBack"/>
      <w:bookmarkEnd w:id="258"/>
    </w:p>
    <w:p>
      <w:pPr>
        <w:spacing w:before="163" w:after="163"/>
        <w:ind w:firstLine="480"/>
        <w:rPr>
          <w:rFonts w:cs="Times New Roman"/>
          <w:szCs w:val="32"/>
        </w:rPr>
      </w:pPr>
      <w:r>
        <w:rPr>
          <w:rFonts w:cs="Times New Roman"/>
          <w:szCs w:val="32"/>
        </w:rPr>
        <w:t>线路里程：10.09公里</w:t>
      </w:r>
    </w:p>
    <w:p>
      <w:pPr>
        <w:spacing w:before="163" w:after="163"/>
        <w:ind w:firstLine="480"/>
        <w:rPr>
          <w:rFonts w:cs="Times New Roman"/>
          <w:szCs w:val="32"/>
        </w:rPr>
      </w:pPr>
      <w:r>
        <w:rPr>
          <w:rFonts w:cs="Times New Roman"/>
          <w:szCs w:val="32"/>
        </w:rPr>
        <w:t>平均站间距：459米</w:t>
      </w:r>
    </w:p>
    <w:p>
      <w:pPr>
        <w:spacing w:before="163" w:after="163"/>
        <w:ind w:firstLine="480"/>
        <w:rPr>
          <w:rFonts w:cs="Times New Roman"/>
          <w:b/>
        </w:rPr>
      </w:pPr>
      <w:r>
        <w:rPr>
          <w:rFonts w:cs="Times New Roman"/>
        </w:rPr>
        <w:t>功能：作为公交支线线路，在连接了城南片区、城西片区与教育园区、满足两个片区的学生上学放学的公交乘车需求的同时，还增加了公交线网覆盖面积、丰富城市公交线网体系。</w:t>
      </w:r>
    </w:p>
    <w:p>
      <w:pPr>
        <w:spacing w:before="163" w:after="163"/>
        <w:ind w:firstLine="482"/>
        <w:rPr>
          <w:rFonts w:cs="Times New Roman"/>
          <w:b/>
        </w:rPr>
      </w:pPr>
      <w:r>
        <w:rPr>
          <w:rFonts w:cs="Times New Roman"/>
          <w:b/>
        </w:rPr>
        <w:t>5、9路</w:t>
      </w:r>
    </w:p>
    <w:p>
      <w:pPr>
        <w:spacing w:before="163" w:after="163"/>
        <w:ind w:firstLine="482"/>
        <w:rPr>
          <w:rFonts w:cs="Times New Roman"/>
          <w:b/>
        </w:rPr>
      </w:pPr>
      <w:r>
        <w:rPr>
          <w:rFonts w:cs="Times New Roman"/>
          <w:b/>
        </w:rPr>
        <w:t>起讫点：</w:t>
      </w:r>
      <w:r>
        <w:rPr>
          <w:rFonts w:hint="eastAsia" w:cs="Times New Roman"/>
          <w:b/>
        </w:rPr>
        <w:t>凤岭公园</w:t>
      </w:r>
      <w:r>
        <w:rPr>
          <w:rFonts w:cs="Times New Roman" w:asciiTheme="majorEastAsia" w:hAnsiTheme="majorEastAsia" w:eastAsiaTheme="majorEastAsia"/>
          <w:b/>
        </w:rPr>
        <w:t>—</w:t>
      </w:r>
      <w:r>
        <w:rPr>
          <w:rFonts w:hint="eastAsia" w:cs="Times New Roman"/>
          <w:b/>
        </w:rPr>
        <w:t>董家湾</w:t>
      </w:r>
    </w:p>
    <w:p>
      <w:pPr>
        <w:spacing w:before="163" w:after="163"/>
        <w:ind w:firstLine="480"/>
        <w:rPr>
          <w:rFonts w:cs="Times New Roman"/>
        </w:rPr>
      </w:pPr>
      <w:r>
        <w:rPr>
          <w:rFonts w:cs="Times New Roman"/>
        </w:rPr>
        <w:t>调整方式：</w:t>
      </w:r>
      <w:r>
        <w:rPr>
          <w:rFonts w:hint="eastAsia" w:cs="Times New Roman"/>
        </w:rPr>
        <w:t>延伸线路，覆盖新区。</w:t>
      </w:r>
    </w:p>
    <w:p>
      <w:pPr>
        <w:spacing w:before="163" w:after="163"/>
        <w:ind w:firstLine="480"/>
        <w:rPr>
          <w:rFonts w:cs="Times New Roman"/>
        </w:rPr>
      </w:pPr>
      <w:r>
        <w:rPr>
          <w:rFonts w:cs="Times New Roman"/>
        </w:rPr>
        <w:t>调整原因：9路公交为连接老城区、城西片区与城南工业区的公交线路，能够满足居民前往城南工业园区上下班的出行需求，具有其他线路无法替代的功能，因此对9路公交线路进行保留</w:t>
      </w:r>
      <w:r>
        <w:rPr>
          <w:rFonts w:hint="eastAsia" w:cs="Times New Roman"/>
        </w:rPr>
        <w:t>的同时将其进行适当延伸，增加9路公交的覆盖面积</w:t>
      </w:r>
      <w:r>
        <w:rPr>
          <w:rFonts w:cs="Times New Roman"/>
        </w:rPr>
        <w:t>。</w:t>
      </w:r>
    </w:p>
    <w:p>
      <w:pPr>
        <w:spacing w:before="163" w:after="163"/>
        <w:ind w:firstLine="480"/>
        <w:rPr>
          <w:rFonts w:cs="Times New Roman" w:asciiTheme="majorEastAsia" w:hAnsiTheme="majorEastAsia" w:eastAsiaTheme="majorEastAsia"/>
        </w:rPr>
      </w:pPr>
      <w:r>
        <w:rPr>
          <w:rFonts w:cs="Times New Roman"/>
        </w:rPr>
        <w:t>运行线路：凤岭公园</w:t>
      </w:r>
      <w:r>
        <w:rPr>
          <w:rFonts w:cs="Times New Roman" w:asciiTheme="majorEastAsia" w:hAnsiTheme="majorEastAsia" w:eastAsiaTheme="majorEastAsia"/>
        </w:rPr>
        <w:t>—凤岭路—娇子大道—大千路—书台路—骏兴路—城南大道—现代大道—董家湾</w:t>
      </w:r>
    </w:p>
    <w:p>
      <w:pPr>
        <w:spacing w:before="163" w:after="163"/>
        <w:ind w:firstLine="480"/>
        <w:rPr>
          <w:rFonts w:cs="Times New Roman"/>
        </w:rPr>
      </w:pPr>
      <w:r>
        <w:rPr>
          <w:rFonts w:cs="Times New Roman" w:asciiTheme="majorEastAsia" w:hAnsiTheme="majorEastAsia" w:eastAsiaTheme="majorEastAsia"/>
        </w:rPr>
        <w:t>途经站点：凤岭公园—凤岭公园路一段—凤岭公园路二段—娇子大道一段—九曲河广场—黄泥巴山—市政务服务中心—马鞍路口—体育广场—马鞍九义校—大千药业—泰恒眼科—四海公司—拉丝厂—电缆厂—广子沟—恒大城南—汽车客运中心—书台小区—南骏中联重科—南骏低速重载—桐子站—浙粤园—城南工业园区—汽车职业学院—现代大道一段—现代大道二段—现代大道三段—现代大道四段—四川现代—同合</w:t>
      </w:r>
      <w:r>
        <w:rPr>
          <w:rFonts w:hint="eastAsia" w:cs="Times New Roman" w:asciiTheme="majorEastAsia" w:hAnsiTheme="majorEastAsia" w:eastAsiaTheme="majorEastAsia"/>
        </w:rPr>
        <w:t>寺</w:t>
      </w:r>
      <w:r>
        <w:rPr>
          <w:rFonts w:cs="Times New Roman" w:asciiTheme="majorEastAsia" w:hAnsiTheme="majorEastAsia" w:eastAsiaTheme="majorEastAsia"/>
        </w:rPr>
        <w:t>（招呼站）—董家湾</w:t>
      </w:r>
    </w:p>
    <w:p>
      <w:pPr>
        <w:spacing w:before="163" w:after="163"/>
        <w:ind w:firstLine="480"/>
        <w:rPr>
          <w:rFonts w:cs="Times New Roman"/>
        </w:rPr>
      </w:pPr>
      <w:r>
        <w:rPr>
          <w:rFonts w:cs="Times New Roman"/>
        </w:rPr>
        <w:t>线路里程：</w:t>
      </w:r>
      <w:r>
        <w:rPr>
          <w:rFonts w:hint="eastAsia" w:cs="Times New Roman"/>
        </w:rPr>
        <w:t>1</w:t>
      </w:r>
      <w:r>
        <w:rPr>
          <w:rFonts w:cs="Times New Roman"/>
        </w:rPr>
        <w:t>7.45公里</w:t>
      </w:r>
    </w:p>
    <w:p>
      <w:pPr>
        <w:spacing w:before="163" w:after="163"/>
        <w:ind w:firstLine="480"/>
        <w:rPr>
          <w:rFonts w:cs="Times New Roman"/>
        </w:rPr>
      </w:pPr>
      <w:r>
        <w:rPr>
          <w:rFonts w:cs="Times New Roman"/>
        </w:rPr>
        <w:t>平均站间距：</w:t>
      </w:r>
      <w:r>
        <w:rPr>
          <w:rFonts w:hint="eastAsia" w:cs="Times New Roman"/>
        </w:rPr>
        <w:t>6</w:t>
      </w:r>
      <w:r>
        <w:rPr>
          <w:rFonts w:cs="Times New Roman"/>
        </w:rPr>
        <w:t>02米</w:t>
      </w:r>
    </w:p>
    <w:p>
      <w:pPr>
        <w:spacing w:before="163" w:after="163"/>
        <w:ind w:firstLine="480"/>
        <w:rPr>
          <w:rFonts w:cs="Times New Roman"/>
          <w:b/>
        </w:rPr>
      </w:pPr>
      <w:r>
        <w:rPr>
          <w:rFonts w:cs="Times New Roman"/>
        </w:rPr>
        <w:t>功能：自</w:t>
      </w:r>
      <w:r>
        <w:rPr>
          <w:rFonts w:hint="eastAsia" w:cs="Times New Roman"/>
        </w:rPr>
        <w:t>北</w:t>
      </w:r>
      <w:r>
        <w:rPr>
          <w:rFonts w:cs="Times New Roman"/>
        </w:rPr>
        <w:t>而</w:t>
      </w:r>
      <w:r>
        <w:rPr>
          <w:rFonts w:hint="eastAsia" w:cs="Times New Roman"/>
        </w:rPr>
        <w:t>南</w:t>
      </w:r>
      <w:r>
        <w:rPr>
          <w:rFonts w:cs="Times New Roman"/>
        </w:rPr>
        <w:t>连接了城北片区、城西以及城南片区，满足了城市居民前往城南片区上下班的公交出行需求，同时也增加了公交覆盖面积，丰富了城市公交线网。</w:t>
      </w:r>
    </w:p>
    <w:p>
      <w:pPr>
        <w:spacing w:before="163" w:after="163"/>
        <w:ind w:firstLine="482"/>
        <w:rPr>
          <w:rFonts w:cs="Times New Roman" w:asciiTheme="majorEastAsia" w:hAnsiTheme="majorEastAsia" w:eastAsiaTheme="majorEastAsia"/>
          <w:b/>
        </w:rPr>
      </w:pPr>
      <w:r>
        <w:rPr>
          <w:rFonts w:cs="Times New Roman"/>
          <w:b/>
        </w:rPr>
        <w:t>6、10路</w:t>
      </w:r>
    </w:p>
    <w:p>
      <w:pPr>
        <w:spacing w:before="163" w:after="163"/>
        <w:ind w:firstLine="482"/>
        <w:rPr>
          <w:rFonts w:cs="Times New Roman"/>
          <w:b/>
        </w:rPr>
      </w:pPr>
      <w:r>
        <w:rPr>
          <w:rFonts w:cs="Times New Roman" w:asciiTheme="majorEastAsia" w:hAnsiTheme="majorEastAsia" w:eastAsiaTheme="majorEastAsia"/>
          <w:b/>
        </w:rPr>
        <w:t>起讫点：成渝高速路口公交站—</w:t>
      </w:r>
      <w:r>
        <w:rPr>
          <w:rFonts w:hint="eastAsia" w:cs="Times New Roman"/>
          <w:b/>
        </w:rPr>
        <w:t>清巍汽车</w:t>
      </w:r>
      <w:r>
        <w:rPr>
          <w:rFonts w:cs="Times New Roman"/>
          <w:b/>
        </w:rPr>
        <w:t>4S</w:t>
      </w:r>
      <w:r>
        <w:rPr>
          <w:rFonts w:hint="eastAsia" w:cs="Times New Roman"/>
          <w:b/>
        </w:rPr>
        <w:t>商城</w:t>
      </w:r>
    </w:p>
    <w:p>
      <w:pPr>
        <w:spacing w:before="163" w:after="163"/>
        <w:ind w:firstLine="480"/>
        <w:rPr>
          <w:rFonts w:cs="Times New Roman"/>
        </w:rPr>
      </w:pPr>
      <w:r>
        <w:rPr>
          <w:rFonts w:cs="Times New Roman"/>
        </w:rPr>
        <w:t>调整方式：延伸线路，覆盖新区</w:t>
      </w:r>
      <w:r>
        <w:rPr>
          <w:rFonts w:hint="eastAsia" w:cs="Times New Roman"/>
        </w:rPr>
        <w:t>。</w:t>
      </w:r>
    </w:p>
    <w:p>
      <w:pPr>
        <w:spacing w:before="163" w:after="163"/>
        <w:ind w:firstLine="480"/>
        <w:rPr>
          <w:rFonts w:cs="Times New Roman"/>
        </w:rPr>
      </w:pPr>
      <w:r>
        <w:rPr>
          <w:rFonts w:cs="Times New Roman"/>
        </w:rPr>
        <w:t>调整原因：结合资阳市相关上位规划延伸10路公交至未来规划站点。</w:t>
      </w:r>
    </w:p>
    <w:p>
      <w:pPr>
        <w:spacing w:before="163" w:after="163"/>
        <w:ind w:firstLine="480"/>
        <w:rPr>
          <w:rFonts w:cs="Times New Roman"/>
        </w:rPr>
      </w:pPr>
      <w:r>
        <w:rPr>
          <w:rFonts w:cs="Times New Roman"/>
        </w:rPr>
        <w:t>运行线路：成渝高速路口公交</w:t>
      </w:r>
      <w:r>
        <w:rPr>
          <w:rFonts w:cs="Times New Roman" w:asciiTheme="majorEastAsia" w:hAnsiTheme="majorEastAsia" w:eastAsiaTheme="majorEastAsia"/>
        </w:rPr>
        <w:t>站—娇子大道—外环路—康乐北路—大千路—娇子大道—广场路—车城大道—雁城路—建设北路—和平中路—政府东路—建设东路—锦湾大街—蜀乡大道—迎宾大道—</w:t>
      </w:r>
      <w:r>
        <w:rPr>
          <w:rFonts w:hint="eastAsia" w:cs="Times New Roman" w:asciiTheme="majorEastAsia" w:hAnsiTheme="majorEastAsia" w:eastAsiaTheme="majorEastAsia"/>
        </w:rPr>
        <w:t>清</w:t>
      </w:r>
      <w:r>
        <w:rPr>
          <w:rFonts w:hint="eastAsia" w:cs="Times New Roman"/>
        </w:rPr>
        <w:t>巍汽车</w:t>
      </w:r>
      <w:r>
        <w:rPr>
          <w:rFonts w:cs="Times New Roman"/>
        </w:rPr>
        <w:t>4S</w:t>
      </w:r>
      <w:r>
        <w:rPr>
          <w:rFonts w:hint="eastAsia" w:cs="Times New Roman"/>
        </w:rPr>
        <w:t>商城</w:t>
      </w:r>
    </w:p>
    <w:p>
      <w:pPr>
        <w:spacing w:before="163" w:after="163"/>
        <w:ind w:firstLine="480"/>
        <w:rPr>
          <w:rFonts w:cs="Times New Roman"/>
        </w:rPr>
      </w:pPr>
      <w:r>
        <w:rPr>
          <w:rFonts w:cs="Times New Roman"/>
        </w:rPr>
        <w:t>途经站点：成渝高速路口公交</w:t>
      </w:r>
      <w:r>
        <w:rPr>
          <w:rFonts w:cs="Times New Roman" w:asciiTheme="majorEastAsia" w:hAnsiTheme="majorEastAsia" w:eastAsiaTheme="majorEastAsia"/>
        </w:rPr>
        <w:t>站—蜀亨大酒店—市交通局—骨科医院—置地城—港华燃气—中级法院—体育广场—马鞍路口—市政务服务中心—市政府—河堰嘴—电信大楼—交警一大队—西门市场—家乐福—区医院—百货大楼—区政府—政府东路口—静苑小区—沱江一桥—东城大道一段—毛家堰—中交锦湾—城东中医院—豪生大酒店—区政务服务中心—演艺中心—字库山公园—</w:t>
      </w:r>
      <w:r>
        <w:rPr>
          <w:rFonts w:hint="eastAsia" w:ascii="华文仿宋" w:hAnsi="华文仿宋" w:eastAsia="华文仿宋" w:cs="仿宋_GB2312"/>
          <w:color w:val="C00000"/>
          <w:szCs w:val="32"/>
        </w:rPr>
        <w:t>区公安局→玫瑰苑→区职教中心</w:t>
      </w:r>
      <w:r>
        <w:rPr>
          <w:rFonts w:hint="eastAsia" w:ascii="华文仿宋" w:hAnsi="华文仿宋" w:eastAsia="华文仿宋" w:cs="仿宋_GB2312"/>
          <w:szCs w:val="32"/>
          <w:lang w:eastAsia="zh-CN"/>
        </w:rPr>
        <w:t>—</w:t>
      </w:r>
      <w:r>
        <w:rPr>
          <w:rFonts w:cs="Times New Roman" w:asciiTheme="majorEastAsia" w:hAnsiTheme="majorEastAsia" w:eastAsiaTheme="majorEastAsia"/>
        </w:rPr>
        <w:t>遂资眉高速路口—</w:t>
      </w:r>
      <w:r>
        <w:rPr>
          <w:rFonts w:hint="eastAsia" w:cs="Times New Roman" w:asciiTheme="majorEastAsia" w:hAnsiTheme="majorEastAsia" w:eastAsiaTheme="majorEastAsia"/>
        </w:rPr>
        <w:t>钟山村（招呼站）—清巍汽车</w:t>
      </w:r>
      <w:r>
        <w:rPr>
          <w:rFonts w:cs="Times New Roman"/>
        </w:rPr>
        <w:t>4S</w:t>
      </w:r>
      <w:r>
        <w:rPr>
          <w:rFonts w:hint="eastAsia" w:cs="Times New Roman"/>
        </w:rPr>
        <w:t>商城</w:t>
      </w:r>
    </w:p>
    <w:p>
      <w:pPr>
        <w:spacing w:before="163" w:after="163"/>
        <w:ind w:firstLine="480"/>
        <w:rPr>
          <w:rFonts w:cs="Times New Roman"/>
        </w:rPr>
      </w:pPr>
      <w:r>
        <w:rPr>
          <w:rFonts w:cs="Times New Roman"/>
        </w:rPr>
        <w:t>线路里程：</w:t>
      </w:r>
      <w:r>
        <w:rPr>
          <w:rFonts w:cs="Times New Roman"/>
          <w:color w:val="C00000"/>
        </w:rPr>
        <w:t>1</w:t>
      </w:r>
      <w:r>
        <w:rPr>
          <w:rFonts w:hint="eastAsia" w:cs="Times New Roman"/>
          <w:color w:val="C00000"/>
          <w:lang w:val="en-US" w:eastAsia="zh-CN"/>
        </w:rPr>
        <w:t>8</w:t>
      </w:r>
      <w:r>
        <w:rPr>
          <w:rFonts w:cs="Times New Roman"/>
          <w:color w:val="C00000"/>
        </w:rPr>
        <w:t>.4</w:t>
      </w:r>
      <w:r>
        <w:rPr>
          <w:rFonts w:cs="Times New Roman"/>
        </w:rPr>
        <w:t>公里</w:t>
      </w:r>
    </w:p>
    <w:p>
      <w:pPr>
        <w:spacing w:before="163" w:after="163"/>
        <w:ind w:firstLine="480"/>
        <w:rPr>
          <w:rFonts w:cs="Times New Roman"/>
        </w:rPr>
      </w:pPr>
      <w:r>
        <w:rPr>
          <w:rFonts w:cs="Times New Roman"/>
        </w:rPr>
        <w:t>平均站间距：483米</w:t>
      </w:r>
    </w:p>
    <w:p>
      <w:pPr>
        <w:spacing w:before="163" w:after="163"/>
        <w:ind w:firstLine="480"/>
        <w:rPr>
          <w:rFonts w:cs="Times New Roman"/>
          <w:b/>
        </w:rPr>
      </w:pPr>
      <w:r>
        <w:rPr>
          <w:rFonts w:cs="Times New Roman"/>
        </w:rPr>
        <w:t>功能：连接了沱东新区、</w:t>
      </w:r>
      <w:r>
        <w:rPr>
          <w:rFonts w:hint="eastAsia" w:cs="Times New Roman"/>
          <w:color w:val="C00000"/>
          <w:lang w:eastAsia="zh-CN"/>
        </w:rPr>
        <w:t>物流园区、</w:t>
      </w:r>
      <w:r>
        <w:rPr>
          <w:rFonts w:cs="Times New Roman"/>
        </w:rPr>
        <w:t>老城区、城西片区，满足了各个片区之间的公交出行需求。</w:t>
      </w:r>
    </w:p>
    <w:p>
      <w:pPr>
        <w:spacing w:before="163" w:after="163"/>
        <w:ind w:firstLine="482"/>
        <w:rPr>
          <w:rFonts w:cs="Times New Roman"/>
          <w:b/>
        </w:rPr>
      </w:pPr>
      <w:r>
        <w:rPr>
          <w:rFonts w:cs="Times New Roman"/>
          <w:b/>
        </w:rPr>
        <w:t>7、11路</w:t>
      </w:r>
    </w:p>
    <w:p>
      <w:pPr>
        <w:spacing w:before="163" w:after="163"/>
        <w:ind w:firstLine="482"/>
        <w:rPr>
          <w:rFonts w:cs="Times New Roman"/>
          <w:b/>
        </w:rPr>
      </w:pPr>
      <w:r>
        <w:rPr>
          <w:rFonts w:cs="Times New Roman"/>
          <w:b/>
        </w:rPr>
        <w:t>起讫点：沱江新城</w:t>
      </w:r>
      <w:r>
        <w:rPr>
          <w:rFonts w:cs="Times New Roman" w:asciiTheme="majorEastAsia" w:hAnsiTheme="majorEastAsia" w:eastAsiaTheme="majorEastAsia"/>
          <w:b/>
        </w:rPr>
        <w:t>—</w:t>
      </w:r>
      <w:r>
        <w:rPr>
          <w:rFonts w:cs="Times New Roman"/>
          <w:b/>
        </w:rPr>
        <w:t>幸福谷</w:t>
      </w:r>
    </w:p>
    <w:p>
      <w:pPr>
        <w:spacing w:before="163" w:after="163"/>
        <w:ind w:firstLine="480"/>
        <w:rPr>
          <w:rFonts w:cs="Times New Roman"/>
        </w:rPr>
      </w:pPr>
      <w:r>
        <w:rPr>
          <w:rFonts w:cs="Times New Roman"/>
        </w:rPr>
        <w:t>调整方式：取消线路，节约运力</w:t>
      </w:r>
      <w:r>
        <w:rPr>
          <w:rFonts w:hint="eastAsia" w:cs="Times New Roman"/>
        </w:rPr>
        <w:t>。</w:t>
      </w:r>
    </w:p>
    <w:p>
      <w:pPr>
        <w:spacing w:before="163" w:after="163"/>
        <w:ind w:firstLine="480"/>
        <w:rPr>
          <w:rFonts w:cs="Times New Roman"/>
        </w:rPr>
      </w:pPr>
      <w:r>
        <w:rPr>
          <w:rFonts w:cs="Times New Roman"/>
        </w:rPr>
        <w:t>调整原因：现状11路公交与15路公交线路过度重合，因此考虑将11路公交与15路公交进行线路合并。</w:t>
      </w:r>
    </w:p>
    <w:p>
      <w:pPr>
        <w:spacing w:before="163" w:after="163"/>
        <w:ind w:firstLine="480"/>
        <w:rPr>
          <w:rFonts w:cs="Times New Roman"/>
        </w:rPr>
      </w:pPr>
      <w:r>
        <w:rPr>
          <w:rFonts w:cs="Times New Roman"/>
        </w:rPr>
        <w:t>运行线路：</w:t>
      </w:r>
      <w:r>
        <w:rPr>
          <w:rFonts w:hint="eastAsia" w:cs="Times New Roman"/>
        </w:rPr>
        <w:t>沱江</w:t>
      </w:r>
      <w:r>
        <w:rPr>
          <w:rFonts w:hint="eastAsia" w:cs="Times New Roman" w:asciiTheme="majorEastAsia" w:hAnsiTheme="majorEastAsia" w:eastAsiaTheme="majorEastAsia"/>
        </w:rPr>
        <w:t>新城—滨江大道—雁北路—建设东路—政府西路—和平北街—建设南路—西门桥街—娇子大道—广场路—滨河西路—晨风路—车城大道—车城大道三段东一巷—滨河西路—学苑路—</w:t>
      </w:r>
      <w:r>
        <w:rPr>
          <w:rFonts w:hint="eastAsia" w:cs="Times New Roman"/>
        </w:rPr>
        <w:t>321国道</w:t>
      </w:r>
      <w:r>
        <w:rPr>
          <w:rFonts w:hint="eastAsia" w:cs="Times New Roman" w:asciiTheme="majorEastAsia" w:hAnsiTheme="majorEastAsia" w:eastAsiaTheme="majorEastAsia"/>
        </w:rPr>
        <w:t>—资三路—</w:t>
      </w:r>
      <w:r>
        <w:rPr>
          <w:rFonts w:hint="eastAsia" w:cs="Times New Roman"/>
        </w:rPr>
        <w:t>241乡道—幸福谷</w:t>
      </w:r>
    </w:p>
    <w:p>
      <w:pPr>
        <w:spacing w:before="163" w:after="163"/>
        <w:ind w:firstLine="480"/>
        <w:rPr>
          <w:rFonts w:cs="Times New Roman"/>
        </w:rPr>
      </w:pPr>
      <w:r>
        <w:rPr>
          <w:rFonts w:cs="Times New Roman"/>
        </w:rPr>
        <w:t>途经站点：</w:t>
      </w:r>
      <w:r>
        <w:rPr>
          <w:rFonts w:hint="eastAsia" w:cs="Times New Roman"/>
        </w:rPr>
        <w:t>沱江</w:t>
      </w:r>
      <w:r>
        <w:rPr>
          <w:rFonts w:hint="eastAsia" w:cs="Times New Roman" w:asciiTheme="majorEastAsia" w:hAnsiTheme="majorEastAsia" w:eastAsiaTheme="majorEastAsia"/>
        </w:rPr>
        <w:t>新城—碧水丽都—青年林—金山名苑—沱三桥西—城北市场—资阳客运站—建东市场—政府东路口—区政府—百货大楼—市一医院—建设南路二段—资溪花园—九曲花园—西门桥街—台阳路—九曲河广场—黄泥巴山—市政府—滨河西路—车苑小区—文体中心—晨风大酒店—天宇市场—市公安局—学苑路口—市委党校—教育园区文慧桥—春天半岛—馨合家园—市人民医院—筏子桥—友谊桥—二分厂—孙家湾—德胜疗养中心—玉柴公司—大堰叉路口—群星幼儿园—老鹰岔路口—大堰农场—</w:t>
      </w:r>
      <w:r>
        <w:rPr>
          <w:rFonts w:hint="eastAsia" w:cs="Times New Roman"/>
        </w:rPr>
        <w:t>幸福谷</w:t>
      </w:r>
    </w:p>
    <w:p>
      <w:pPr>
        <w:spacing w:before="163" w:after="163"/>
        <w:ind w:firstLine="480"/>
        <w:rPr>
          <w:rFonts w:cs="Times New Roman"/>
        </w:rPr>
      </w:pPr>
      <w:r>
        <w:rPr>
          <w:rFonts w:cs="Times New Roman"/>
        </w:rPr>
        <w:t>线路里程：16.40公里</w:t>
      </w:r>
    </w:p>
    <w:p>
      <w:pPr>
        <w:spacing w:before="163" w:after="163"/>
        <w:ind w:firstLine="480"/>
        <w:rPr>
          <w:rFonts w:cs="Times New Roman"/>
        </w:rPr>
      </w:pPr>
      <w:r>
        <w:rPr>
          <w:rFonts w:cs="Times New Roman"/>
        </w:rPr>
        <w:t>平均站间距：</w:t>
      </w:r>
      <w:r>
        <w:rPr>
          <w:rFonts w:hint="eastAsia" w:cs="Times New Roman"/>
        </w:rPr>
        <w:t>3</w:t>
      </w:r>
      <w:r>
        <w:rPr>
          <w:rFonts w:cs="Times New Roman"/>
        </w:rPr>
        <w:t>90米</w:t>
      </w:r>
    </w:p>
    <w:p>
      <w:pPr>
        <w:spacing w:before="163" w:after="163"/>
        <w:ind w:firstLine="480"/>
        <w:rPr>
          <w:rFonts w:cs="Times New Roman"/>
        </w:rPr>
      </w:pPr>
      <w:r>
        <w:rPr>
          <w:rFonts w:cs="Times New Roman"/>
        </w:rPr>
        <w:t>功能：连接了资阳市城市建成区与资阳市未来规划的临空经济区，11路公交是一条实现公交引导城市发展的线路，充分发挥了城市公交具有发展导向的优点。</w:t>
      </w:r>
    </w:p>
    <w:p>
      <w:pPr>
        <w:spacing w:before="163" w:after="163"/>
        <w:ind w:firstLine="482"/>
        <w:rPr>
          <w:rFonts w:cs="Times New Roman"/>
          <w:b/>
        </w:rPr>
      </w:pPr>
      <w:r>
        <w:rPr>
          <w:rFonts w:cs="Times New Roman"/>
          <w:b/>
        </w:rPr>
        <w:t>8、12路</w:t>
      </w:r>
    </w:p>
    <w:p>
      <w:pPr>
        <w:spacing w:before="163" w:after="163"/>
        <w:ind w:firstLine="482"/>
        <w:rPr>
          <w:rFonts w:cs="Times New Roman"/>
          <w:b/>
        </w:rPr>
      </w:pPr>
      <w:r>
        <w:rPr>
          <w:rFonts w:cs="Times New Roman"/>
          <w:b/>
        </w:rPr>
        <w:t>起讫点：</w:t>
      </w:r>
      <w:r>
        <w:rPr>
          <w:rFonts w:hint="eastAsia" w:cs="Times New Roman"/>
          <w:b/>
        </w:rPr>
        <w:t>成渝高速路口公交站—莲花办事处</w:t>
      </w:r>
    </w:p>
    <w:p>
      <w:pPr>
        <w:spacing w:before="163" w:after="163"/>
        <w:ind w:firstLine="480"/>
        <w:rPr>
          <w:rFonts w:cs="Times New Roman"/>
        </w:rPr>
      </w:pPr>
      <w:r>
        <w:rPr>
          <w:rFonts w:cs="Times New Roman"/>
        </w:rPr>
        <w:t>调整方式：</w:t>
      </w:r>
      <w:r>
        <w:rPr>
          <w:rFonts w:hint="eastAsia" w:cs="Times New Roman"/>
        </w:rPr>
        <w:t>新增线路。</w:t>
      </w:r>
    </w:p>
    <w:p>
      <w:pPr>
        <w:spacing w:before="163" w:after="163"/>
        <w:ind w:firstLine="480"/>
        <w:rPr>
          <w:rFonts w:cs="Times New Roman"/>
        </w:rPr>
      </w:pPr>
      <w:r>
        <w:rPr>
          <w:rFonts w:cs="Times New Roman"/>
        </w:rPr>
        <w:t xml:space="preserve">调整原因： </w:t>
      </w:r>
      <w:r>
        <w:rPr>
          <w:rFonts w:hint="eastAsia" w:cs="Times New Roman"/>
        </w:rPr>
        <w:t>新增线路1</w:t>
      </w:r>
      <w:r>
        <w:rPr>
          <w:rFonts w:cs="Times New Roman"/>
        </w:rPr>
        <w:t>2</w:t>
      </w:r>
      <w:r>
        <w:rPr>
          <w:rFonts w:hint="eastAsia" w:cs="Times New Roman"/>
        </w:rPr>
        <w:t>路公交线路经过资阳市公交客运需求量比较大的站点，1</w:t>
      </w:r>
      <w:r>
        <w:rPr>
          <w:rFonts w:cs="Times New Roman"/>
        </w:rPr>
        <w:t>2</w:t>
      </w:r>
      <w:r>
        <w:rPr>
          <w:rFonts w:hint="eastAsia" w:cs="Times New Roman"/>
        </w:rPr>
        <w:t>路公交的布置丰富了资阳市公交支线网络的同时增加了资阳市城市公交的覆盖率和可达性。</w:t>
      </w:r>
    </w:p>
    <w:p>
      <w:pPr>
        <w:spacing w:before="163" w:after="163"/>
        <w:ind w:firstLine="480"/>
        <w:rPr>
          <w:rFonts w:cs="Times New Roman"/>
        </w:rPr>
      </w:pPr>
      <w:r>
        <w:rPr>
          <w:rFonts w:cs="Times New Roman"/>
        </w:rPr>
        <w:t>运行线路：</w:t>
      </w:r>
      <w:r>
        <w:rPr>
          <w:rFonts w:hint="eastAsia" w:cs="Times New Roman"/>
        </w:rPr>
        <w:t>成渝高速路口公交站—娇子大道—仁德西路—皇龙路—台阳路—松涛路一段—雁城路—建设北路—莲花路—向阳路—莲花办事处</w:t>
      </w:r>
    </w:p>
    <w:p>
      <w:pPr>
        <w:spacing w:before="163" w:after="163"/>
        <w:ind w:firstLine="480"/>
        <w:rPr>
          <w:rFonts w:cs="Times New Roman" w:asciiTheme="majorEastAsia" w:hAnsiTheme="majorEastAsia" w:eastAsiaTheme="majorEastAsia"/>
        </w:rPr>
      </w:pPr>
      <w:r>
        <w:rPr>
          <w:rFonts w:cs="Times New Roman"/>
        </w:rPr>
        <w:t>途经站点：</w:t>
      </w:r>
      <w:r>
        <w:rPr>
          <w:rFonts w:hint="eastAsia" w:cs="Times New Roman"/>
        </w:rPr>
        <w:t>成渝</w:t>
      </w:r>
      <w:r>
        <w:rPr>
          <w:rFonts w:hint="eastAsia" w:cs="Times New Roman" w:asciiTheme="majorEastAsia" w:hAnsiTheme="majorEastAsia" w:eastAsiaTheme="majorEastAsia"/>
        </w:rPr>
        <w:t>高速路口公交站—蜀亨大酒店—马鞍路口—市就业培训中心—市新区一医院—市林业局—兴龙小区—皇龙新城—台阳路—松涛路一段—西门市场—家乐福—区医院—建设北路一段—医药公司—北门批发市场—铁路岔口—莲花办事处</w:t>
      </w:r>
    </w:p>
    <w:p>
      <w:pPr>
        <w:spacing w:before="163" w:after="163"/>
        <w:ind w:firstLine="480"/>
        <w:rPr>
          <w:rFonts w:cs="Times New Roman"/>
        </w:rPr>
      </w:pPr>
      <w:r>
        <w:rPr>
          <w:rFonts w:cs="Times New Roman"/>
        </w:rPr>
        <w:t>线路里程：</w:t>
      </w:r>
      <w:r>
        <w:rPr>
          <w:rFonts w:hint="eastAsia" w:cs="Times New Roman"/>
        </w:rPr>
        <w:t>6</w:t>
      </w:r>
      <w:r>
        <w:rPr>
          <w:rFonts w:cs="Times New Roman"/>
        </w:rPr>
        <w:t>.36公里</w:t>
      </w:r>
    </w:p>
    <w:p>
      <w:pPr>
        <w:spacing w:before="163" w:after="163"/>
        <w:ind w:firstLine="480"/>
        <w:rPr>
          <w:rFonts w:cs="Times New Roman"/>
        </w:rPr>
      </w:pPr>
      <w:r>
        <w:rPr>
          <w:rFonts w:cs="Times New Roman"/>
        </w:rPr>
        <w:t>平均站间距：</w:t>
      </w:r>
      <w:r>
        <w:rPr>
          <w:rFonts w:hint="eastAsia" w:cs="Times New Roman"/>
        </w:rPr>
        <w:t>3</w:t>
      </w:r>
      <w:r>
        <w:rPr>
          <w:rFonts w:cs="Times New Roman"/>
        </w:rPr>
        <w:t>74米</w:t>
      </w:r>
    </w:p>
    <w:p>
      <w:pPr>
        <w:spacing w:before="163" w:after="163"/>
        <w:ind w:firstLine="480"/>
        <w:rPr>
          <w:rFonts w:cs="Times New Roman"/>
        </w:rPr>
      </w:pPr>
      <w:r>
        <w:rPr>
          <w:rFonts w:cs="Times New Roman"/>
        </w:rPr>
        <w:t>功能：</w:t>
      </w:r>
      <w:r>
        <w:rPr>
          <w:rFonts w:hint="eastAsia" w:cs="Times New Roman"/>
        </w:rPr>
        <w:t>连接了资阳市城区西部组团与老城区，能够满足两个组团之间的居民快速便捷的出行需求；</w:t>
      </w:r>
      <w:r>
        <w:rPr>
          <w:rFonts w:hint="eastAsia" w:cs="Times New Roman"/>
          <w:color w:val="C00000"/>
          <w:lang w:eastAsia="zh-CN"/>
        </w:rPr>
        <w:t>下一步可延伸至高铁西站，东延四桥至城东高铁站；</w:t>
      </w:r>
      <w:r>
        <w:rPr>
          <w:rFonts w:hint="eastAsia" w:cs="Times New Roman"/>
          <w:lang w:eastAsia="zh-CN"/>
        </w:rPr>
        <w:t>同时</w:t>
      </w:r>
      <w:r>
        <w:rPr>
          <w:rFonts w:hint="eastAsia" w:cs="Times New Roman"/>
        </w:rPr>
        <w:t>同时丰富了资阳市的公交线网。</w:t>
      </w:r>
    </w:p>
    <w:p>
      <w:pPr>
        <w:spacing w:before="163" w:after="163"/>
        <w:ind w:firstLine="482"/>
        <w:rPr>
          <w:rFonts w:cs="Times New Roman"/>
          <w:b/>
        </w:rPr>
      </w:pPr>
      <w:r>
        <w:rPr>
          <w:rFonts w:cs="Times New Roman"/>
          <w:b/>
        </w:rPr>
        <w:t>9、14路</w:t>
      </w:r>
    </w:p>
    <w:p>
      <w:pPr>
        <w:spacing w:before="163" w:after="163"/>
        <w:ind w:firstLine="482"/>
        <w:rPr>
          <w:rFonts w:cs="Times New Roman"/>
          <w:b/>
        </w:rPr>
      </w:pPr>
      <w:r>
        <w:rPr>
          <w:rFonts w:cs="Times New Roman"/>
          <w:b/>
        </w:rPr>
        <w:t>起讫点：城东高铁站</w:t>
      </w:r>
      <w:r>
        <w:rPr>
          <w:rFonts w:cs="Times New Roman" w:asciiTheme="majorEastAsia" w:hAnsiTheme="majorEastAsia" w:eastAsiaTheme="majorEastAsia"/>
          <w:b/>
        </w:rPr>
        <w:t>—</w:t>
      </w:r>
      <w:r>
        <w:rPr>
          <w:rFonts w:cs="Times New Roman"/>
          <w:b/>
        </w:rPr>
        <w:t>教育园区</w:t>
      </w:r>
    </w:p>
    <w:p>
      <w:pPr>
        <w:spacing w:before="163" w:after="163"/>
        <w:ind w:firstLine="480"/>
        <w:rPr>
          <w:rFonts w:cs="Times New Roman"/>
        </w:rPr>
      </w:pPr>
      <w:r>
        <w:rPr>
          <w:rFonts w:cs="Times New Roman"/>
        </w:rPr>
        <w:t>调整方式：保持现状</w:t>
      </w:r>
      <w:r>
        <w:rPr>
          <w:rFonts w:hint="eastAsia" w:cs="Times New Roman"/>
        </w:rPr>
        <w:t>。</w:t>
      </w:r>
    </w:p>
    <w:p>
      <w:pPr>
        <w:spacing w:before="163" w:after="163"/>
        <w:ind w:firstLine="480"/>
        <w:rPr>
          <w:rFonts w:cs="Times New Roman"/>
        </w:rPr>
      </w:pPr>
      <w:r>
        <w:rPr>
          <w:rFonts w:cs="Times New Roman"/>
        </w:rPr>
        <w:t>调整原因：现状14路作为支线公交，极大地丰富了资阳市的公交线网，增加了资阳市城区公交覆盖率，在资阳市公交系统中发挥着十分重要的作用，因此，对14路公交进行保留。</w:t>
      </w:r>
    </w:p>
    <w:p>
      <w:pPr>
        <w:spacing w:before="163" w:after="163"/>
        <w:ind w:firstLine="480"/>
        <w:rPr>
          <w:rFonts w:cs="Times New Roman" w:asciiTheme="majorEastAsia" w:hAnsiTheme="majorEastAsia" w:eastAsiaTheme="majorEastAsia"/>
        </w:rPr>
      </w:pPr>
      <w:r>
        <w:rPr>
          <w:rFonts w:cs="Times New Roman"/>
        </w:rPr>
        <w:t>运行线路：</w:t>
      </w:r>
      <w:r>
        <w:rPr>
          <w:rFonts w:hint="eastAsia" w:cs="Times New Roman"/>
        </w:rPr>
        <w:t>城东高铁</w:t>
      </w:r>
      <w:r>
        <w:rPr>
          <w:rFonts w:hint="eastAsia" w:cs="Times New Roman" w:asciiTheme="majorEastAsia" w:hAnsiTheme="majorEastAsia" w:eastAsiaTheme="majorEastAsia"/>
        </w:rPr>
        <w:t>站—宝台大道—迎宾大道—汇兴路—正兴路—宝台大道—迎宾大桥—沿江路—滨江大道—和平路—上西街—雁城路—车城大道—育才路—教育园区</w:t>
      </w:r>
    </w:p>
    <w:p>
      <w:pPr>
        <w:spacing w:before="163" w:after="163"/>
        <w:ind w:firstLine="480"/>
        <w:rPr>
          <w:rFonts w:cs="Times New Roman"/>
        </w:rPr>
      </w:pPr>
      <w:r>
        <w:rPr>
          <w:rFonts w:cs="Times New Roman" w:asciiTheme="majorEastAsia" w:hAnsiTheme="majorEastAsia" w:eastAsiaTheme="majorEastAsia"/>
        </w:rPr>
        <w:t>途经站点：</w:t>
      </w:r>
      <w:r>
        <w:rPr>
          <w:rFonts w:hint="eastAsia" w:cs="Times New Roman" w:asciiTheme="majorEastAsia" w:hAnsiTheme="majorEastAsia" w:eastAsiaTheme="majorEastAsia"/>
        </w:rPr>
        <w:t>城东高铁站—航向九义校—演艺中心—字库山公园—遂资眉高速路口—区职教中心—玫瑰苑—城东区政府—天生花苑—沱三桥东—滨江游乐场—东福四区—排涝站—苌弘广场—师范校—南门口—桥亭子—上西街口—水工局—西门市场—交警一大队—电信大楼—四三一总厂—天宇市场—市公安局—狮子山—馨合家园—春天半岛—教育</w:t>
      </w:r>
      <w:r>
        <w:rPr>
          <w:rFonts w:hint="eastAsia" w:cs="Times New Roman"/>
        </w:rPr>
        <w:t>园区</w:t>
      </w:r>
    </w:p>
    <w:p>
      <w:pPr>
        <w:spacing w:before="163" w:after="163"/>
        <w:ind w:firstLine="480"/>
        <w:rPr>
          <w:rFonts w:cs="Times New Roman"/>
        </w:rPr>
      </w:pPr>
      <w:r>
        <w:rPr>
          <w:rFonts w:cs="Times New Roman"/>
        </w:rPr>
        <w:t>线路里程：15.63公里</w:t>
      </w:r>
    </w:p>
    <w:p>
      <w:pPr>
        <w:spacing w:before="163" w:after="163"/>
        <w:ind w:firstLine="480"/>
        <w:rPr>
          <w:rFonts w:cs="Times New Roman"/>
        </w:rPr>
      </w:pPr>
      <w:r>
        <w:rPr>
          <w:rFonts w:cs="Times New Roman"/>
        </w:rPr>
        <w:t>平均站间距：539米</w:t>
      </w:r>
    </w:p>
    <w:p>
      <w:pPr>
        <w:spacing w:before="163" w:after="163"/>
        <w:ind w:firstLine="480"/>
        <w:rPr>
          <w:rFonts w:cs="Times New Roman"/>
          <w:b/>
        </w:rPr>
      </w:pPr>
      <w:r>
        <w:rPr>
          <w:rFonts w:cs="Times New Roman"/>
        </w:rPr>
        <w:t>功能：14路公交连接了资阳市的多个片区，满足了老城区居民向教育园区以及城东高铁站的出行需求，也大大丰富了公交线网，提升了资阳城市公交系统的可达性。</w:t>
      </w:r>
    </w:p>
    <w:p>
      <w:pPr>
        <w:spacing w:before="163" w:after="163"/>
        <w:ind w:firstLine="482"/>
        <w:rPr>
          <w:rFonts w:cs="Times New Roman"/>
          <w:b/>
        </w:rPr>
      </w:pPr>
      <w:r>
        <w:rPr>
          <w:rFonts w:cs="Times New Roman"/>
          <w:b/>
        </w:rPr>
        <w:t>10、16路</w:t>
      </w:r>
    </w:p>
    <w:p>
      <w:pPr>
        <w:spacing w:before="163" w:after="163"/>
        <w:ind w:firstLine="482"/>
        <w:rPr>
          <w:rFonts w:cs="Times New Roman"/>
          <w:b/>
        </w:rPr>
      </w:pPr>
      <w:r>
        <w:rPr>
          <w:rFonts w:cs="Times New Roman"/>
          <w:b/>
        </w:rPr>
        <w:t>起讫点：</w:t>
      </w:r>
      <w:bookmarkStart w:id="108" w:name="_Hlk509780366"/>
      <w:r>
        <w:rPr>
          <w:rFonts w:cs="Times New Roman"/>
          <w:b/>
        </w:rPr>
        <w:t>凤岭公园</w:t>
      </w:r>
      <w:bookmarkEnd w:id="108"/>
      <w:r>
        <w:rPr>
          <w:rFonts w:cs="Times New Roman" w:asciiTheme="majorEastAsia" w:hAnsiTheme="majorEastAsia" w:eastAsiaTheme="majorEastAsia"/>
          <w:b/>
        </w:rPr>
        <w:t>—</w:t>
      </w:r>
      <w:r>
        <w:rPr>
          <w:rFonts w:cs="Times New Roman"/>
          <w:b/>
        </w:rPr>
        <w:t>侯家坪富友公司</w:t>
      </w:r>
    </w:p>
    <w:p>
      <w:pPr>
        <w:spacing w:before="163" w:after="163"/>
        <w:ind w:firstLine="480"/>
        <w:rPr>
          <w:rFonts w:cs="Times New Roman"/>
        </w:rPr>
      </w:pPr>
      <w:r>
        <w:rPr>
          <w:rFonts w:cs="Times New Roman"/>
        </w:rPr>
        <w:t>调整方式：保持现状</w:t>
      </w:r>
      <w:r>
        <w:rPr>
          <w:rFonts w:hint="eastAsia" w:cs="Times New Roman"/>
        </w:rPr>
        <w:t>。</w:t>
      </w:r>
    </w:p>
    <w:p>
      <w:pPr>
        <w:spacing w:before="163" w:after="163"/>
        <w:ind w:firstLine="480"/>
        <w:rPr>
          <w:rFonts w:cs="Times New Roman"/>
        </w:rPr>
      </w:pPr>
      <w:r>
        <w:rPr>
          <w:rFonts w:cs="Times New Roman"/>
        </w:rPr>
        <w:t>调整原因：现状16路作为支线公交，极大地丰富了资阳市的公交线网，增加了资阳市城区公交覆盖率，在资阳市公交系统中发挥着十分重要的作用，因此，对16路公交进行保留。</w:t>
      </w:r>
    </w:p>
    <w:p>
      <w:pPr>
        <w:spacing w:before="163" w:after="163"/>
        <w:ind w:firstLine="480"/>
        <w:rPr>
          <w:rFonts w:cs="Times New Roman" w:asciiTheme="majorEastAsia" w:hAnsiTheme="majorEastAsia" w:eastAsiaTheme="majorEastAsia"/>
        </w:rPr>
      </w:pPr>
      <w:r>
        <w:rPr>
          <w:rFonts w:cs="Times New Roman"/>
        </w:rPr>
        <w:t>运行线路：凤岭公园</w:t>
      </w:r>
      <w:r>
        <w:rPr>
          <w:rFonts w:cs="Times New Roman" w:asciiTheme="majorEastAsia" w:hAnsiTheme="majorEastAsia" w:eastAsiaTheme="majorEastAsia"/>
        </w:rPr>
        <w:t>—公园路—凤岭路—娇子大道—台阳路—松涛路—雁城路—建设北路—建设东路—建设南路—和平南路—滨江大道—书台路—汽车客运中心—书台路—百威英博大道—蜀乡大道—书台路—明鑫路—侯家坪富友公司</w:t>
      </w:r>
    </w:p>
    <w:p>
      <w:pPr>
        <w:spacing w:before="163" w:after="163"/>
        <w:ind w:firstLine="480"/>
        <w:rPr>
          <w:rFonts w:cs="Times New Roman" w:asciiTheme="majorEastAsia" w:hAnsiTheme="majorEastAsia" w:eastAsiaTheme="majorEastAsia"/>
        </w:rPr>
      </w:pPr>
      <w:r>
        <w:rPr>
          <w:rFonts w:cs="Times New Roman" w:asciiTheme="majorEastAsia" w:hAnsiTheme="majorEastAsia" w:eastAsiaTheme="majorEastAsia"/>
        </w:rPr>
        <w:t>途经站点：凤岭公园—凤岭公园二段—凤岭公园一段—娇子大道一段—台阳路—松涛路一段—西门市场—家乐福—区医院—建设北路一段—医药公司—资阳客运站—建东市场—静苑小区—中医院—市公交公司—南门口—师范校—苌弘广场—江南半岛—江南花都—汽车客运中心—南骏产业园—甘家坪—百威啤酒厂—资阳钢管厂—铁路桥—中罗家坝—三心桥—下罗家坝—铁路涵洞口—侯家坪—文清汽配厂—侯家坪富友公司</w:t>
      </w:r>
    </w:p>
    <w:p>
      <w:pPr>
        <w:spacing w:before="163" w:after="163"/>
        <w:ind w:firstLine="480"/>
        <w:rPr>
          <w:rFonts w:cs="Times New Roman"/>
        </w:rPr>
      </w:pPr>
      <w:r>
        <w:rPr>
          <w:rFonts w:cs="Times New Roman"/>
        </w:rPr>
        <w:t>线路里程：13.26公里</w:t>
      </w:r>
    </w:p>
    <w:p>
      <w:pPr>
        <w:spacing w:before="163" w:after="163"/>
        <w:ind w:firstLine="480"/>
        <w:rPr>
          <w:rFonts w:cs="Times New Roman"/>
        </w:rPr>
      </w:pPr>
      <w:r>
        <w:rPr>
          <w:rFonts w:cs="Times New Roman"/>
        </w:rPr>
        <w:t>平均站间距：402米</w:t>
      </w:r>
    </w:p>
    <w:p>
      <w:pPr>
        <w:spacing w:before="163" w:after="163"/>
        <w:ind w:firstLine="480"/>
        <w:rPr>
          <w:rFonts w:cs="Times New Roman"/>
          <w:b/>
        </w:rPr>
      </w:pPr>
      <w:r>
        <w:rPr>
          <w:rFonts w:cs="Times New Roman"/>
        </w:rPr>
        <w:t>功能：16路公交自北向南依次连接了城北片区、老城区、汽车客运中心以及城南片区，不仅满足了不同片区之间居民的出行需求，而且丰富了公交线网，提升了资阳城市公交系统的可达性。</w:t>
      </w:r>
    </w:p>
    <w:p>
      <w:pPr>
        <w:spacing w:before="163" w:after="163"/>
        <w:ind w:firstLine="482"/>
        <w:rPr>
          <w:rFonts w:cs="Times New Roman"/>
          <w:b/>
        </w:rPr>
      </w:pPr>
      <w:r>
        <w:rPr>
          <w:rFonts w:cs="Times New Roman"/>
          <w:b/>
        </w:rPr>
        <w:t>11、17路</w:t>
      </w:r>
    </w:p>
    <w:p>
      <w:pPr>
        <w:spacing w:before="163" w:after="163"/>
        <w:ind w:firstLine="482"/>
        <w:rPr>
          <w:rFonts w:cs="Times New Roman"/>
          <w:b/>
        </w:rPr>
      </w:pPr>
      <w:r>
        <w:rPr>
          <w:rFonts w:cs="Times New Roman"/>
          <w:b/>
        </w:rPr>
        <w:t>起讫点：沱江新城</w:t>
      </w:r>
      <w:r>
        <w:rPr>
          <w:rFonts w:cs="Times New Roman" w:asciiTheme="majorEastAsia" w:hAnsiTheme="majorEastAsia" w:eastAsiaTheme="majorEastAsia"/>
          <w:b/>
        </w:rPr>
        <w:t>—</w:t>
      </w:r>
      <w:r>
        <w:rPr>
          <w:rFonts w:cs="Times New Roman"/>
          <w:b/>
        </w:rPr>
        <w:t>侯家坪派出所</w:t>
      </w:r>
    </w:p>
    <w:p>
      <w:pPr>
        <w:spacing w:before="163" w:after="163"/>
        <w:ind w:firstLine="480"/>
        <w:rPr>
          <w:rFonts w:cs="Times New Roman"/>
        </w:rPr>
      </w:pPr>
      <w:r>
        <w:rPr>
          <w:rFonts w:cs="Times New Roman"/>
        </w:rPr>
        <w:t>调整方式：保持现状</w:t>
      </w:r>
    </w:p>
    <w:p>
      <w:pPr>
        <w:spacing w:before="163" w:after="163"/>
        <w:ind w:firstLine="480"/>
        <w:rPr>
          <w:rFonts w:cs="Times New Roman"/>
        </w:rPr>
      </w:pPr>
      <w:r>
        <w:rPr>
          <w:rFonts w:cs="Times New Roman"/>
        </w:rPr>
        <w:t>调整原因：现状17路作为支线公交，极大地丰富了资阳市的公交线网，增加了资阳市城区公交覆盖率，在资阳市公交系统中发挥着十分重要的作用，因此，对17路公交进行保留。</w:t>
      </w:r>
    </w:p>
    <w:p>
      <w:pPr>
        <w:spacing w:before="163" w:after="163"/>
        <w:ind w:firstLine="480"/>
        <w:rPr>
          <w:rFonts w:cs="Times New Roman" w:asciiTheme="majorEastAsia" w:hAnsiTheme="majorEastAsia" w:eastAsiaTheme="majorEastAsia"/>
        </w:rPr>
      </w:pPr>
      <w:r>
        <w:rPr>
          <w:rFonts w:cs="Times New Roman"/>
        </w:rPr>
        <w:t>运行线路：沱江新城</w:t>
      </w:r>
      <w:r>
        <w:rPr>
          <w:rFonts w:cs="Times New Roman" w:asciiTheme="majorEastAsia" w:hAnsiTheme="majorEastAsia" w:eastAsiaTheme="majorEastAsia"/>
        </w:rPr>
        <w:t>—滨江大道—雁北路—建设北路—和平北路—和平南路—滨江大道—书台路—汽车客运中心—书台路—城南大道—侯家坪派出所</w:t>
      </w:r>
    </w:p>
    <w:p>
      <w:pPr>
        <w:spacing w:before="163" w:after="163"/>
        <w:ind w:firstLine="480"/>
        <w:rPr>
          <w:rFonts w:cs="Times New Roman"/>
        </w:rPr>
      </w:pPr>
      <w:r>
        <w:rPr>
          <w:rFonts w:cs="Times New Roman" w:asciiTheme="majorEastAsia" w:hAnsiTheme="majorEastAsia" w:eastAsiaTheme="majorEastAsia"/>
        </w:rPr>
        <w:t>途经站点：沱江新城—碧水丽都—青年林—金山名苑—</w:t>
      </w:r>
      <w:r>
        <w:rPr>
          <w:rFonts w:hint="eastAsia" w:cs="Times New Roman" w:asciiTheme="majorEastAsia" w:hAnsiTheme="majorEastAsia" w:eastAsiaTheme="majorEastAsia"/>
        </w:rPr>
        <w:t>沱三桥西</w:t>
      </w:r>
      <w:r>
        <w:rPr>
          <w:rFonts w:cs="Times New Roman" w:asciiTheme="majorEastAsia" w:hAnsiTheme="majorEastAsia" w:eastAsiaTheme="majorEastAsia"/>
        </w:rPr>
        <w:t>—城北市场—医药公司—建设北路一段—百货大楼—南门口—师范校—苌弘广场—江南半岛—江南花都—汽车客运中心—南骏产业园—甘家坪—百威啤酒厂—宇良车辆配件园—松涛政府—侯家坪派出</w:t>
      </w:r>
      <w:r>
        <w:rPr>
          <w:rFonts w:cs="Times New Roman"/>
        </w:rPr>
        <w:t>所</w:t>
      </w:r>
    </w:p>
    <w:p>
      <w:pPr>
        <w:spacing w:before="163" w:after="163"/>
        <w:ind w:firstLine="480"/>
        <w:rPr>
          <w:rFonts w:cs="Times New Roman"/>
        </w:rPr>
      </w:pPr>
      <w:r>
        <w:rPr>
          <w:rFonts w:cs="Times New Roman"/>
        </w:rPr>
        <w:t>线路里程：9.30公里</w:t>
      </w:r>
    </w:p>
    <w:p>
      <w:pPr>
        <w:spacing w:before="163" w:after="163"/>
        <w:ind w:firstLine="480"/>
        <w:rPr>
          <w:rFonts w:cs="Times New Roman"/>
        </w:rPr>
      </w:pPr>
      <w:r>
        <w:rPr>
          <w:rFonts w:cs="Times New Roman"/>
        </w:rPr>
        <w:t>平均站间距：465米</w:t>
      </w:r>
    </w:p>
    <w:p>
      <w:pPr>
        <w:spacing w:before="163" w:after="163"/>
        <w:ind w:firstLine="480"/>
        <w:rPr>
          <w:rFonts w:cs="Times New Roman"/>
          <w:b/>
        </w:rPr>
      </w:pPr>
      <w:r>
        <w:rPr>
          <w:rFonts w:cs="Times New Roman"/>
        </w:rPr>
        <w:t>功能：17路公交能够满足老城区与城南片区之间的交通需求，同时也能满足这两个片区的居民前往汽车客运中心换乘市际客运汽车的需求，而且也丰富了公交线网，提升了资阳城市公交系统的可达性。</w:t>
      </w:r>
    </w:p>
    <w:p>
      <w:pPr>
        <w:spacing w:before="163" w:after="163"/>
        <w:ind w:firstLine="482"/>
        <w:rPr>
          <w:rFonts w:cs="Times New Roman"/>
          <w:b/>
        </w:rPr>
      </w:pPr>
      <w:r>
        <w:rPr>
          <w:rFonts w:cs="Times New Roman"/>
          <w:b/>
        </w:rPr>
        <w:t>12、18路</w:t>
      </w:r>
    </w:p>
    <w:p>
      <w:pPr>
        <w:spacing w:before="163" w:after="163"/>
        <w:ind w:firstLine="482"/>
        <w:rPr>
          <w:rFonts w:cs="Times New Roman"/>
          <w:b/>
        </w:rPr>
      </w:pPr>
      <w:r>
        <w:rPr>
          <w:rFonts w:cs="Times New Roman"/>
          <w:b/>
        </w:rPr>
        <w:t>起讫点：城东高铁站</w:t>
      </w:r>
      <w:r>
        <w:rPr>
          <w:rFonts w:cs="Times New Roman" w:asciiTheme="majorEastAsia" w:hAnsiTheme="majorEastAsia" w:eastAsiaTheme="majorEastAsia"/>
          <w:b/>
        </w:rPr>
        <w:t>—四</w:t>
      </w:r>
      <w:r>
        <w:rPr>
          <w:rFonts w:cs="Times New Roman"/>
          <w:b/>
        </w:rPr>
        <w:t>川现代</w:t>
      </w:r>
    </w:p>
    <w:p>
      <w:pPr>
        <w:spacing w:before="163" w:after="163"/>
        <w:ind w:firstLine="480"/>
        <w:rPr>
          <w:rFonts w:cs="Times New Roman"/>
        </w:rPr>
      </w:pPr>
      <w:r>
        <w:rPr>
          <w:rFonts w:cs="Times New Roman"/>
        </w:rPr>
        <w:t>调整方式：延长线路，覆盖新区</w:t>
      </w:r>
    </w:p>
    <w:p>
      <w:pPr>
        <w:spacing w:before="163" w:after="163"/>
        <w:ind w:firstLine="480"/>
        <w:rPr>
          <w:rFonts w:cs="Times New Roman"/>
        </w:rPr>
      </w:pPr>
      <w:r>
        <w:rPr>
          <w:rFonts w:cs="Times New Roman"/>
        </w:rPr>
        <w:t>调整原因：结合相关上位规划，考虑到未来资阳市城南工业园区的迅速发展，将18路公交延长到城南工业园区。</w:t>
      </w:r>
    </w:p>
    <w:p>
      <w:pPr>
        <w:spacing w:before="163" w:after="163"/>
        <w:ind w:firstLine="480"/>
        <w:rPr>
          <w:rFonts w:cs="Times New Roman" w:asciiTheme="majorEastAsia" w:hAnsiTheme="majorEastAsia" w:eastAsiaTheme="majorEastAsia"/>
        </w:rPr>
      </w:pPr>
      <w:r>
        <w:rPr>
          <w:rFonts w:cs="Times New Roman"/>
        </w:rPr>
        <w:t>运行线路：城东高铁</w:t>
      </w:r>
      <w:r>
        <w:rPr>
          <w:rFonts w:cs="Times New Roman" w:asciiTheme="majorEastAsia" w:hAnsiTheme="majorEastAsia" w:eastAsiaTheme="majorEastAsia"/>
        </w:rPr>
        <w:t>站—宝台大道—迎宾大道—汇兴路—希望大道—蜀乡大道—书台路—汽车客运中心—书台路—</w:t>
      </w:r>
      <w:r>
        <w:rPr>
          <w:rFonts w:cs="Times New Roman" w:eastAsiaTheme="majorEastAsia"/>
        </w:rPr>
        <w:t>321</w:t>
      </w:r>
      <w:r>
        <w:rPr>
          <w:rFonts w:cs="Times New Roman" w:asciiTheme="majorEastAsia" w:hAnsiTheme="majorEastAsia" w:eastAsiaTheme="majorEastAsia"/>
        </w:rPr>
        <w:t>国道—大千路南延线—现代大道—四川现代</w:t>
      </w:r>
    </w:p>
    <w:p>
      <w:pPr>
        <w:spacing w:before="163" w:after="163"/>
        <w:ind w:firstLine="480"/>
        <w:rPr>
          <w:rFonts w:cs="Times New Roman"/>
        </w:rPr>
      </w:pPr>
      <w:r>
        <w:rPr>
          <w:rFonts w:cs="Times New Roman" w:asciiTheme="majorEastAsia" w:hAnsiTheme="majorEastAsia" w:eastAsiaTheme="majorEastAsia"/>
        </w:rPr>
        <w:t>途经站点：城东高铁站—航向九义校—演艺中心—</w:t>
      </w:r>
      <w:r>
        <w:rPr>
          <w:rFonts w:hint="eastAsia" w:cs="Times New Roman" w:asciiTheme="majorEastAsia" w:hAnsiTheme="majorEastAsia" w:eastAsiaTheme="majorEastAsia"/>
        </w:rPr>
        <w:t>字库山公园—遂资眉高速路口</w:t>
      </w:r>
      <w:r>
        <w:rPr>
          <w:rFonts w:cs="Times New Roman" w:asciiTheme="majorEastAsia" w:hAnsiTheme="majorEastAsia" w:eastAsiaTheme="majorEastAsia"/>
        </w:rPr>
        <w:t>—区职教中心—李家湾—黄泥村</w:t>
      </w:r>
      <w:r>
        <w:rPr>
          <w:rFonts w:hint="eastAsia" w:cs="Times New Roman" w:asciiTheme="majorEastAsia" w:hAnsiTheme="majorEastAsia" w:eastAsiaTheme="majorEastAsia"/>
        </w:rPr>
        <w:t>—</w:t>
      </w:r>
      <w:r>
        <w:rPr>
          <w:rFonts w:cs="Times New Roman" w:asciiTheme="majorEastAsia" w:hAnsiTheme="majorEastAsia" w:eastAsiaTheme="majorEastAsia"/>
        </w:rPr>
        <w:t>城东中医院—沱二桥—铁路桥—资阳钢管厂—百威啤酒厂—甘家坪—南骏产业园—汽车客运中心</w:t>
      </w:r>
      <w:r>
        <w:rPr>
          <w:rFonts w:hint="eastAsia" w:cs="Times New Roman" w:asciiTheme="majorEastAsia" w:hAnsiTheme="majorEastAsia" w:eastAsiaTheme="majorEastAsia"/>
        </w:rPr>
        <w:t>（不进站）</w:t>
      </w:r>
      <w:r>
        <w:rPr>
          <w:rFonts w:cs="Times New Roman" w:asciiTheme="majorEastAsia" w:hAnsiTheme="majorEastAsia" w:eastAsiaTheme="majorEastAsia"/>
        </w:rPr>
        <w:t>—恒大城南—广子沟—教仪厂—天王水泥厂—高坳—</w:t>
      </w:r>
      <w:r>
        <w:rPr>
          <w:rFonts w:hint="eastAsia" w:cs="Times New Roman" w:asciiTheme="majorEastAsia" w:hAnsiTheme="majorEastAsia" w:eastAsiaTheme="majorEastAsia"/>
        </w:rPr>
        <w:t>五显安置小区（招呼站）—</w:t>
      </w:r>
      <w:r>
        <w:rPr>
          <w:rFonts w:cs="Times New Roman" w:asciiTheme="majorEastAsia" w:hAnsiTheme="majorEastAsia" w:eastAsiaTheme="majorEastAsia"/>
        </w:rPr>
        <w:t>现代大道一段—现代大道二段—现代大道三段—现代大道四段—四川</w:t>
      </w:r>
      <w:r>
        <w:rPr>
          <w:rFonts w:cs="Times New Roman"/>
        </w:rPr>
        <w:t>现代</w:t>
      </w:r>
    </w:p>
    <w:p>
      <w:pPr>
        <w:spacing w:before="163" w:after="163"/>
        <w:ind w:firstLine="480"/>
        <w:rPr>
          <w:rFonts w:cs="Times New Roman"/>
        </w:rPr>
      </w:pPr>
      <w:r>
        <w:rPr>
          <w:rFonts w:cs="Times New Roman"/>
        </w:rPr>
        <w:t>线路里程：</w:t>
      </w:r>
      <w:r>
        <w:rPr>
          <w:rFonts w:hint="eastAsia" w:cs="Times New Roman"/>
        </w:rPr>
        <w:t>1</w:t>
      </w:r>
      <w:r>
        <w:rPr>
          <w:rFonts w:cs="Times New Roman"/>
        </w:rPr>
        <w:t>6.15公里</w:t>
      </w:r>
    </w:p>
    <w:p>
      <w:pPr>
        <w:spacing w:before="163" w:after="163"/>
        <w:ind w:firstLine="480"/>
        <w:rPr>
          <w:rFonts w:cs="Times New Roman"/>
        </w:rPr>
      </w:pPr>
      <w:r>
        <w:rPr>
          <w:rFonts w:cs="Times New Roman"/>
        </w:rPr>
        <w:t>平均站间距：</w:t>
      </w:r>
      <w:r>
        <w:rPr>
          <w:rFonts w:hint="eastAsia" w:cs="Times New Roman"/>
        </w:rPr>
        <w:t>6</w:t>
      </w:r>
      <w:r>
        <w:rPr>
          <w:rFonts w:cs="Times New Roman"/>
        </w:rPr>
        <w:t>21米</w:t>
      </w:r>
    </w:p>
    <w:p>
      <w:pPr>
        <w:spacing w:before="163" w:after="163"/>
        <w:ind w:firstLine="480"/>
        <w:rPr>
          <w:rFonts w:cs="Times New Roman"/>
          <w:b/>
        </w:rPr>
      </w:pPr>
      <w:r>
        <w:rPr>
          <w:rFonts w:cs="Times New Roman"/>
        </w:rPr>
        <w:t>功能：18路公交连接多个城市片区，不仅能够实现城市公交与城乡客运、高铁的接驳，而且还能满足沱东新区居民前往城南工业区上下班的出行需求。</w:t>
      </w:r>
    </w:p>
    <w:p>
      <w:pPr>
        <w:spacing w:before="163" w:after="163"/>
        <w:ind w:firstLine="482"/>
        <w:rPr>
          <w:rFonts w:cs="Times New Roman"/>
          <w:b/>
        </w:rPr>
      </w:pPr>
      <w:r>
        <w:rPr>
          <w:rFonts w:cs="Times New Roman"/>
          <w:b/>
        </w:rPr>
        <w:t>（4）公交近期线网规划</w:t>
      </w:r>
    </w:p>
    <w:p>
      <w:pPr>
        <w:spacing w:before="163" w:after="163"/>
        <w:ind w:firstLine="480"/>
        <w:rPr>
          <w:rFonts w:cs="Times New Roman"/>
        </w:rPr>
      </w:pPr>
      <w:r>
        <w:rPr>
          <w:rFonts w:cs="Times New Roman"/>
        </w:rPr>
        <w:t>通过汇总资阳市近期公交快线规划、干线规划以及支线规划，得到资阳市公交线网近期规划如图5-7和表5-1所示：</w:t>
      </w:r>
    </w:p>
    <w:p>
      <w:pPr>
        <w:adjustRightInd/>
        <w:snapToGrid/>
        <w:spacing w:before="0" w:after="0" w:line="240" w:lineRule="auto"/>
        <w:ind w:firstLine="0" w:firstLineChars="0"/>
        <w:jc w:val="center"/>
        <w:rPr>
          <w:rFonts w:cs="Times New Roman"/>
          <w:szCs w:val="24"/>
        </w:rPr>
      </w:pPr>
      <w:r>
        <w:drawing>
          <wp:inline distT="0" distB="0" distL="0" distR="0">
            <wp:extent cx="5039995" cy="7720330"/>
            <wp:effectExtent l="0" t="0" r="825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040000" cy="7720916"/>
                    </a:xfrm>
                    <a:prstGeom prst="rect">
                      <a:avLst/>
                    </a:prstGeom>
                    <a:noFill/>
                    <a:ln>
                      <a:noFill/>
                    </a:ln>
                  </pic:spPr>
                </pic:pic>
              </a:graphicData>
            </a:graphic>
          </wp:inline>
        </w:drawing>
      </w:r>
    </w:p>
    <w:p>
      <w:pPr>
        <w:pStyle w:val="117"/>
      </w:pPr>
      <w:r>
        <w:t>图5-7  资阳市近期公交线网规划图</w:t>
      </w:r>
    </w:p>
    <w:p>
      <w:pPr>
        <w:adjustRightInd/>
        <w:snapToGrid/>
        <w:spacing w:before="0" w:after="0" w:line="240" w:lineRule="auto"/>
        <w:ind w:firstLine="0" w:firstLineChars="0"/>
        <w:jc w:val="left"/>
        <w:rPr>
          <w:rFonts w:eastAsia="黑体" w:cs="宋体"/>
          <w:bCs/>
          <w:kern w:val="2"/>
          <w:szCs w:val="21"/>
        </w:rPr>
      </w:pPr>
      <w:r>
        <w:br w:type="page"/>
      </w:r>
    </w:p>
    <w:p>
      <w:pPr>
        <w:pStyle w:val="113"/>
        <w:spacing w:before="163" w:after="163"/>
      </w:pPr>
      <w:r>
        <w:t>表5-1  资阳市近期公交线路一览表</w:t>
      </w:r>
    </w:p>
    <w:tbl>
      <w:tblPr>
        <w:tblStyle w:val="94"/>
        <w:tblW w:w="830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635"/>
        <w:gridCol w:w="1351"/>
        <w:gridCol w:w="3954"/>
        <w:gridCol w:w="1011"/>
        <w:gridCol w:w="135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restart"/>
            <w:shd w:val="clear" w:color="000000" w:fill="CCC0D9"/>
            <w:vAlign w:val="center"/>
          </w:tcPr>
          <w:p>
            <w:pPr>
              <w:pStyle w:val="161"/>
              <w:rPr>
                <w:rFonts w:ascii="Times New Roman" w:cs="Times New Roman" w:eastAsiaTheme="majorEastAsia"/>
                <w:b/>
                <w:sz w:val="21"/>
                <w:szCs w:val="21"/>
              </w:rPr>
            </w:pPr>
            <w:bookmarkStart w:id="109" w:name="_Hlk513224303"/>
            <w:r>
              <w:rPr>
                <w:rFonts w:ascii="Times New Roman" w:cs="Times New Roman" w:eastAsiaTheme="majorEastAsia"/>
                <w:b/>
                <w:sz w:val="21"/>
                <w:szCs w:val="21"/>
              </w:rPr>
              <w:t>线路类别</w:t>
            </w:r>
          </w:p>
        </w:tc>
        <w:tc>
          <w:tcPr>
            <w:tcW w:w="1351" w:type="dxa"/>
            <w:vMerge w:val="restart"/>
            <w:shd w:val="clear" w:color="000000" w:fill="CCC0D9"/>
            <w:vAlign w:val="center"/>
          </w:tcPr>
          <w:p>
            <w:pPr>
              <w:pStyle w:val="161"/>
              <w:rPr>
                <w:rFonts w:ascii="Times New Roman" w:cs="Times New Roman" w:eastAsiaTheme="majorEastAsia"/>
                <w:b/>
                <w:sz w:val="21"/>
                <w:szCs w:val="21"/>
              </w:rPr>
            </w:pPr>
            <w:r>
              <w:rPr>
                <w:rFonts w:ascii="Times New Roman" w:cs="Times New Roman" w:eastAsiaTheme="majorEastAsia"/>
                <w:b/>
                <w:sz w:val="21"/>
                <w:szCs w:val="21"/>
              </w:rPr>
              <w:t>编号</w:t>
            </w:r>
          </w:p>
        </w:tc>
        <w:tc>
          <w:tcPr>
            <w:tcW w:w="3954" w:type="dxa"/>
            <w:vMerge w:val="restart"/>
            <w:shd w:val="clear" w:color="000000" w:fill="CCC0D9"/>
            <w:vAlign w:val="center"/>
          </w:tcPr>
          <w:p>
            <w:pPr>
              <w:pStyle w:val="161"/>
              <w:rPr>
                <w:rFonts w:ascii="Times New Roman" w:cs="Times New Roman" w:eastAsiaTheme="majorEastAsia"/>
                <w:b/>
                <w:sz w:val="21"/>
                <w:szCs w:val="21"/>
              </w:rPr>
            </w:pPr>
            <w:r>
              <w:rPr>
                <w:rFonts w:ascii="Times New Roman" w:cs="Times New Roman" w:eastAsiaTheme="majorEastAsia"/>
                <w:b/>
                <w:sz w:val="21"/>
                <w:szCs w:val="21"/>
              </w:rPr>
              <w:t>起讫点</w:t>
            </w:r>
          </w:p>
        </w:tc>
        <w:tc>
          <w:tcPr>
            <w:tcW w:w="1011" w:type="dxa"/>
            <w:vMerge w:val="restart"/>
            <w:shd w:val="clear" w:color="000000" w:fill="CCC0D9"/>
            <w:vAlign w:val="center"/>
          </w:tcPr>
          <w:p>
            <w:pPr>
              <w:pStyle w:val="161"/>
              <w:rPr>
                <w:rFonts w:ascii="Times New Roman" w:cs="Times New Roman" w:eastAsiaTheme="majorEastAsia"/>
                <w:b/>
                <w:sz w:val="21"/>
                <w:szCs w:val="21"/>
              </w:rPr>
            </w:pPr>
            <w:r>
              <w:rPr>
                <w:rFonts w:ascii="Times New Roman" w:cs="Times New Roman" w:eastAsiaTheme="majorEastAsia"/>
                <w:b/>
                <w:sz w:val="21"/>
                <w:szCs w:val="21"/>
              </w:rPr>
              <w:t>线路长度（公里）</w:t>
            </w:r>
          </w:p>
        </w:tc>
        <w:tc>
          <w:tcPr>
            <w:tcW w:w="1355" w:type="dxa"/>
            <w:vMerge w:val="restart"/>
            <w:shd w:val="clear" w:color="000000" w:fill="CCC0D9"/>
            <w:vAlign w:val="center"/>
          </w:tcPr>
          <w:p>
            <w:pPr>
              <w:pStyle w:val="161"/>
              <w:rPr>
                <w:rFonts w:ascii="Times New Roman" w:cs="Times New Roman" w:eastAsiaTheme="majorEastAsia"/>
                <w:b/>
                <w:sz w:val="21"/>
                <w:szCs w:val="21"/>
              </w:rPr>
            </w:pPr>
            <w:r>
              <w:rPr>
                <w:rFonts w:ascii="Times New Roman" w:cs="Times New Roman" w:eastAsiaTheme="majorEastAsia"/>
                <w:b/>
                <w:sz w:val="21"/>
                <w:szCs w:val="21"/>
              </w:rPr>
              <w:t>平均站距（米）</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tcBorders>
              <w:bottom w:val="single" w:color="auto" w:sz="12" w:space="0"/>
            </w:tcBorders>
            <w:vAlign w:val="center"/>
          </w:tcPr>
          <w:p>
            <w:pPr>
              <w:pStyle w:val="161"/>
              <w:rPr>
                <w:rFonts w:ascii="Times New Roman" w:cs="Times New Roman" w:eastAsiaTheme="majorEastAsia"/>
                <w:sz w:val="21"/>
                <w:szCs w:val="21"/>
              </w:rPr>
            </w:pPr>
          </w:p>
        </w:tc>
        <w:tc>
          <w:tcPr>
            <w:tcW w:w="1351" w:type="dxa"/>
            <w:vMerge w:val="continue"/>
            <w:tcBorders>
              <w:bottom w:val="single" w:color="auto" w:sz="12" w:space="0"/>
            </w:tcBorders>
            <w:vAlign w:val="center"/>
          </w:tcPr>
          <w:p>
            <w:pPr>
              <w:pStyle w:val="161"/>
              <w:rPr>
                <w:rFonts w:ascii="Times New Roman" w:cs="Times New Roman" w:eastAsiaTheme="majorEastAsia"/>
                <w:sz w:val="21"/>
                <w:szCs w:val="21"/>
              </w:rPr>
            </w:pPr>
          </w:p>
        </w:tc>
        <w:tc>
          <w:tcPr>
            <w:tcW w:w="3954" w:type="dxa"/>
            <w:vMerge w:val="continue"/>
            <w:tcBorders>
              <w:bottom w:val="single" w:color="auto" w:sz="12" w:space="0"/>
            </w:tcBorders>
            <w:vAlign w:val="center"/>
          </w:tcPr>
          <w:p>
            <w:pPr>
              <w:pStyle w:val="161"/>
              <w:rPr>
                <w:rFonts w:ascii="Times New Roman" w:cs="Times New Roman" w:eastAsiaTheme="majorEastAsia"/>
                <w:sz w:val="21"/>
                <w:szCs w:val="21"/>
              </w:rPr>
            </w:pPr>
          </w:p>
        </w:tc>
        <w:tc>
          <w:tcPr>
            <w:tcW w:w="1011" w:type="dxa"/>
            <w:vMerge w:val="continue"/>
            <w:tcBorders>
              <w:bottom w:val="single" w:color="auto" w:sz="12" w:space="0"/>
            </w:tcBorders>
            <w:vAlign w:val="center"/>
          </w:tcPr>
          <w:p>
            <w:pPr>
              <w:pStyle w:val="161"/>
              <w:rPr>
                <w:rFonts w:ascii="Times New Roman" w:cs="Times New Roman" w:eastAsiaTheme="majorEastAsia"/>
                <w:sz w:val="21"/>
                <w:szCs w:val="21"/>
              </w:rPr>
            </w:pPr>
          </w:p>
        </w:tc>
        <w:tc>
          <w:tcPr>
            <w:tcW w:w="1355" w:type="dxa"/>
            <w:vMerge w:val="continue"/>
            <w:tcBorders>
              <w:bottom w:val="single" w:color="auto" w:sz="12" w:space="0"/>
            </w:tcBorders>
            <w:vAlign w:val="center"/>
          </w:tcPr>
          <w:p>
            <w:pPr>
              <w:pStyle w:val="161"/>
              <w:rPr>
                <w:rFonts w:ascii="Times New Roman" w:cs="Times New Roman" w:eastAsiaTheme="majorEastAsia"/>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restart"/>
            <w:tcBorders>
              <w:top w:val="single" w:color="auto" w:sz="12" w:space="0"/>
            </w:tcBorders>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快线</w:t>
            </w:r>
          </w:p>
        </w:tc>
        <w:tc>
          <w:tcPr>
            <w:tcW w:w="1351" w:type="dxa"/>
            <w:tcBorders>
              <w:top w:val="single" w:color="auto" w:sz="12" w:space="0"/>
            </w:tcBorders>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 w:val="21"/>
                <w:szCs w:val="21"/>
              </w:rPr>
              <w:t>高铁快线1</w:t>
            </w:r>
          </w:p>
        </w:tc>
        <w:tc>
          <w:tcPr>
            <w:tcW w:w="3954" w:type="dxa"/>
            <w:tcBorders>
              <w:top w:val="single" w:color="auto" w:sz="12" w:space="0"/>
            </w:tcBorders>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成渝高速路口公交站—城东高铁站</w:t>
            </w:r>
          </w:p>
        </w:tc>
        <w:tc>
          <w:tcPr>
            <w:tcW w:w="1011" w:type="dxa"/>
            <w:tcBorders>
              <w:top w:val="single" w:color="auto" w:sz="12" w:space="0"/>
            </w:tcBorders>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9</w:t>
            </w:r>
            <w:r>
              <w:rPr>
                <w:rFonts w:ascii="Times New Roman" w:cs="Times New Roman" w:eastAsiaTheme="majorEastAsia"/>
                <w:szCs w:val="21"/>
              </w:rPr>
              <w:t>.58</w:t>
            </w:r>
          </w:p>
        </w:tc>
        <w:tc>
          <w:tcPr>
            <w:tcW w:w="1355" w:type="dxa"/>
            <w:tcBorders>
              <w:top w:val="single" w:color="auto" w:sz="12" w:space="0"/>
            </w:tcBorders>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8</w:t>
            </w:r>
            <w:r>
              <w:rPr>
                <w:rFonts w:ascii="Times New Roman" w:cs="Times New Roman" w:eastAsiaTheme="majorEastAsia"/>
                <w:szCs w:val="21"/>
              </w:rPr>
              <w:t>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高铁快线2</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9</w:t>
            </w:r>
            <w:r>
              <w:rPr>
                <w:rFonts w:ascii="Times New Roman" w:cs="Times New Roman" w:eastAsiaTheme="majorEastAsia"/>
                <w:szCs w:val="21"/>
              </w:rPr>
              <w:t>.23</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7</w:t>
            </w:r>
            <w:r>
              <w:rPr>
                <w:rFonts w:ascii="Times New Roman" w:cs="Times New Roman" w:eastAsiaTheme="majorEastAsia"/>
                <w:szCs w:val="21"/>
              </w:rPr>
              <w:t>69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restart"/>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干线</w:t>
            </w: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汽车客运中心—清泉</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2.15</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86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3</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0.03</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3</w:t>
            </w:r>
            <w:r>
              <w:rPr>
                <w:rFonts w:ascii="Times New Roman" w:cs="Times New Roman" w:eastAsiaTheme="majorEastAsia"/>
                <w:szCs w:val="21"/>
              </w:rPr>
              <w:t>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6</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成渝高速路口公交站—马站</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3.95</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98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7</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沱江新城—教育园区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7.16</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3</w:t>
            </w:r>
            <w:r>
              <w:rPr>
                <w:rFonts w:ascii="Times New Roman" w:cs="Times New Roman" w:eastAsiaTheme="majorEastAsia"/>
                <w:szCs w:val="21"/>
              </w:rPr>
              <w:t>81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restart"/>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支线</w:t>
            </w: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2</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成渝高速路口公交站—成渝高速路口公交站（环线）</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7.11</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39</w:t>
            </w:r>
            <w:r>
              <w:rPr>
                <w:rFonts w:hint="eastAsia" w:ascii="Times New Roman" w:cs="Times New Roman" w:eastAsiaTheme="majorEastAsia"/>
                <w:szCs w:val="21"/>
              </w:rPr>
              <w:t>/</w:t>
            </w:r>
            <w:r>
              <w:rPr>
                <w:rFonts w:ascii="Times New Roman" w:cs="Times New Roman" w:eastAsiaTheme="majorEastAsia"/>
                <w:szCs w:val="21"/>
              </w:rPr>
              <w:t>462</w:t>
            </w:r>
            <w:r>
              <w:rPr>
                <w:rFonts w:hint="eastAsia" w:ascii="Times New Roman" w:cs="Times New Roman" w:eastAsiaTheme="majorEastAsia"/>
                <w:szCs w:val="21"/>
                <w:vertAlign w:val="superscript"/>
              </w:rPr>
              <w:t>注</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4</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5.99</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85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5</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汽车客运中心—魏家湾</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5.08</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71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8</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0.09</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59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9</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凤岭公园—四川现代</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7.45</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6</w:t>
            </w:r>
            <w:r>
              <w:rPr>
                <w:rFonts w:ascii="Times New Roman" w:cs="Times New Roman" w:eastAsiaTheme="majorEastAsia"/>
                <w:szCs w:val="21"/>
              </w:rPr>
              <w:t>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10</w:t>
            </w:r>
          </w:p>
        </w:tc>
        <w:tc>
          <w:tcPr>
            <w:tcW w:w="3954"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成渝高速路口公交站</w:t>
            </w:r>
            <w:r>
              <w:rPr>
                <w:rFonts w:cs="Times New Roman" w:asciiTheme="majorEastAsia" w:hAnsiTheme="majorEastAsia" w:eastAsiaTheme="majorEastAsia"/>
                <w:sz w:val="21"/>
                <w:szCs w:val="21"/>
              </w:rPr>
              <w:t>—</w:t>
            </w:r>
            <w:r>
              <w:rPr>
                <w:rFonts w:ascii="Times New Roman" w:cs="Times New Roman" w:eastAsiaTheme="majorEastAsia"/>
                <w:sz w:val="21"/>
                <w:szCs w:val="21"/>
              </w:rPr>
              <w:t>清巍汽车4S商城</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5.44</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4</w:t>
            </w:r>
            <w:r>
              <w:rPr>
                <w:rFonts w:ascii="Times New Roman" w:cs="Times New Roman" w:eastAsiaTheme="majorEastAsia"/>
                <w:szCs w:val="21"/>
              </w:rPr>
              <w:t>83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11</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沱江新城—幸福谷</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6.40</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3</w:t>
            </w:r>
            <w:r>
              <w:rPr>
                <w:rFonts w:ascii="Times New Roman" w:cs="Times New Roman" w:eastAsiaTheme="majorEastAsia"/>
                <w:szCs w:val="21"/>
              </w:rPr>
              <w:t>90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 w:val="21"/>
                <w:szCs w:val="21"/>
              </w:rPr>
              <w:t>1</w:t>
            </w:r>
            <w:r>
              <w:rPr>
                <w:rFonts w:ascii="Times New Roman" w:cs="Times New Roman" w:eastAsiaTheme="majorEastAsia"/>
                <w:sz w:val="21"/>
                <w:szCs w:val="21"/>
              </w:rPr>
              <w:t>2</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hint="eastAsia" w:cs="Times New Roman" w:asciiTheme="majorEastAsia" w:hAnsiTheme="majorEastAsia" w:eastAsiaTheme="majorEastAsia"/>
                <w:sz w:val="21"/>
                <w:szCs w:val="21"/>
              </w:rPr>
              <w:t>成渝高速路口公交站—莲花办事处</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6</w:t>
            </w:r>
            <w:r>
              <w:rPr>
                <w:rFonts w:ascii="Times New Roman" w:cs="Times New Roman" w:eastAsiaTheme="majorEastAsia"/>
                <w:szCs w:val="21"/>
              </w:rPr>
              <w:t>.36</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3</w:t>
            </w:r>
            <w:r>
              <w:rPr>
                <w:rFonts w:ascii="Times New Roman" w:cs="Times New Roman" w:eastAsiaTheme="majorEastAsia"/>
                <w:szCs w:val="21"/>
              </w:rPr>
              <w:t>74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14</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011"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1</w:t>
            </w:r>
            <w:r>
              <w:rPr>
                <w:rFonts w:ascii="Times New Roman" w:cs="Times New Roman" w:eastAsiaTheme="majorEastAsia"/>
                <w:szCs w:val="21"/>
              </w:rPr>
              <w:t>5.63</w:t>
            </w:r>
          </w:p>
        </w:tc>
        <w:tc>
          <w:tcPr>
            <w:tcW w:w="1355" w:type="dxa"/>
            <w:shd w:val="clear" w:color="auto" w:fill="auto"/>
            <w:vAlign w:val="center"/>
          </w:tcPr>
          <w:p>
            <w:pPr>
              <w:pStyle w:val="161"/>
              <w:rPr>
                <w:rFonts w:ascii="Times New Roman" w:cs="Times New Roman" w:eastAsiaTheme="majorEastAsia"/>
                <w:sz w:val="21"/>
                <w:szCs w:val="21"/>
              </w:rPr>
            </w:pPr>
            <w:r>
              <w:rPr>
                <w:rFonts w:hint="eastAsia" w:ascii="Times New Roman" w:cs="Times New Roman" w:eastAsiaTheme="majorEastAsia"/>
                <w:szCs w:val="21"/>
              </w:rPr>
              <w:t>5</w:t>
            </w:r>
            <w:r>
              <w:rPr>
                <w:rFonts w:ascii="Times New Roman" w:cs="Times New Roman" w:eastAsiaTheme="majorEastAsia"/>
                <w:szCs w:val="21"/>
              </w:rPr>
              <w:t>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16</w:t>
            </w:r>
          </w:p>
        </w:tc>
        <w:tc>
          <w:tcPr>
            <w:tcW w:w="3954" w:type="dxa"/>
            <w:shd w:val="clear" w:color="auto" w:fill="auto"/>
            <w:vAlign w:val="center"/>
          </w:tcPr>
          <w:p>
            <w:pPr>
              <w:pStyle w:val="161"/>
              <w:rPr>
                <w:rFonts w:cs="Times New Roman" w:asciiTheme="majorEastAsia" w:hAnsiTheme="majorEastAsia" w:eastAsiaTheme="majorEastAsia"/>
                <w:sz w:val="21"/>
                <w:szCs w:val="21"/>
              </w:rPr>
            </w:pPr>
            <w:bookmarkStart w:id="110" w:name="RANGE!C17"/>
            <w:r>
              <w:rPr>
                <w:rFonts w:cs="Times New Roman" w:asciiTheme="majorEastAsia" w:hAnsiTheme="majorEastAsia" w:eastAsiaTheme="majorEastAsia"/>
                <w:sz w:val="21"/>
                <w:szCs w:val="21"/>
              </w:rPr>
              <w:t>凤岭公园—侯家坪富友公司</w:t>
            </w:r>
            <w:bookmarkEnd w:id="110"/>
          </w:p>
        </w:tc>
        <w:tc>
          <w:tcPr>
            <w:tcW w:w="1011"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1</w:t>
            </w:r>
            <w:r>
              <w:rPr>
                <w:rFonts w:ascii="Times New Roman" w:cs="Times New Roman" w:eastAsiaTheme="majorEastAsia"/>
                <w:szCs w:val="21"/>
              </w:rPr>
              <w:t>3.26</w:t>
            </w:r>
          </w:p>
        </w:tc>
        <w:tc>
          <w:tcPr>
            <w:tcW w:w="1355"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4</w:t>
            </w:r>
            <w:r>
              <w:rPr>
                <w:rFonts w:ascii="Times New Roman" w:cs="Times New Roman" w:eastAsiaTheme="majorEastAsia"/>
                <w:szCs w:val="21"/>
              </w:rPr>
              <w:t>02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17</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沱江新城—侯家坪派出所</w:t>
            </w:r>
          </w:p>
        </w:tc>
        <w:tc>
          <w:tcPr>
            <w:tcW w:w="1011"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9</w:t>
            </w:r>
            <w:r>
              <w:rPr>
                <w:rFonts w:ascii="Times New Roman" w:cs="Times New Roman" w:eastAsiaTheme="majorEastAsia"/>
                <w:szCs w:val="21"/>
              </w:rPr>
              <w:t>.30</w:t>
            </w:r>
          </w:p>
        </w:tc>
        <w:tc>
          <w:tcPr>
            <w:tcW w:w="1355"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4</w:t>
            </w:r>
            <w:r>
              <w:rPr>
                <w:rFonts w:ascii="Times New Roman" w:cs="Times New Roman" w:eastAsiaTheme="majorEastAsia"/>
                <w:szCs w:val="21"/>
              </w:rPr>
              <w:t>65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635" w:type="dxa"/>
            <w:vMerge w:val="continue"/>
            <w:shd w:val="clear" w:color="auto" w:fill="auto"/>
            <w:vAlign w:val="center"/>
          </w:tcPr>
          <w:p>
            <w:pPr>
              <w:pStyle w:val="161"/>
              <w:rPr>
                <w:rFonts w:ascii="Times New Roman" w:cs="Times New Roman" w:eastAsiaTheme="majorEastAsia"/>
                <w:sz w:val="21"/>
                <w:szCs w:val="21"/>
              </w:rPr>
            </w:pPr>
          </w:p>
        </w:tc>
        <w:tc>
          <w:tcPr>
            <w:tcW w:w="1351" w:type="dxa"/>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18</w:t>
            </w:r>
          </w:p>
        </w:tc>
        <w:tc>
          <w:tcPr>
            <w:tcW w:w="3954" w:type="dxa"/>
            <w:shd w:val="clear" w:color="auto" w:fill="auto"/>
            <w:vAlign w:val="center"/>
          </w:tcPr>
          <w:p>
            <w:pPr>
              <w:pStyle w:val="161"/>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城东高铁站—四川现代</w:t>
            </w:r>
          </w:p>
        </w:tc>
        <w:tc>
          <w:tcPr>
            <w:tcW w:w="1011"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1</w:t>
            </w:r>
            <w:r>
              <w:rPr>
                <w:rFonts w:ascii="Times New Roman" w:cs="Times New Roman" w:eastAsiaTheme="majorEastAsia"/>
                <w:szCs w:val="21"/>
              </w:rPr>
              <w:t>6.15</w:t>
            </w:r>
          </w:p>
        </w:tc>
        <w:tc>
          <w:tcPr>
            <w:tcW w:w="1355"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6</w:t>
            </w:r>
            <w:r>
              <w:rPr>
                <w:rFonts w:ascii="Times New Roman" w:cs="Times New Roman" w:eastAsiaTheme="majorEastAsia"/>
                <w:szCs w:val="21"/>
              </w:rPr>
              <w:t>21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5940" w:type="dxa"/>
            <w:gridSpan w:val="3"/>
            <w:shd w:val="clear" w:color="auto" w:fill="auto"/>
            <w:vAlign w:val="center"/>
          </w:tcPr>
          <w:p>
            <w:pPr>
              <w:pStyle w:val="161"/>
              <w:rPr>
                <w:rFonts w:ascii="Times New Roman" w:cs="Times New Roman" w:eastAsiaTheme="majorEastAsia"/>
                <w:sz w:val="21"/>
                <w:szCs w:val="21"/>
              </w:rPr>
            </w:pPr>
            <w:r>
              <w:rPr>
                <w:rFonts w:ascii="Times New Roman" w:cs="Times New Roman" w:eastAsiaTheme="majorEastAsia"/>
                <w:sz w:val="21"/>
                <w:szCs w:val="21"/>
              </w:rPr>
              <w:t>总计</w:t>
            </w:r>
          </w:p>
        </w:tc>
        <w:tc>
          <w:tcPr>
            <w:tcW w:w="1011" w:type="dxa"/>
            <w:shd w:val="clear" w:color="auto" w:fill="auto"/>
            <w:vAlign w:val="center"/>
          </w:tcPr>
          <w:p>
            <w:pPr>
              <w:pStyle w:val="161"/>
              <w:rPr>
                <w:rFonts w:ascii="Times New Roman" w:cs="Times New Roman" w:eastAsiaTheme="majorEastAsia"/>
                <w:szCs w:val="21"/>
              </w:rPr>
            </w:pPr>
            <w:r>
              <w:rPr>
                <w:rFonts w:hint="eastAsia" w:ascii="Times New Roman" w:cs="Times New Roman" w:eastAsiaTheme="majorEastAsia"/>
                <w:szCs w:val="21"/>
              </w:rPr>
              <w:t>2</w:t>
            </w:r>
            <w:r>
              <w:rPr>
                <w:rFonts w:ascii="Times New Roman" w:cs="Times New Roman" w:eastAsiaTheme="majorEastAsia"/>
                <w:szCs w:val="21"/>
              </w:rPr>
              <w:t>40.36</w:t>
            </w:r>
          </w:p>
        </w:tc>
        <w:tc>
          <w:tcPr>
            <w:tcW w:w="1355" w:type="dxa"/>
            <w:shd w:val="clear" w:color="auto" w:fill="auto"/>
            <w:vAlign w:val="center"/>
          </w:tcPr>
          <w:p>
            <w:pPr>
              <w:pStyle w:val="161"/>
              <w:rPr>
                <w:rFonts w:ascii="Times New Roman" w:cs="Times New Roman" w:eastAsiaTheme="majorEastAsia"/>
                <w:szCs w:val="21"/>
              </w:rPr>
            </w:pPr>
            <w:r>
              <w:rPr>
                <w:rFonts w:ascii="Times New Roman" w:cs="Times New Roman" w:eastAsiaTheme="majorEastAsia"/>
                <w:szCs w:val="21"/>
              </w:rPr>
              <w:t>—</w:t>
            </w:r>
          </w:p>
        </w:tc>
      </w:tr>
      <w:bookmarkEnd w:id="109"/>
    </w:tbl>
    <w:p>
      <w:pPr>
        <w:pStyle w:val="135"/>
        <w:spacing w:before="0"/>
        <w:jc w:val="left"/>
        <w:rPr>
          <w:rFonts w:ascii="Times New Roman" w:hAnsi="Times New Roman"/>
          <w:b w:val="0"/>
          <w:sz w:val="18"/>
        </w:rPr>
      </w:pPr>
      <w:r>
        <w:rPr>
          <w:rFonts w:hint="eastAsia" w:ascii="Times New Roman" w:hAnsi="Times New Roman"/>
          <w:b w:val="0"/>
          <w:sz w:val="18"/>
        </w:rPr>
        <w:t>注：4</w:t>
      </w:r>
      <w:r>
        <w:rPr>
          <w:rFonts w:ascii="Times New Roman" w:hAnsi="Times New Roman"/>
          <w:b w:val="0"/>
          <w:sz w:val="18"/>
        </w:rPr>
        <w:t>39/462</w:t>
      </w:r>
      <w:r>
        <w:rPr>
          <w:rFonts w:hint="eastAsia" w:ascii="Times New Roman" w:hAnsi="Times New Roman"/>
          <w:b w:val="0"/>
          <w:sz w:val="18"/>
        </w:rPr>
        <w:t>分别表示环线A和环线B的平均站间距</w:t>
      </w:r>
    </w:p>
    <w:p>
      <w:pPr>
        <w:pStyle w:val="5"/>
        <w:spacing w:before="163" w:after="163"/>
        <w:rPr>
          <w:rFonts w:cs="Times New Roman"/>
        </w:rPr>
      </w:pPr>
      <w:bookmarkStart w:id="111" w:name="_Toc514171293"/>
      <w:r>
        <w:rPr>
          <w:rFonts w:cs="Times New Roman"/>
        </w:rPr>
        <w:t>5.4.3 中远期公交线网规划方案</w:t>
      </w:r>
    </w:p>
    <w:p>
      <w:pPr>
        <w:spacing w:before="163" w:after="163"/>
        <w:ind w:firstLine="480"/>
        <w:rPr>
          <w:rFonts w:cs="Times New Roman"/>
        </w:rPr>
      </w:pPr>
      <w:r>
        <w:rPr>
          <w:rFonts w:cs="Times New Roman"/>
        </w:rPr>
        <w:t>中远期公交线网规划（2020—2030年）主要围绕中远期资阳市的城市路网逐步完善、资阳西站建设并投入运营、成都地铁18号线以及临空经济区的建设完成后，资阳市的公交出行需求将进一步扩大。中远期资阳城市公交需要新建或者延长部分公交线路，来满足未来不断增长的公交出行需求。</w:t>
      </w:r>
    </w:p>
    <w:p>
      <w:pPr>
        <w:spacing w:before="163" w:after="163"/>
        <w:ind w:firstLine="482"/>
        <w:rPr>
          <w:rFonts w:cs="Times New Roman"/>
          <w:b/>
        </w:rPr>
      </w:pPr>
      <w:r>
        <w:rPr>
          <w:rFonts w:cs="Times New Roman"/>
          <w:b/>
        </w:rPr>
        <w:t>（1）快线</w:t>
      </w:r>
    </w:p>
    <w:p>
      <w:pPr>
        <w:spacing w:before="163" w:after="163"/>
        <w:ind w:firstLine="482"/>
        <w:rPr>
          <w:rFonts w:cs="Times New Roman"/>
          <w:b/>
        </w:rPr>
      </w:pPr>
      <w:r>
        <w:rPr>
          <w:rFonts w:cs="Times New Roman"/>
          <w:b/>
        </w:rPr>
        <w:t>1、高铁快线1路</w:t>
      </w:r>
    </w:p>
    <w:p>
      <w:pPr>
        <w:spacing w:before="163" w:after="163"/>
        <w:ind w:firstLine="480"/>
        <w:rPr>
          <w:rFonts w:cs="Times New Roman"/>
        </w:rPr>
      </w:pPr>
      <w:r>
        <w:rPr>
          <w:rFonts w:cs="Times New Roman"/>
        </w:rPr>
        <w:t>调整方式：延长线路至资阳西站</w:t>
      </w:r>
      <w:r>
        <w:rPr>
          <w:rFonts w:hint="eastAsia" w:cs="Times New Roman"/>
        </w:rPr>
        <w:t>。</w:t>
      </w:r>
    </w:p>
    <w:p>
      <w:pPr>
        <w:spacing w:before="163" w:after="163"/>
        <w:ind w:firstLine="480"/>
        <w:rPr>
          <w:rFonts w:cs="Times New Roman"/>
        </w:rPr>
      </w:pPr>
      <w:r>
        <w:rPr>
          <w:rFonts w:cs="Times New Roman"/>
        </w:rPr>
        <w:t>线路长度：13.43公里</w:t>
      </w:r>
    </w:p>
    <w:p>
      <w:pPr>
        <w:spacing w:before="163" w:after="163"/>
        <w:ind w:firstLine="480"/>
        <w:rPr>
          <w:rFonts w:cs="Times New Roman"/>
        </w:rPr>
      </w:pPr>
      <w:r>
        <w:rPr>
          <w:rFonts w:cs="Times New Roman"/>
        </w:rPr>
        <w:t>调整理由：为了满足资阳西站与城东高铁站两个交通枢纽之间的快速接驳。</w:t>
      </w:r>
    </w:p>
    <w:p>
      <w:pPr>
        <w:spacing w:before="163" w:after="163"/>
        <w:ind w:firstLine="482"/>
        <w:rPr>
          <w:rFonts w:cs="Times New Roman"/>
          <w:b/>
        </w:rPr>
      </w:pPr>
      <w:r>
        <w:rPr>
          <w:rFonts w:cs="Times New Roman"/>
          <w:b/>
        </w:rPr>
        <w:t>2、高铁快线2路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w:t>
      </w:r>
      <w:r>
        <w:rPr>
          <w:rFonts w:hint="eastAsia" w:cs="Times New Roman"/>
        </w:rPr>
        <w:t>9.</w:t>
      </w:r>
      <w:r>
        <w:rPr>
          <w:rFonts w:cs="Times New Roman"/>
        </w:rPr>
        <w:t>23公里</w:t>
      </w:r>
    </w:p>
    <w:p>
      <w:pPr>
        <w:spacing w:before="163" w:after="163"/>
        <w:ind w:firstLine="480"/>
        <w:rPr>
          <w:rFonts w:cs="Times New Roman"/>
        </w:rPr>
      </w:pPr>
      <w:r>
        <w:rPr>
          <w:rFonts w:cs="Times New Roman"/>
        </w:rPr>
        <w:t>调整理由：高铁快线2路连接教育园区与城东高铁站两个重要的首末站点，未来高铁快线2路的客流需求将不断增加，因此保留该线路。</w:t>
      </w:r>
    </w:p>
    <w:p>
      <w:pPr>
        <w:spacing w:before="163" w:after="163"/>
        <w:ind w:firstLine="482"/>
        <w:rPr>
          <w:rFonts w:cs="Times New Roman"/>
          <w:b/>
        </w:rPr>
      </w:pPr>
      <w:r>
        <w:rPr>
          <w:rFonts w:cs="Times New Roman"/>
          <w:b/>
        </w:rPr>
        <w:t>3、高铁快线3路（新增）</w:t>
      </w:r>
    </w:p>
    <w:p>
      <w:pPr>
        <w:spacing w:before="163" w:after="163"/>
        <w:ind w:firstLine="480"/>
        <w:rPr>
          <w:rFonts w:cs="Times New Roman"/>
        </w:rPr>
      </w:pPr>
      <w:r>
        <w:rPr>
          <w:rFonts w:cs="Times New Roman"/>
        </w:rPr>
        <w:t>线路走向：地铁18号线临空经济区站</w:t>
      </w:r>
      <w:r>
        <w:rPr>
          <w:rFonts w:cs="Times New Roman" w:asciiTheme="majorEastAsia" w:hAnsiTheme="majorEastAsia" w:eastAsiaTheme="majorEastAsia"/>
        </w:rPr>
        <w:t>—教育园区—城</w:t>
      </w:r>
      <w:r>
        <w:rPr>
          <w:rFonts w:cs="Times New Roman"/>
        </w:rPr>
        <w:t>东高铁站</w:t>
      </w:r>
    </w:p>
    <w:p>
      <w:pPr>
        <w:spacing w:before="163" w:after="163"/>
        <w:ind w:firstLine="480"/>
        <w:rPr>
          <w:rFonts w:cs="Times New Roman"/>
        </w:rPr>
      </w:pPr>
      <w:r>
        <w:rPr>
          <w:rFonts w:cs="Times New Roman"/>
        </w:rPr>
        <w:t>线路长度：12.03公里</w:t>
      </w:r>
    </w:p>
    <w:p>
      <w:pPr>
        <w:spacing w:before="163" w:after="163"/>
        <w:ind w:firstLine="480"/>
        <w:rPr>
          <w:rFonts w:cs="Times New Roman"/>
        </w:rPr>
      </w:pPr>
      <w:r>
        <w:rPr>
          <w:rFonts w:cs="Times New Roman"/>
        </w:rPr>
        <w:t>新增理由：随着临空经济区的不断发展以及成都地铁18号线的建设，临空经济区与城东高铁站和教育园区之间的快速公交出行需求将不断增加</w:t>
      </w:r>
    </w:p>
    <w:p>
      <w:pPr>
        <w:spacing w:before="163" w:after="163"/>
        <w:ind w:firstLine="482"/>
        <w:rPr>
          <w:rFonts w:cs="Times New Roman"/>
          <w:b/>
        </w:rPr>
      </w:pPr>
      <w:r>
        <w:rPr>
          <w:rFonts w:cs="Times New Roman"/>
          <w:b/>
        </w:rPr>
        <w:t>4、高铁快线4路（新增）</w:t>
      </w:r>
    </w:p>
    <w:p>
      <w:pPr>
        <w:spacing w:before="163" w:after="163"/>
        <w:ind w:firstLine="480"/>
        <w:rPr>
          <w:rFonts w:cs="Times New Roman"/>
        </w:rPr>
      </w:pPr>
      <w:r>
        <w:rPr>
          <w:rFonts w:cs="Times New Roman"/>
        </w:rPr>
        <w:t>线路走向：城东高</w:t>
      </w:r>
      <w:r>
        <w:rPr>
          <w:rFonts w:cs="Times New Roman" w:asciiTheme="majorEastAsia" w:hAnsiTheme="majorEastAsia" w:eastAsiaTheme="majorEastAsia"/>
        </w:rPr>
        <w:t>铁站—汽车客运中心—</w:t>
      </w:r>
      <w:r>
        <w:rPr>
          <w:rFonts w:cs="Times New Roman"/>
        </w:rPr>
        <w:t>资阳西站</w:t>
      </w:r>
    </w:p>
    <w:p>
      <w:pPr>
        <w:spacing w:before="163" w:after="163"/>
        <w:ind w:firstLine="480"/>
        <w:rPr>
          <w:rFonts w:cs="Times New Roman"/>
        </w:rPr>
      </w:pPr>
      <w:r>
        <w:rPr>
          <w:rFonts w:cs="Times New Roman"/>
        </w:rPr>
        <w:t>线路长度：18.46公里</w:t>
      </w:r>
    </w:p>
    <w:p>
      <w:pPr>
        <w:spacing w:before="163" w:after="163"/>
        <w:ind w:firstLine="480"/>
        <w:rPr>
          <w:rFonts w:cs="Times New Roman"/>
        </w:rPr>
      </w:pPr>
      <w:r>
        <w:rPr>
          <w:rFonts w:cs="Times New Roman"/>
        </w:rPr>
        <w:t>新增理由：增加高铁快线4路，给资阳西站、汽车客运中心以及城东高铁站提供换乘转接服务，加强资阳市交通枢纽之间的联系。</w:t>
      </w:r>
    </w:p>
    <w:p>
      <w:pPr>
        <w:spacing w:before="163" w:after="163"/>
        <w:ind w:firstLine="482"/>
        <w:rPr>
          <w:rFonts w:cs="Times New Roman"/>
          <w:b/>
        </w:rPr>
      </w:pPr>
      <w:r>
        <w:rPr>
          <w:rFonts w:cs="Times New Roman"/>
          <w:b/>
        </w:rPr>
        <w:t>（2）干线</w:t>
      </w:r>
    </w:p>
    <w:p>
      <w:pPr>
        <w:spacing w:before="163" w:after="163"/>
        <w:ind w:firstLine="482"/>
        <w:rPr>
          <w:rFonts w:cs="Times New Roman"/>
          <w:b/>
        </w:rPr>
      </w:pPr>
      <w:r>
        <w:rPr>
          <w:rFonts w:cs="Times New Roman"/>
          <w:b/>
        </w:rPr>
        <w:t>1、1路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线路长度：12</w:t>
      </w:r>
      <w:r>
        <w:rPr>
          <w:rFonts w:hint="eastAsia" w:cs="Times New Roman"/>
        </w:rPr>
        <w:t>.15</w:t>
      </w:r>
      <w:r>
        <w:rPr>
          <w:rFonts w:cs="Times New Roman"/>
        </w:rPr>
        <w:t>公里</w:t>
      </w:r>
    </w:p>
    <w:p>
      <w:pPr>
        <w:spacing w:before="163" w:after="163"/>
        <w:ind w:firstLine="480"/>
        <w:rPr>
          <w:rFonts w:cs="Times New Roman"/>
        </w:rPr>
      </w:pPr>
      <w:r>
        <w:rPr>
          <w:rFonts w:cs="Times New Roman"/>
        </w:rPr>
        <w:t>调整理由：1路公交作为资阳市重要的公交干线，其长度、非直线系数、平均站间距等指标均合理，因此对1路公交保持现状。</w:t>
      </w:r>
    </w:p>
    <w:p>
      <w:pPr>
        <w:spacing w:before="163" w:after="163"/>
        <w:ind w:firstLine="482"/>
        <w:rPr>
          <w:rFonts w:cs="Times New Roman"/>
          <w:b/>
        </w:rPr>
      </w:pPr>
      <w:r>
        <w:rPr>
          <w:rFonts w:cs="Times New Roman"/>
          <w:b/>
        </w:rPr>
        <w:t>2、3路</w:t>
      </w:r>
    </w:p>
    <w:p>
      <w:pPr>
        <w:spacing w:before="163" w:after="163"/>
        <w:ind w:firstLine="480"/>
        <w:rPr>
          <w:rFonts w:cs="Times New Roman"/>
        </w:rPr>
      </w:pPr>
      <w:r>
        <w:rPr>
          <w:rFonts w:cs="Times New Roman"/>
        </w:rPr>
        <w:t>调整方式：向南延伸到四川现代站</w:t>
      </w:r>
      <w:r>
        <w:rPr>
          <w:rFonts w:hint="eastAsia" w:cs="Times New Roman"/>
        </w:rPr>
        <w:t>。</w:t>
      </w:r>
    </w:p>
    <w:p>
      <w:pPr>
        <w:spacing w:before="163" w:after="163"/>
        <w:ind w:firstLine="480"/>
        <w:rPr>
          <w:rFonts w:cs="Times New Roman"/>
        </w:rPr>
      </w:pPr>
      <w:r>
        <w:rPr>
          <w:rFonts w:cs="Times New Roman"/>
        </w:rPr>
        <w:t>线路长度：16.50公里</w:t>
      </w:r>
    </w:p>
    <w:p>
      <w:pPr>
        <w:spacing w:before="163" w:after="163"/>
        <w:ind w:firstLine="480"/>
        <w:rPr>
          <w:rFonts w:cs="Times New Roman"/>
        </w:rPr>
      </w:pPr>
      <w:r>
        <w:rPr>
          <w:rFonts w:cs="Times New Roman"/>
        </w:rPr>
        <w:t>调整理由：随着资阳市城市道路的不断建设，资阳市道路状况将得到不断改善，未来3路公交在道路状况良好的情况下可进行适当延长。</w:t>
      </w:r>
    </w:p>
    <w:p>
      <w:pPr>
        <w:spacing w:before="163" w:after="163"/>
        <w:ind w:firstLine="482"/>
        <w:rPr>
          <w:rFonts w:cs="Times New Roman"/>
          <w:b/>
        </w:rPr>
      </w:pPr>
      <w:r>
        <w:rPr>
          <w:rFonts w:cs="Times New Roman"/>
          <w:b/>
        </w:rPr>
        <w:t>3、6路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线路长度：13.95公里</w:t>
      </w:r>
    </w:p>
    <w:p>
      <w:pPr>
        <w:spacing w:before="163" w:after="163"/>
        <w:ind w:firstLine="480"/>
        <w:rPr>
          <w:rFonts w:cs="Times New Roman"/>
        </w:rPr>
      </w:pPr>
      <w:r>
        <w:rPr>
          <w:rFonts w:cs="Times New Roman"/>
        </w:rPr>
        <w:t>调整理由：6路线作为资阳市横向的公交干线，经过许多客流集散大的公交站点，有着不可替代的作用，而且6路公交线路长度合适，不再适宜进行沿路延长。</w:t>
      </w:r>
    </w:p>
    <w:p>
      <w:pPr>
        <w:spacing w:before="163" w:after="163"/>
        <w:ind w:firstLine="482"/>
        <w:rPr>
          <w:rFonts w:cs="Times New Roman"/>
          <w:b/>
        </w:rPr>
      </w:pPr>
      <w:r>
        <w:rPr>
          <w:rFonts w:cs="Times New Roman"/>
          <w:b/>
        </w:rPr>
        <w:t>4、7路</w:t>
      </w:r>
    </w:p>
    <w:p>
      <w:pPr>
        <w:spacing w:before="163" w:after="163"/>
        <w:ind w:firstLine="480"/>
        <w:rPr>
          <w:rFonts w:cs="Times New Roman"/>
        </w:rPr>
      </w:pPr>
      <w:r>
        <w:rPr>
          <w:rFonts w:cs="Times New Roman"/>
        </w:rPr>
        <w:t>调整方式：调整线路，实施环线</w:t>
      </w:r>
      <w:r>
        <w:rPr>
          <w:rFonts w:hint="eastAsia" w:cs="Times New Roman"/>
        </w:rPr>
        <w:t>。</w:t>
      </w:r>
    </w:p>
    <w:p>
      <w:pPr>
        <w:spacing w:before="163" w:after="163"/>
        <w:ind w:firstLine="480"/>
        <w:rPr>
          <w:rFonts w:cs="Times New Roman"/>
        </w:rPr>
      </w:pPr>
      <w:r>
        <w:rPr>
          <w:rFonts w:cs="Times New Roman"/>
        </w:rPr>
        <w:t>线路长度：18.12公里</w:t>
      </w:r>
    </w:p>
    <w:p>
      <w:pPr>
        <w:spacing w:before="163" w:after="163"/>
        <w:ind w:firstLine="480"/>
        <w:rPr>
          <w:rFonts w:cs="Times New Roman"/>
        </w:rPr>
      </w:pPr>
      <w:r>
        <w:rPr>
          <w:rFonts w:cs="Times New Roman"/>
        </w:rPr>
        <w:t>调整理由：未来资阳市的城市环线道路将打通，因此将7号线改造成环绕老城区的公交环线。</w:t>
      </w:r>
    </w:p>
    <w:p>
      <w:pPr>
        <w:spacing w:before="163" w:after="163"/>
        <w:ind w:firstLine="482"/>
        <w:rPr>
          <w:rFonts w:cs="Times New Roman"/>
          <w:b/>
        </w:rPr>
      </w:pPr>
      <w:r>
        <w:rPr>
          <w:rFonts w:cs="Times New Roman"/>
          <w:b/>
        </w:rPr>
        <w:t>（3）支线</w:t>
      </w:r>
    </w:p>
    <w:p>
      <w:pPr>
        <w:spacing w:before="163" w:after="163"/>
        <w:ind w:firstLine="482"/>
        <w:rPr>
          <w:rFonts w:cs="Times New Roman"/>
          <w:b/>
        </w:rPr>
      </w:pPr>
      <w:r>
        <w:rPr>
          <w:rFonts w:cs="Times New Roman"/>
          <w:b/>
        </w:rPr>
        <w:t>1、2路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线路长度：17.11公里</w:t>
      </w:r>
    </w:p>
    <w:p>
      <w:pPr>
        <w:spacing w:before="163" w:after="163"/>
        <w:ind w:firstLine="480"/>
        <w:rPr>
          <w:rFonts w:cs="Times New Roman"/>
        </w:rPr>
      </w:pPr>
      <w:r>
        <w:rPr>
          <w:rFonts w:cs="Times New Roman"/>
        </w:rPr>
        <w:t>调整理由：2路公交作为环线支路公交，环线长度、站点设置以及线路走向均合理，而且2路公交满足了老城区居民前往成渝高速路口公交站以及汽车客运中心的出行需求，因此对2路公交进行保留。</w:t>
      </w:r>
    </w:p>
    <w:p>
      <w:pPr>
        <w:spacing w:before="163" w:after="163"/>
        <w:ind w:firstLine="482"/>
        <w:rPr>
          <w:rFonts w:cs="Times New Roman"/>
          <w:b/>
        </w:rPr>
      </w:pPr>
      <w:r>
        <w:rPr>
          <w:rFonts w:cs="Times New Roman"/>
          <w:b/>
        </w:rPr>
        <w:t>2、4路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线路长度：15.99公里</w:t>
      </w:r>
    </w:p>
    <w:p>
      <w:pPr>
        <w:spacing w:before="163" w:after="163"/>
        <w:ind w:firstLine="480"/>
        <w:rPr>
          <w:rFonts w:cs="Times New Roman"/>
        </w:rPr>
      </w:pPr>
      <w:r>
        <w:rPr>
          <w:rFonts w:cs="Times New Roman"/>
        </w:rPr>
        <w:t>调整理由：4路作为支线公交，增加了资阳市公交的覆盖面积，丰富了资阳公交线网系统，使得资阳公共交通更具可达性，同时使得教育园区、老城区与沱东新区的联系更加便捷，在中远期阶段，4路公交的功能将依旧不变，因此对4路公交进行保留。</w:t>
      </w:r>
    </w:p>
    <w:p>
      <w:pPr>
        <w:spacing w:before="163" w:after="163"/>
        <w:ind w:firstLine="482"/>
        <w:rPr>
          <w:rFonts w:cs="Times New Roman"/>
          <w:b/>
        </w:rPr>
      </w:pPr>
      <w:r>
        <w:rPr>
          <w:rFonts w:cs="Times New Roman"/>
          <w:b/>
        </w:rPr>
        <w:t>3、5路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线路长度：15.08公里</w:t>
      </w:r>
    </w:p>
    <w:p>
      <w:pPr>
        <w:spacing w:before="163" w:after="163"/>
        <w:ind w:firstLine="480"/>
        <w:rPr>
          <w:rFonts w:cs="Times New Roman"/>
        </w:rPr>
      </w:pPr>
      <w:r>
        <w:rPr>
          <w:rFonts w:cs="Times New Roman"/>
        </w:rPr>
        <w:t>调整理由：5路公交作为资阳市公交系统中比较重要的支线线路串联了中心老城区以及沱东新区，满足了新老城区之间乘客的出行需求，其通过站点客流较大，因此，对5路公交线路基本保留。</w:t>
      </w:r>
    </w:p>
    <w:p>
      <w:pPr>
        <w:spacing w:before="163" w:after="163"/>
        <w:ind w:firstLine="482"/>
        <w:rPr>
          <w:rFonts w:cs="Times New Roman"/>
          <w:b/>
        </w:rPr>
      </w:pPr>
      <w:r>
        <w:rPr>
          <w:rFonts w:cs="Times New Roman"/>
          <w:b/>
        </w:rPr>
        <w:t>4、8路</w:t>
      </w:r>
    </w:p>
    <w:p>
      <w:pPr>
        <w:spacing w:before="163" w:after="163"/>
        <w:ind w:firstLine="480"/>
        <w:rPr>
          <w:rFonts w:cs="Times New Roman"/>
        </w:rPr>
      </w:pPr>
      <w:r>
        <w:rPr>
          <w:rFonts w:cs="Times New Roman"/>
        </w:rPr>
        <w:t>调整方式：延长线路至侯家坪派出所</w:t>
      </w:r>
      <w:r>
        <w:rPr>
          <w:rFonts w:hint="eastAsia" w:cs="Times New Roman"/>
        </w:rPr>
        <w:t>。</w:t>
      </w:r>
    </w:p>
    <w:p>
      <w:pPr>
        <w:spacing w:before="163" w:after="163"/>
        <w:ind w:firstLine="480"/>
        <w:rPr>
          <w:rFonts w:cs="Times New Roman"/>
        </w:rPr>
      </w:pPr>
      <w:r>
        <w:rPr>
          <w:rFonts w:cs="Times New Roman"/>
        </w:rPr>
        <w:t>线路长度：13.33公里</w:t>
      </w:r>
    </w:p>
    <w:p>
      <w:pPr>
        <w:spacing w:before="163" w:after="163"/>
        <w:ind w:firstLine="480"/>
        <w:rPr>
          <w:rFonts w:cs="Times New Roman"/>
        </w:rPr>
      </w:pPr>
      <w:r>
        <w:rPr>
          <w:rFonts w:cs="Times New Roman"/>
        </w:rPr>
        <w:t>调整理由：近期8路公交线路长度适中，在中远期可以适当延长线路使得8路公交的服务范围更广。</w:t>
      </w:r>
    </w:p>
    <w:p>
      <w:pPr>
        <w:spacing w:before="163" w:after="163"/>
        <w:ind w:firstLine="482"/>
        <w:rPr>
          <w:rFonts w:cs="Times New Roman"/>
          <w:b/>
        </w:rPr>
      </w:pPr>
      <w:r>
        <w:rPr>
          <w:rFonts w:cs="Times New Roman"/>
          <w:b/>
        </w:rPr>
        <w:t>5、9路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线路长度：17.45公里</w:t>
      </w:r>
    </w:p>
    <w:p>
      <w:pPr>
        <w:spacing w:before="163" w:after="163"/>
        <w:ind w:firstLine="480"/>
        <w:rPr>
          <w:rFonts w:cs="Times New Roman"/>
        </w:rPr>
      </w:pPr>
      <w:r>
        <w:rPr>
          <w:rFonts w:cs="Times New Roman"/>
        </w:rPr>
        <w:t>调整理由：近期9路公交线路</w:t>
      </w:r>
      <w:r>
        <w:rPr>
          <w:rFonts w:hint="eastAsia" w:cs="Times New Roman"/>
        </w:rPr>
        <w:t>长度为</w:t>
      </w:r>
      <w:r>
        <w:rPr>
          <w:rFonts w:cs="Times New Roman"/>
        </w:rPr>
        <w:t>17.45公里，不再适合延长线路，而且，9路公交是城北片区居民上下班出行必须乘坐的交通线路，因此也不再对9号线路</w:t>
      </w:r>
      <w:r>
        <w:rPr>
          <w:rFonts w:hint="eastAsia" w:cs="Times New Roman"/>
        </w:rPr>
        <w:t>进</w:t>
      </w:r>
      <w:r>
        <w:rPr>
          <w:rFonts w:cs="Times New Roman"/>
        </w:rPr>
        <w:t>行线路调整。</w:t>
      </w:r>
    </w:p>
    <w:p>
      <w:pPr>
        <w:spacing w:before="163" w:after="163"/>
        <w:ind w:firstLine="482"/>
        <w:rPr>
          <w:rFonts w:cs="Times New Roman"/>
          <w:b/>
        </w:rPr>
      </w:pPr>
      <w:r>
        <w:rPr>
          <w:rFonts w:cs="Times New Roman"/>
          <w:b/>
        </w:rPr>
        <w:t>6、10路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线路长度：15.44公里</w:t>
      </w:r>
    </w:p>
    <w:p>
      <w:pPr>
        <w:spacing w:before="163" w:after="163"/>
        <w:ind w:firstLine="480"/>
        <w:rPr>
          <w:rFonts w:cs="Times New Roman"/>
          <w:b/>
        </w:rPr>
      </w:pPr>
      <w:r>
        <w:rPr>
          <w:rFonts w:cs="Times New Roman"/>
        </w:rPr>
        <w:t>调整理由：近期10路公交作为支线公交，线路全长15.44公里，连接了沱东新区、老城区、城西片区，满足了各个片区之间的公交出行需求。因此对10路公交进行保留。</w:t>
      </w:r>
    </w:p>
    <w:p>
      <w:pPr>
        <w:spacing w:before="163" w:after="163"/>
        <w:ind w:firstLine="482"/>
        <w:rPr>
          <w:rFonts w:cs="Times New Roman"/>
          <w:b/>
        </w:rPr>
      </w:pPr>
      <w:r>
        <w:rPr>
          <w:rFonts w:cs="Times New Roman"/>
          <w:b/>
        </w:rPr>
        <w:t>7、11路</w:t>
      </w:r>
    </w:p>
    <w:p>
      <w:pPr>
        <w:spacing w:before="163" w:after="163"/>
        <w:ind w:firstLine="480"/>
        <w:rPr>
          <w:rFonts w:cs="Times New Roman"/>
        </w:rPr>
      </w:pPr>
      <w:r>
        <w:rPr>
          <w:rFonts w:cs="Times New Roman"/>
        </w:rPr>
        <w:t>调整方式：延长线路至临空经济区地铁站</w:t>
      </w:r>
      <w:r>
        <w:rPr>
          <w:rFonts w:hint="eastAsia" w:cs="Times New Roman"/>
        </w:rPr>
        <w:t>。</w:t>
      </w:r>
    </w:p>
    <w:p>
      <w:pPr>
        <w:spacing w:before="163" w:after="163"/>
        <w:ind w:firstLine="480"/>
        <w:rPr>
          <w:rFonts w:cs="Times New Roman"/>
        </w:rPr>
      </w:pPr>
      <w:r>
        <w:rPr>
          <w:rFonts w:cs="Times New Roman"/>
        </w:rPr>
        <w:t>线路长度：17.27公里</w:t>
      </w:r>
    </w:p>
    <w:p>
      <w:pPr>
        <w:spacing w:before="163" w:after="163"/>
        <w:ind w:firstLine="480"/>
        <w:rPr>
          <w:rFonts w:cs="Times New Roman"/>
        </w:rPr>
      </w:pPr>
      <w:r>
        <w:rPr>
          <w:rFonts w:cs="Times New Roman"/>
        </w:rPr>
        <w:t>调整理由：考虑到地铁18号线在11路的首末站幸福谷站附近将设有中</w:t>
      </w:r>
      <w:r>
        <w:rPr>
          <w:rFonts w:hint="eastAsia" w:cs="Times New Roman"/>
        </w:rPr>
        <w:t>途</w:t>
      </w:r>
      <w:r>
        <w:rPr>
          <w:rFonts w:cs="Times New Roman"/>
        </w:rPr>
        <w:t>站，因此将11路公交延长到地铁站，实现常规公交与地铁的有效接驳。</w:t>
      </w:r>
    </w:p>
    <w:p>
      <w:pPr>
        <w:spacing w:before="163" w:after="163"/>
        <w:ind w:firstLine="482"/>
        <w:rPr>
          <w:rFonts w:cs="Times New Roman"/>
          <w:b/>
        </w:rPr>
      </w:pPr>
      <w:r>
        <w:rPr>
          <w:rFonts w:cs="Times New Roman"/>
          <w:b/>
        </w:rPr>
        <w:t>8、12路</w:t>
      </w:r>
    </w:p>
    <w:p>
      <w:pPr>
        <w:spacing w:before="163" w:after="163"/>
        <w:ind w:firstLine="482"/>
        <w:rPr>
          <w:rFonts w:cs="Times New Roman"/>
          <w:b/>
        </w:rPr>
      </w:pPr>
      <w:r>
        <w:rPr>
          <w:rFonts w:cs="Times New Roman"/>
          <w:b/>
        </w:rPr>
        <w:t>起讫点：</w:t>
      </w:r>
      <w:r>
        <w:rPr>
          <w:rFonts w:hint="eastAsia" w:cs="Times New Roman"/>
          <w:b/>
        </w:rPr>
        <w:t>成渝高速路口公交站—莲花办事处</w:t>
      </w:r>
    </w:p>
    <w:p>
      <w:pPr>
        <w:spacing w:before="163" w:after="163"/>
        <w:ind w:firstLine="480"/>
        <w:rPr>
          <w:rFonts w:cs="Times New Roman"/>
        </w:rPr>
      </w:pPr>
      <w:r>
        <w:rPr>
          <w:rFonts w:cs="Times New Roman"/>
        </w:rPr>
        <w:t>调整方式：</w:t>
      </w:r>
      <w:r>
        <w:rPr>
          <w:rFonts w:hint="eastAsia" w:cs="Times New Roman"/>
        </w:rPr>
        <w:t>保留。</w:t>
      </w:r>
    </w:p>
    <w:p>
      <w:pPr>
        <w:spacing w:before="163" w:after="163"/>
        <w:ind w:firstLine="480"/>
        <w:rPr>
          <w:rFonts w:cs="Times New Roman"/>
        </w:rPr>
      </w:pPr>
      <w:r>
        <w:rPr>
          <w:rFonts w:hint="eastAsia" w:cs="Times New Roman"/>
        </w:rPr>
        <w:t>线路长度：6</w:t>
      </w:r>
      <w:r>
        <w:rPr>
          <w:rFonts w:cs="Times New Roman"/>
        </w:rPr>
        <w:t>.36</w:t>
      </w:r>
      <w:r>
        <w:rPr>
          <w:rFonts w:hint="eastAsia" w:cs="Times New Roman"/>
        </w:rPr>
        <w:t>公里</w:t>
      </w:r>
    </w:p>
    <w:p>
      <w:pPr>
        <w:spacing w:before="163" w:after="163"/>
        <w:ind w:firstLine="480"/>
        <w:rPr>
          <w:rFonts w:cs="Times New Roman"/>
        </w:rPr>
      </w:pPr>
      <w:r>
        <w:rPr>
          <w:rFonts w:cs="Times New Roman"/>
        </w:rPr>
        <w:t>调整</w:t>
      </w:r>
      <w:r>
        <w:rPr>
          <w:rFonts w:hint="eastAsia" w:cs="Times New Roman"/>
        </w:rPr>
        <w:t>理由</w:t>
      </w:r>
      <w:r>
        <w:rPr>
          <w:rFonts w:cs="Times New Roman"/>
        </w:rPr>
        <w:t>：</w:t>
      </w:r>
      <w:r>
        <w:rPr>
          <w:rFonts w:hint="eastAsia" w:cs="Times New Roman"/>
        </w:rPr>
        <w:t>1</w:t>
      </w:r>
      <w:r>
        <w:rPr>
          <w:rFonts w:cs="Times New Roman"/>
        </w:rPr>
        <w:t>2</w:t>
      </w:r>
      <w:r>
        <w:rPr>
          <w:rFonts w:hint="eastAsia" w:cs="Times New Roman"/>
        </w:rPr>
        <w:t>路公交线路连接了资阳市城区西部组团与老城区，能够满足两个组团之间的居民快速便捷的出行需求；同时丰富了资阳市的公交线网。因此对其进行保留。</w:t>
      </w:r>
    </w:p>
    <w:p>
      <w:pPr>
        <w:spacing w:before="163" w:after="163"/>
        <w:ind w:firstLine="482"/>
        <w:rPr>
          <w:rFonts w:cs="Times New Roman"/>
          <w:b/>
        </w:rPr>
      </w:pPr>
      <w:r>
        <w:rPr>
          <w:rFonts w:cs="Times New Roman"/>
          <w:b/>
        </w:rPr>
        <w:t>9、14路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线路长度：15.63公里</w:t>
      </w:r>
    </w:p>
    <w:p>
      <w:pPr>
        <w:spacing w:before="163" w:after="163"/>
        <w:ind w:firstLine="480"/>
        <w:rPr>
          <w:rFonts w:cs="Times New Roman"/>
        </w:rPr>
      </w:pPr>
      <w:r>
        <w:rPr>
          <w:rFonts w:cs="Times New Roman"/>
        </w:rPr>
        <w:t>调整理由：14路作为支线公交线路，增加了资阳市公交的覆盖面积，丰富了资阳公交线网系统，使得资阳公共交通更具可达性，同时使得教育园区、老城区与沱东新区的联系更加便捷，在中远期阶段将对</w:t>
      </w:r>
      <w:r>
        <w:rPr>
          <w:rFonts w:hint="eastAsia" w:cs="Times New Roman"/>
        </w:rPr>
        <w:t>1</w:t>
      </w:r>
      <w:r>
        <w:rPr>
          <w:rFonts w:cs="Times New Roman"/>
        </w:rPr>
        <w:t>4路公交进行保留</w:t>
      </w:r>
      <w:r>
        <w:rPr>
          <w:rFonts w:hint="eastAsia" w:cs="Times New Roman"/>
        </w:rPr>
        <w:t>。</w:t>
      </w:r>
    </w:p>
    <w:p>
      <w:pPr>
        <w:spacing w:before="163" w:after="163"/>
        <w:ind w:firstLine="482"/>
        <w:rPr>
          <w:rFonts w:cs="Times New Roman"/>
          <w:b/>
        </w:rPr>
      </w:pPr>
      <w:r>
        <w:rPr>
          <w:rFonts w:cs="Times New Roman"/>
          <w:b/>
        </w:rPr>
        <w:t>10、15路（新增）</w:t>
      </w:r>
    </w:p>
    <w:p>
      <w:pPr>
        <w:spacing w:before="163" w:after="163"/>
        <w:ind w:firstLine="480"/>
        <w:rPr>
          <w:rFonts w:cs="Times New Roman"/>
        </w:rPr>
      </w:pPr>
      <w:r>
        <w:rPr>
          <w:rFonts w:cs="Times New Roman"/>
        </w:rPr>
        <w:t>线路走向：清泉—临空经济区地铁站—资阳西站—成渝高速路口公交站—汽车客运中心</w:t>
      </w:r>
    </w:p>
    <w:p>
      <w:pPr>
        <w:spacing w:before="163" w:after="163"/>
        <w:ind w:firstLine="480"/>
        <w:rPr>
          <w:rFonts w:cs="Times New Roman"/>
        </w:rPr>
      </w:pPr>
      <w:r>
        <w:rPr>
          <w:rFonts w:cs="Times New Roman"/>
        </w:rPr>
        <w:t>线路长度：20.39公里</w:t>
      </w:r>
    </w:p>
    <w:p>
      <w:pPr>
        <w:spacing w:before="163" w:after="163"/>
        <w:ind w:firstLine="480"/>
        <w:rPr>
          <w:rFonts w:cs="Times New Roman"/>
        </w:rPr>
      </w:pPr>
      <w:r>
        <w:rPr>
          <w:rFonts w:cs="Times New Roman"/>
        </w:rPr>
        <w:t>新增理由：资阳西站、临空经济区属于中远期内资阳市的新开发区域，需要在新开发的区域内开通公交支线来增加城市常规公交的服务范围。</w:t>
      </w:r>
    </w:p>
    <w:p>
      <w:pPr>
        <w:spacing w:before="163" w:after="163"/>
        <w:ind w:firstLine="482"/>
        <w:rPr>
          <w:rFonts w:cs="Times New Roman"/>
          <w:b/>
        </w:rPr>
      </w:pPr>
      <w:r>
        <w:rPr>
          <w:rFonts w:cs="Times New Roman"/>
          <w:b/>
        </w:rPr>
        <w:t>11、16路</w:t>
      </w:r>
    </w:p>
    <w:p>
      <w:pPr>
        <w:spacing w:before="163" w:after="163"/>
        <w:ind w:firstLine="480"/>
        <w:rPr>
          <w:rFonts w:cs="Times New Roman"/>
        </w:rPr>
      </w:pPr>
      <w:r>
        <w:rPr>
          <w:rFonts w:cs="Times New Roman"/>
        </w:rPr>
        <w:t>调整方式：延长线路至教育园区</w:t>
      </w:r>
      <w:r>
        <w:rPr>
          <w:rFonts w:hint="eastAsia" w:cs="Times New Roman"/>
        </w:rPr>
        <w:t>。</w:t>
      </w:r>
    </w:p>
    <w:p>
      <w:pPr>
        <w:spacing w:before="163" w:after="163"/>
        <w:ind w:firstLine="480"/>
        <w:rPr>
          <w:rFonts w:cs="Times New Roman"/>
        </w:rPr>
      </w:pPr>
      <w:r>
        <w:rPr>
          <w:rFonts w:cs="Times New Roman"/>
        </w:rPr>
        <w:t>线路长度：16.05公里</w:t>
      </w:r>
    </w:p>
    <w:p>
      <w:pPr>
        <w:spacing w:before="163" w:after="163"/>
        <w:ind w:firstLine="480"/>
        <w:rPr>
          <w:rFonts w:cs="Times New Roman"/>
        </w:rPr>
      </w:pPr>
      <w:r>
        <w:rPr>
          <w:rFonts w:cs="Times New Roman"/>
        </w:rPr>
        <w:t>调整理由：16路公交作为资阳市公交系统中比较重要的支线线路串联了城北教育园区、中心老城区以及城南工业园区，满足了新老城区之间乘客的出行需求，其通过站点客流较大，因此，在对16路公交线路做基本保留的基础上适当延长16路至教育园区站。</w:t>
      </w:r>
    </w:p>
    <w:p>
      <w:pPr>
        <w:spacing w:before="163" w:after="163"/>
        <w:ind w:firstLine="482"/>
        <w:rPr>
          <w:rFonts w:cs="Times New Roman"/>
          <w:b/>
        </w:rPr>
      </w:pPr>
      <w:r>
        <w:rPr>
          <w:rFonts w:cs="Times New Roman"/>
          <w:b/>
        </w:rPr>
        <w:t>12、17路</w:t>
      </w:r>
    </w:p>
    <w:p>
      <w:pPr>
        <w:spacing w:before="163" w:after="163"/>
        <w:ind w:firstLine="480"/>
        <w:rPr>
          <w:rFonts w:cs="Times New Roman"/>
        </w:rPr>
      </w:pPr>
      <w:r>
        <w:rPr>
          <w:rFonts w:cs="Times New Roman"/>
        </w:rPr>
        <w:t>调整方式：延长线路至城东高铁站</w:t>
      </w:r>
      <w:r>
        <w:rPr>
          <w:rFonts w:hint="eastAsia" w:cs="Times New Roman"/>
        </w:rPr>
        <w:t>。</w:t>
      </w:r>
    </w:p>
    <w:p>
      <w:pPr>
        <w:spacing w:before="163" w:after="163"/>
        <w:ind w:firstLine="480"/>
        <w:rPr>
          <w:rFonts w:cs="Times New Roman"/>
        </w:rPr>
      </w:pPr>
      <w:r>
        <w:rPr>
          <w:rFonts w:cs="Times New Roman"/>
        </w:rPr>
        <w:t>线路长度：14.15公里</w:t>
      </w:r>
    </w:p>
    <w:p>
      <w:pPr>
        <w:spacing w:before="163" w:after="163"/>
        <w:ind w:firstLine="480"/>
        <w:rPr>
          <w:rFonts w:cs="Times New Roman"/>
        </w:rPr>
      </w:pPr>
      <w:r>
        <w:rPr>
          <w:rFonts w:cs="Times New Roman"/>
        </w:rPr>
        <w:t>调整理由：近期规划中17路公交线路长度适中，在中远期沱四桥建成通车以后可以适当将17路公交延长至城东高铁站。</w:t>
      </w:r>
    </w:p>
    <w:p>
      <w:pPr>
        <w:spacing w:before="163" w:after="163"/>
        <w:ind w:firstLine="482"/>
        <w:rPr>
          <w:rFonts w:cs="Times New Roman"/>
          <w:b/>
        </w:rPr>
      </w:pPr>
      <w:r>
        <w:rPr>
          <w:rFonts w:cs="Times New Roman"/>
          <w:b/>
        </w:rPr>
        <w:t>13、18路</w:t>
      </w:r>
    </w:p>
    <w:p>
      <w:pPr>
        <w:spacing w:before="163" w:after="163"/>
        <w:ind w:firstLine="480"/>
        <w:rPr>
          <w:rFonts w:cs="Times New Roman"/>
        </w:rPr>
      </w:pPr>
      <w:r>
        <w:rPr>
          <w:rFonts w:cs="Times New Roman"/>
        </w:rPr>
        <w:t>调整方式：保留</w:t>
      </w:r>
      <w:r>
        <w:rPr>
          <w:rFonts w:hint="eastAsia" w:cs="Times New Roman"/>
        </w:rPr>
        <w:t>。</w:t>
      </w:r>
    </w:p>
    <w:p>
      <w:pPr>
        <w:spacing w:before="163" w:after="163"/>
        <w:ind w:firstLine="480"/>
        <w:rPr>
          <w:rFonts w:cs="Times New Roman"/>
        </w:rPr>
      </w:pPr>
      <w:r>
        <w:rPr>
          <w:rFonts w:cs="Times New Roman"/>
        </w:rPr>
        <w:t>线路长度：</w:t>
      </w:r>
      <w:r>
        <w:rPr>
          <w:rFonts w:hint="eastAsia" w:cs="Times New Roman"/>
        </w:rPr>
        <w:t>1</w:t>
      </w:r>
      <w:r>
        <w:rPr>
          <w:rFonts w:cs="Times New Roman"/>
        </w:rPr>
        <w:t>6.15公里</w:t>
      </w:r>
    </w:p>
    <w:p>
      <w:pPr>
        <w:spacing w:before="163" w:after="163"/>
        <w:ind w:firstLine="480"/>
        <w:rPr>
          <w:rFonts w:cs="Times New Roman"/>
        </w:rPr>
      </w:pPr>
      <w:r>
        <w:rPr>
          <w:rFonts w:cs="Times New Roman"/>
        </w:rPr>
        <w:t>调整理由：18路作为支线公交线路，期线路长度合理，并且串联了城南工业区、汽车客运中心、沱东新区以及城东高铁站，能够满足不同片区之间的居民的出行需求，因此中远期阶段将对18路公交进行保留。</w:t>
      </w:r>
    </w:p>
    <w:p>
      <w:pPr>
        <w:spacing w:before="163" w:after="163"/>
        <w:ind w:firstLine="482"/>
        <w:rPr>
          <w:rFonts w:cs="Times New Roman"/>
          <w:b/>
        </w:rPr>
      </w:pPr>
      <w:r>
        <w:rPr>
          <w:rFonts w:cs="Times New Roman"/>
          <w:b/>
        </w:rPr>
        <w:t>14、19路（新增）</w:t>
      </w:r>
    </w:p>
    <w:p>
      <w:pPr>
        <w:spacing w:before="163" w:after="163"/>
        <w:ind w:firstLine="480"/>
        <w:rPr>
          <w:rFonts w:cs="Times New Roman"/>
        </w:rPr>
      </w:pPr>
      <w:r>
        <w:rPr>
          <w:rFonts w:cs="Times New Roman"/>
        </w:rPr>
        <w:t>线路走向：四川现代—汽车客运中心—侯家坪派出所—侯家坪富友公司—魏家湾</w:t>
      </w:r>
    </w:p>
    <w:p>
      <w:pPr>
        <w:spacing w:before="163" w:after="163"/>
        <w:ind w:firstLine="480"/>
        <w:rPr>
          <w:rFonts w:cs="Times New Roman"/>
        </w:rPr>
      </w:pPr>
      <w:r>
        <w:rPr>
          <w:rFonts w:cs="Times New Roman"/>
        </w:rPr>
        <w:t>线路长度：15.07公里</w:t>
      </w:r>
    </w:p>
    <w:p>
      <w:pPr>
        <w:spacing w:before="163" w:after="163"/>
        <w:ind w:firstLine="480"/>
        <w:rPr>
          <w:rFonts w:cs="Times New Roman"/>
        </w:rPr>
      </w:pPr>
      <w:r>
        <w:rPr>
          <w:rFonts w:cs="Times New Roman"/>
        </w:rPr>
        <w:t>新增理由：新增19路公交一方面可以增加资阳公交的可达性，另一方面可以使得沱东新区以及城南片区的联系更加紧密、交通换乘更加便捷。</w:t>
      </w:r>
    </w:p>
    <w:p>
      <w:pPr>
        <w:spacing w:before="163" w:after="163"/>
        <w:ind w:firstLine="482"/>
        <w:rPr>
          <w:rFonts w:cs="Times New Roman"/>
          <w:b/>
        </w:rPr>
      </w:pPr>
      <w:r>
        <w:rPr>
          <w:rFonts w:cs="Times New Roman"/>
          <w:b/>
        </w:rPr>
        <w:t>（4）公交中远期线网规划</w:t>
      </w:r>
    </w:p>
    <w:p>
      <w:pPr>
        <w:spacing w:before="163" w:after="163"/>
        <w:ind w:firstLine="480"/>
        <w:rPr>
          <w:rFonts w:cs="Times New Roman"/>
        </w:rPr>
      </w:pPr>
      <w:r>
        <w:rPr>
          <w:rFonts w:cs="Times New Roman"/>
        </w:rPr>
        <w:t>通过汇总资阳市中远期公交快线规划、干线规划以及支线规划，得到资阳市公交线网中远期规划如图5-8和表5-2所示：</w:t>
      </w:r>
    </w:p>
    <w:p>
      <w:pPr>
        <w:adjustRightInd/>
        <w:snapToGrid/>
        <w:spacing w:before="0" w:after="0" w:line="240" w:lineRule="auto"/>
        <w:ind w:firstLine="0" w:firstLineChars="0"/>
        <w:jc w:val="center"/>
        <w:rPr>
          <w:rFonts w:cs="Times New Roman"/>
          <w:szCs w:val="24"/>
        </w:rPr>
      </w:pPr>
      <w:r>
        <w:drawing>
          <wp:inline distT="0" distB="0" distL="0" distR="0">
            <wp:extent cx="4319905" cy="6430010"/>
            <wp:effectExtent l="0" t="0" r="4445"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73"/>
                    <a:stretch>
                      <a:fillRect/>
                    </a:stretch>
                  </pic:blipFill>
                  <pic:spPr>
                    <a:xfrm>
                      <a:off x="0" y="0"/>
                      <a:ext cx="4320000" cy="6430590"/>
                    </a:xfrm>
                    <a:prstGeom prst="rect">
                      <a:avLst/>
                    </a:prstGeom>
                  </pic:spPr>
                </pic:pic>
              </a:graphicData>
            </a:graphic>
          </wp:inline>
        </w:drawing>
      </w:r>
    </w:p>
    <w:p>
      <w:pPr>
        <w:pStyle w:val="117"/>
      </w:pPr>
      <w:r>
        <w:t>图5-8  资阳市中远期公交线网规划图</w:t>
      </w:r>
    </w:p>
    <w:p>
      <w:pPr>
        <w:adjustRightInd/>
        <w:snapToGrid/>
        <w:spacing w:before="0" w:after="0" w:line="240" w:lineRule="auto"/>
        <w:ind w:firstLine="0" w:firstLineChars="0"/>
        <w:jc w:val="left"/>
        <w:rPr>
          <w:rFonts w:eastAsia="黑体" w:cs="宋体"/>
          <w:bCs/>
          <w:kern w:val="2"/>
          <w:szCs w:val="21"/>
        </w:rPr>
      </w:pPr>
      <w:r>
        <w:br w:type="page"/>
      </w:r>
    </w:p>
    <w:p>
      <w:pPr>
        <w:pStyle w:val="113"/>
        <w:spacing w:before="163" w:after="163"/>
      </w:pPr>
      <w:r>
        <w:t>表5-2  资阳市中远期公交线路一览表</w:t>
      </w:r>
    </w:p>
    <w:tbl>
      <w:tblPr>
        <w:tblStyle w:val="94"/>
        <w:tblW w:w="8306"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15"/>
        <w:gridCol w:w="1253"/>
        <w:gridCol w:w="4820"/>
        <w:gridCol w:w="1218"/>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tcBorders>
              <w:bottom w:val="single" w:color="auto" w:sz="12" w:space="0"/>
            </w:tcBorders>
            <w:shd w:val="clear" w:color="000000" w:fill="CCC0D9"/>
            <w:vAlign w:val="center"/>
          </w:tcPr>
          <w:p>
            <w:pPr>
              <w:adjustRightInd/>
              <w:snapToGrid/>
              <w:spacing w:before="0" w:after="0" w:line="240" w:lineRule="auto"/>
              <w:ind w:firstLine="34" w:firstLineChars="0"/>
              <w:jc w:val="center"/>
              <w:rPr>
                <w:rFonts w:cs="Times New Roman"/>
                <w:b/>
                <w:bCs/>
                <w:sz w:val="21"/>
                <w:szCs w:val="21"/>
              </w:rPr>
            </w:pPr>
            <w:r>
              <w:rPr>
                <w:rFonts w:cs="Times New Roman"/>
                <w:b/>
                <w:bCs/>
                <w:sz w:val="21"/>
                <w:szCs w:val="21"/>
              </w:rPr>
              <w:t>线路类别</w:t>
            </w:r>
          </w:p>
        </w:tc>
        <w:tc>
          <w:tcPr>
            <w:tcW w:w="1253" w:type="dxa"/>
            <w:tcBorders>
              <w:bottom w:val="single" w:color="auto" w:sz="12" w:space="0"/>
            </w:tcBorders>
            <w:shd w:val="clear" w:color="000000" w:fill="CCC0D9"/>
            <w:vAlign w:val="center"/>
          </w:tcPr>
          <w:p>
            <w:pPr>
              <w:adjustRightInd/>
              <w:snapToGrid/>
              <w:spacing w:before="0" w:after="0" w:line="240" w:lineRule="auto"/>
              <w:ind w:firstLine="0" w:firstLineChars="0"/>
              <w:jc w:val="center"/>
              <w:rPr>
                <w:rFonts w:cs="Times New Roman"/>
                <w:b/>
                <w:bCs/>
                <w:sz w:val="21"/>
                <w:szCs w:val="21"/>
              </w:rPr>
            </w:pPr>
            <w:r>
              <w:rPr>
                <w:rFonts w:cs="Times New Roman"/>
                <w:b/>
                <w:bCs/>
                <w:sz w:val="21"/>
                <w:szCs w:val="21"/>
              </w:rPr>
              <w:t>编号</w:t>
            </w:r>
          </w:p>
        </w:tc>
        <w:tc>
          <w:tcPr>
            <w:tcW w:w="4820" w:type="dxa"/>
            <w:tcBorders>
              <w:bottom w:val="single" w:color="auto" w:sz="12" w:space="0"/>
            </w:tcBorders>
            <w:shd w:val="clear" w:color="000000" w:fill="CCC0D9"/>
            <w:vAlign w:val="center"/>
          </w:tcPr>
          <w:p>
            <w:pPr>
              <w:adjustRightInd/>
              <w:snapToGrid/>
              <w:spacing w:before="0" w:after="0" w:line="240" w:lineRule="auto"/>
              <w:ind w:firstLine="0" w:firstLineChars="0"/>
              <w:jc w:val="center"/>
              <w:rPr>
                <w:rFonts w:cs="Times New Roman"/>
                <w:b/>
                <w:bCs/>
                <w:sz w:val="21"/>
                <w:szCs w:val="21"/>
              </w:rPr>
            </w:pPr>
            <w:r>
              <w:rPr>
                <w:rFonts w:cs="Times New Roman"/>
                <w:b/>
                <w:bCs/>
                <w:sz w:val="21"/>
                <w:szCs w:val="21"/>
              </w:rPr>
              <w:t>起讫点</w:t>
            </w:r>
          </w:p>
        </w:tc>
        <w:tc>
          <w:tcPr>
            <w:tcW w:w="1218" w:type="dxa"/>
            <w:tcBorders>
              <w:bottom w:val="single" w:color="auto" w:sz="12" w:space="0"/>
            </w:tcBorders>
            <w:shd w:val="clear" w:color="000000" w:fill="CCC0D9"/>
            <w:vAlign w:val="center"/>
          </w:tcPr>
          <w:p>
            <w:pPr>
              <w:adjustRightInd/>
              <w:snapToGrid/>
              <w:spacing w:before="0" w:after="0" w:line="240" w:lineRule="auto"/>
              <w:ind w:firstLine="0" w:firstLineChars="0"/>
              <w:jc w:val="center"/>
              <w:rPr>
                <w:rFonts w:cs="Times New Roman"/>
                <w:b/>
                <w:bCs/>
                <w:sz w:val="21"/>
                <w:szCs w:val="21"/>
              </w:rPr>
            </w:pPr>
            <w:r>
              <w:rPr>
                <w:rFonts w:cs="Times New Roman"/>
                <w:b/>
                <w:bCs/>
                <w:sz w:val="21"/>
                <w:szCs w:val="21"/>
              </w:rPr>
              <w:t>线路长度</w:t>
            </w:r>
          </w:p>
          <w:p>
            <w:pPr>
              <w:adjustRightInd/>
              <w:snapToGrid/>
              <w:spacing w:before="0" w:after="0" w:line="240" w:lineRule="auto"/>
              <w:ind w:firstLine="0" w:firstLineChars="0"/>
              <w:jc w:val="center"/>
              <w:rPr>
                <w:rFonts w:cs="Times New Roman"/>
                <w:b/>
                <w:bCs/>
                <w:sz w:val="21"/>
                <w:szCs w:val="21"/>
              </w:rPr>
            </w:pPr>
            <w:r>
              <w:rPr>
                <w:rFonts w:cs="Times New Roman"/>
                <w:b/>
                <w:bCs/>
                <w:sz w:val="21"/>
                <w:szCs w:val="21"/>
              </w:rPr>
              <w:t>（公里）</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restart"/>
            <w:tcBorders>
              <w:top w:val="single" w:color="auto" w:sz="12" w:space="0"/>
            </w:tcBorders>
            <w:shd w:val="clear" w:color="auto" w:fill="auto"/>
            <w:vAlign w:val="center"/>
          </w:tcPr>
          <w:p>
            <w:pPr>
              <w:adjustRightInd/>
              <w:snapToGrid/>
              <w:spacing w:before="0" w:after="0" w:line="240" w:lineRule="auto"/>
              <w:ind w:firstLine="34" w:firstLineChars="0"/>
              <w:jc w:val="center"/>
              <w:rPr>
                <w:rFonts w:cs="Times New Roman"/>
                <w:sz w:val="21"/>
                <w:szCs w:val="21"/>
              </w:rPr>
            </w:pPr>
            <w:r>
              <w:rPr>
                <w:rFonts w:cs="Times New Roman"/>
                <w:sz w:val="21"/>
                <w:szCs w:val="21"/>
              </w:rPr>
              <w:t>快线</w:t>
            </w:r>
          </w:p>
        </w:tc>
        <w:tc>
          <w:tcPr>
            <w:tcW w:w="1253" w:type="dxa"/>
            <w:tcBorders>
              <w:top w:val="single" w:color="auto" w:sz="12" w:space="0"/>
            </w:tcBorders>
            <w:shd w:val="clear" w:color="auto" w:fill="auto"/>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高铁快线1</w:t>
            </w:r>
          </w:p>
        </w:tc>
        <w:tc>
          <w:tcPr>
            <w:tcW w:w="4820" w:type="dxa"/>
            <w:tcBorders>
              <w:top w:val="single" w:color="auto" w:sz="12" w:space="0"/>
            </w:tcBorders>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资阳西站—城东高铁站</w:t>
            </w:r>
          </w:p>
        </w:tc>
        <w:tc>
          <w:tcPr>
            <w:tcW w:w="1218" w:type="dxa"/>
            <w:tcBorders>
              <w:top w:val="single" w:color="auto" w:sz="12" w:space="0"/>
            </w:tcBorders>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13.43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高铁快线2</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9.</w:t>
            </w:r>
            <w:r>
              <w:rPr>
                <w:rFonts w:cs="Times New Roman"/>
                <w:sz w:val="21"/>
                <w:szCs w:val="21"/>
              </w:rPr>
              <w:t>23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高铁快线3</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临空经济区地铁站—城东高铁站</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12.03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高铁快线4</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资阳西站—城东高铁站</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18.46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1015" w:type="dxa"/>
            <w:vMerge w:val="restart"/>
            <w:shd w:val="clear" w:color="auto" w:fill="auto"/>
            <w:vAlign w:val="center"/>
          </w:tcPr>
          <w:p>
            <w:pPr>
              <w:adjustRightInd/>
              <w:snapToGrid/>
              <w:spacing w:before="0" w:after="0" w:line="240" w:lineRule="auto"/>
              <w:ind w:firstLine="34" w:firstLineChars="0"/>
              <w:jc w:val="center"/>
              <w:rPr>
                <w:rFonts w:cs="Times New Roman"/>
                <w:sz w:val="21"/>
                <w:szCs w:val="21"/>
              </w:rPr>
            </w:pPr>
            <w:r>
              <w:rPr>
                <w:rFonts w:cs="Times New Roman"/>
                <w:sz w:val="21"/>
                <w:szCs w:val="21"/>
              </w:rPr>
              <w:t>干线</w:t>
            </w: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汽车客运中心—清泉</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12.1</w:t>
            </w:r>
            <w:r>
              <w:rPr>
                <w:rFonts w:hint="eastAsia" w:cs="Times New Roman"/>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3</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教育园区—四川现代</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16.50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6</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成渝高速路口公交站—马站</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13.95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34"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7</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教育园区—沱江新城—教育园区</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18.12</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restart"/>
            <w:shd w:val="clear" w:color="auto" w:fill="auto"/>
            <w:vAlign w:val="center"/>
          </w:tcPr>
          <w:p>
            <w:pPr>
              <w:adjustRightInd/>
              <w:snapToGrid/>
              <w:spacing w:before="0" w:after="0" w:line="240" w:lineRule="auto"/>
              <w:ind w:firstLine="34" w:firstLineChars="0"/>
              <w:jc w:val="center"/>
              <w:rPr>
                <w:rFonts w:cs="Times New Roman"/>
                <w:sz w:val="21"/>
                <w:szCs w:val="21"/>
              </w:rPr>
            </w:pPr>
            <w:r>
              <w:rPr>
                <w:rFonts w:cs="Times New Roman"/>
                <w:sz w:val="21"/>
                <w:szCs w:val="21"/>
              </w:rPr>
              <w:t>支线</w:t>
            </w: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2</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成渝高速路口公交站—成渝高速路口公交站（环线）</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1</w:t>
            </w:r>
            <w:r>
              <w:rPr>
                <w:rFonts w:cs="Times New Roman"/>
                <w:sz w:val="21"/>
                <w:szCs w:val="21"/>
              </w:rPr>
              <w:t>7.11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4</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5</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汽车客运中心—魏家湾</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15.08</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8</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侯家坪派出所—教育园区</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13.33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9</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凤岭公园—四川现代</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17.45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10</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成渝高速路口公交站—清巍汽车</w:t>
            </w:r>
            <w:r>
              <w:rPr>
                <w:rFonts w:cs="Times New Roman" w:eastAsiaTheme="majorEastAsia"/>
                <w:sz w:val="21"/>
                <w:szCs w:val="21"/>
              </w:rPr>
              <w:t>4S</w:t>
            </w:r>
            <w:r>
              <w:rPr>
                <w:rFonts w:cs="Times New Roman" w:asciiTheme="majorEastAsia" w:hAnsiTheme="majorEastAsia" w:eastAsiaTheme="majorEastAsia"/>
                <w:sz w:val="21"/>
                <w:szCs w:val="21"/>
              </w:rPr>
              <w:t>商城</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15.44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11</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沱江新城—临空</w:t>
            </w:r>
            <w:r>
              <w:rPr>
                <w:rFonts w:hint="eastAsia" w:cs="Times New Roman" w:asciiTheme="majorEastAsia" w:hAnsiTheme="majorEastAsia" w:eastAsiaTheme="majorEastAsia"/>
                <w:sz w:val="21"/>
                <w:szCs w:val="21"/>
              </w:rPr>
              <w:t>经济区地铁站</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17.27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hint="eastAsia" w:cs="Times New Roman"/>
                <w:sz w:val="21"/>
                <w:szCs w:val="21"/>
              </w:rPr>
              <w:t>1</w:t>
            </w:r>
            <w:r>
              <w:rPr>
                <w:rFonts w:cs="Times New Roman"/>
                <w:sz w:val="21"/>
                <w:szCs w:val="21"/>
              </w:rPr>
              <w:t>2</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hint="eastAsia" w:cs="Times New Roman" w:asciiTheme="majorEastAsia" w:hAnsiTheme="majorEastAsia" w:eastAsiaTheme="majorEastAsia"/>
                <w:sz w:val="21"/>
                <w:szCs w:val="21"/>
              </w:rPr>
              <w:t>成渝高速路口公交站—莲花办事处</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6</w:t>
            </w:r>
            <w:r>
              <w:rPr>
                <w:rFonts w:cs="Times New Roman"/>
                <w:sz w:val="21"/>
                <w:szCs w:val="21"/>
              </w:rPr>
              <w:t>.36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14</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城东高铁站—教育园区</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15.63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15</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清泉—汽车客运中心</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16</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教育园区—侯家坪富友公司</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16.05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17</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侯家坪派出所—城东高铁站</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14.15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18</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城东高铁站—四川现代</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16.15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atLeast"/>
        </w:trPr>
        <w:tc>
          <w:tcPr>
            <w:tcW w:w="1015" w:type="dxa"/>
            <w:vMerge w:val="continue"/>
            <w:shd w:val="clear" w:color="auto" w:fill="auto"/>
            <w:vAlign w:val="center"/>
          </w:tcPr>
          <w:p>
            <w:pPr>
              <w:adjustRightInd/>
              <w:snapToGrid/>
              <w:spacing w:before="0" w:after="0" w:line="240" w:lineRule="auto"/>
              <w:ind w:firstLine="480" w:firstLineChars="0"/>
              <w:jc w:val="center"/>
              <w:rPr>
                <w:rFonts w:cs="Times New Roman"/>
                <w:sz w:val="21"/>
                <w:szCs w:val="21"/>
              </w:rPr>
            </w:pPr>
          </w:p>
        </w:tc>
        <w:tc>
          <w:tcPr>
            <w:tcW w:w="1253" w:type="dxa"/>
            <w:shd w:val="clear" w:color="auto" w:fill="auto"/>
            <w:vAlign w:val="center"/>
          </w:tcPr>
          <w:p>
            <w:pPr>
              <w:adjustRightInd/>
              <w:snapToGrid/>
              <w:spacing w:before="0" w:after="0" w:line="240" w:lineRule="auto"/>
              <w:ind w:firstLine="11" w:firstLineChars="0"/>
              <w:jc w:val="center"/>
              <w:rPr>
                <w:rFonts w:cs="Times New Roman"/>
                <w:sz w:val="21"/>
                <w:szCs w:val="21"/>
              </w:rPr>
            </w:pPr>
            <w:r>
              <w:rPr>
                <w:rFonts w:cs="Times New Roman"/>
                <w:sz w:val="21"/>
                <w:szCs w:val="21"/>
              </w:rPr>
              <w:t>19</w:t>
            </w:r>
          </w:p>
        </w:tc>
        <w:tc>
          <w:tcPr>
            <w:tcW w:w="4820" w:type="dxa"/>
            <w:shd w:val="clear" w:color="auto" w:fill="auto"/>
            <w:vAlign w:val="center"/>
          </w:tcPr>
          <w:p>
            <w:pPr>
              <w:adjustRightInd/>
              <w:snapToGrid/>
              <w:spacing w:before="0" w:after="0" w:line="240" w:lineRule="auto"/>
              <w:ind w:firstLine="0" w:firstLineChars="0"/>
              <w:jc w:val="center"/>
              <w:rPr>
                <w:rFonts w:cs="Times New Roman" w:asciiTheme="majorEastAsia" w:hAnsiTheme="majorEastAsia" w:eastAsiaTheme="majorEastAsia"/>
                <w:sz w:val="21"/>
                <w:szCs w:val="21"/>
              </w:rPr>
            </w:pPr>
            <w:r>
              <w:rPr>
                <w:rFonts w:cs="Times New Roman" w:asciiTheme="majorEastAsia" w:hAnsiTheme="majorEastAsia" w:eastAsiaTheme="majorEastAsia"/>
                <w:sz w:val="21"/>
                <w:szCs w:val="21"/>
              </w:rPr>
              <w:t>四川现代—魏家湾</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atLeast"/>
        </w:trPr>
        <w:tc>
          <w:tcPr>
            <w:tcW w:w="7088" w:type="dxa"/>
            <w:gridSpan w:val="3"/>
            <w:shd w:val="clear" w:color="auto" w:fill="auto"/>
            <w:vAlign w:val="center"/>
          </w:tcPr>
          <w:p>
            <w:pPr>
              <w:adjustRightInd/>
              <w:snapToGrid/>
              <w:spacing w:before="0" w:after="0" w:line="240" w:lineRule="auto"/>
              <w:ind w:firstLine="480" w:firstLineChars="0"/>
              <w:jc w:val="center"/>
              <w:rPr>
                <w:rFonts w:cs="Times New Roman"/>
                <w:sz w:val="21"/>
                <w:szCs w:val="21"/>
              </w:rPr>
            </w:pPr>
            <w:r>
              <w:rPr>
                <w:rFonts w:cs="Times New Roman"/>
                <w:sz w:val="21"/>
                <w:szCs w:val="21"/>
              </w:rPr>
              <w:t>总计</w:t>
            </w:r>
          </w:p>
        </w:tc>
        <w:tc>
          <w:tcPr>
            <w:tcW w:w="1218" w:type="dxa"/>
            <w:shd w:val="clear" w:color="auto" w:fill="auto"/>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3</w:t>
            </w:r>
            <w:r>
              <w:rPr>
                <w:rFonts w:cs="Times New Roman"/>
                <w:sz w:val="21"/>
                <w:szCs w:val="21"/>
              </w:rPr>
              <w:t>41.07</w:t>
            </w:r>
          </w:p>
        </w:tc>
      </w:tr>
    </w:tbl>
    <w:p>
      <w:pPr>
        <w:pStyle w:val="4"/>
        <w:rPr>
          <w:rFonts w:cs="Times New Roman"/>
        </w:rPr>
      </w:pPr>
      <w:r>
        <w:rPr>
          <w:rFonts w:cs="Times New Roman"/>
        </w:rPr>
        <w:br w:type="page"/>
      </w:r>
    </w:p>
    <w:bookmarkEnd w:id="51"/>
    <w:bookmarkEnd w:id="52"/>
    <w:bookmarkEnd w:id="53"/>
    <w:bookmarkEnd w:id="54"/>
    <w:bookmarkEnd w:id="55"/>
    <w:bookmarkEnd w:id="111"/>
    <w:p>
      <w:pPr>
        <w:pStyle w:val="2"/>
        <w:spacing w:before="163" w:after="163"/>
        <w:rPr>
          <w:rFonts w:ascii="宋体" w:hAnsi="宋体"/>
          <w:szCs w:val="24"/>
        </w:rPr>
      </w:pPr>
      <w:bookmarkStart w:id="112" w:name="_Toc503152841"/>
      <w:bookmarkStart w:id="113" w:name="_Toc24214"/>
      <w:bookmarkStart w:id="114" w:name="_Toc514171294"/>
      <w:bookmarkStart w:id="115" w:name="_Toc24097"/>
      <w:bookmarkStart w:id="116" w:name="_Toc518573706"/>
      <w:bookmarkStart w:id="117" w:name="_Toc198965471"/>
      <w:bookmarkStart w:id="118" w:name="_Toc347948415"/>
      <w:bookmarkStart w:id="119" w:name="_Toc196043791"/>
      <w:bookmarkStart w:id="120" w:name="_Toc196731050"/>
      <w:r>
        <w:rPr>
          <w:rFonts w:hint="eastAsia"/>
        </w:rPr>
        <w:t>第6章  城市公交枢纽和场站布局规划</w:t>
      </w:r>
      <w:bookmarkEnd w:id="112"/>
      <w:bookmarkEnd w:id="113"/>
      <w:bookmarkEnd w:id="114"/>
    </w:p>
    <w:p>
      <w:pPr>
        <w:pStyle w:val="4"/>
      </w:pPr>
      <w:bookmarkStart w:id="121" w:name="_Toc503152842"/>
      <w:bookmarkStart w:id="122" w:name="_Toc1502"/>
      <w:bookmarkStart w:id="123" w:name="_Toc372140073"/>
      <w:bookmarkStart w:id="124" w:name="_Toc514171295"/>
      <w:r>
        <w:rPr>
          <w:rFonts w:hint="eastAsia"/>
        </w:rPr>
        <w:t>6.</w:t>
      </w:r>
      <w:bookmarkEnd w:id="121"/>
      <w:bookmarkEnd w:id="122"/>
      <w:bookmarkEnd w:id="123"/>
      <w:r>
        <w:t xml:space="preserve">1 </w:t>
      </w:r>
      <w:r>
        <w:rPr>
          <w:rFonts w:hint="eastAsia"/>
        </w:rPr>
        <w:t>常规公交枢纽站规划</w:t>
      </w:r>
      <w:bookmarkEnd w:id="124"/>
    </w:p>
    <w:p>
      <w:pPr>
        <w:spacing w:before="0"/>
        <w:ind w:firstLine="480"/>
        <w:rPr>
          <w:rFonts w:ascii="宋体" w:hAnsi="宋体"/>
        </w:rPr>
      </w:pPr>
      <w:r>
        <w:rPr>
          <w:rFonts w:hint="eastAsia" w:ascii="宋体" w:hAnsi="宋体"/>
        </w:rPr>
        <w:t>公交枢纽站是为公交线路之间、公共交通与其他交通方式之间客流转换衔接而设置的综合性客运服务设施。对外交通枢纽是市内公共交通与市际交通的联系点。它往往是一个城市十分重要的客流集散地，每天集散大量的人流和车流。市内交通枢纽一般是城市区域内的客流集散点，主要是公共交通之间或公共交通与其他交通方式之间的换乘场所。</w:t>
      </w:r>
    </w:p>
    <w:p>
      <w:pPr>
        <w:pStyle w:val="5"/>
        <w:spacing w:before="163" w:after="163"/>
        <w:rPr>
          <w:rFonts w:cs="Times New Roman"/>
        </w:rPr>
      </w:pPr>
      <w:bookmarkStart w:id="125" w:name="_Toc353059413"/>
      <w:bookmarkStart w:id="126" w:name="_Toc372140074"/>
      <w:bookmarkStart w:id="127" w:name="_Toc503152843"/>
      <w:bookmarkStart w:id="128" w:name="_Toc514171296"/>
      <w:r>
        <w:rPr>
          <w:rFonts w:hint="eastAsia" w:cs="Times New Roman"/>
        </w:rPr>
        <w:t>6.</w:t>
      </w:r>
      <w:bookmarkEnd w:id="125"/>
      <w:bookmarkEnd w:id="126"/>
      <w:bookmarkEnd w:id="127"/>
      <w:r>
        <w:rPr>
          <w:rFonts w:cs="Times New Roman"/>
        </w:rPr>
        <w:t>1</w:t>
      </w:r>
      <w:r>
        <w:rPr>
          <w:rFonts w:hint="eastAsia" w:cs="Times New Roman"/>
        </w:rPr>
        <w:t>.1 公交枢纽站设置原则</w:t>
      </w:r>
      <w:bookmarkEnd w:id="128"/>
    </w:p>
    <w:p>
      <w:pPr>
        <w:spacing w:before="163" w:after="163"/>
        <w:ind w:firstLine="480"/>
      </w:pPr>
      <w:r>
        <w:rPr>
          <w:rFonts w:hint="eastAsia"/>
        </w:rPr>
        <w:t>（1）协调性原则</w:t>
      </w:r>
    </w:p>
    <w:p>
      <w:pPr>
        <w:spacing w:before="163" w:after="163"/>
        <w:ind w:firstLine="480"/>
      </w:pPr>
      <w:r>
        <w:rPr>
          <w:rFonts w:hint="eastAsia"/>
        </w:rPr>
        <w:t>实现各种交通方式的协调发展，优先发展公共交通，形成有序竞争的局面，充分发挥各种交通方式的客观优势和内在潜力，通过良好的市场竞争环境来满足社会经济发展对交通的需要。</w:t>
      </w:r>
    </w:p>
    <w:p>
      <w:pPr>
        <w:spacing w:before="163" w:after="163"/>
        <w:ind w:firstLine="480"/>
      </w:pPr>
      <w:r>
        <w:rPr>
          <w:rFonts w:hint="eastAsia"/>
        </w:rPr>
        <w:t>（2）科学性原则</w:t>
      </w:r>
    </w:p>
    <w:p>
      <w:pPr>
        <w:spacing w:before="163" w:after="163"/>
        <w:ind w:firstLine="480"/>
      </w:pPr>
      <w:r>
        <w:rPr>
          <w:rFonts w:hint="eastAsia"/>
        </w:rPr>
        <w:t>在认真分析资阳市经济发展水平、产业布局等特点，分析调查客流量的大小、分布和辐射范围，以及分析未来城市经济与交通发展趋势的基础上，科学规划公共交通枢纽的布局选址。</w:t>
      </w:r>
    </w:p>
    <w:p>
      <w:pPr>
        <w:spacing w:before="163" w:after="163"/>
        <w:ind w:firstLine="480"/>
      </w:pPr>
      <w:r>
        <w:rPr>
          <w:rFonts w:hint="eastAsia"/>
        </w:rPr>
        <w:t>（3）统筹性原则</w:t>
      </w:r>
    </w:p>
    <w:p>
      <w:pPr>
        <w:spacing w:before="163" w:after="163"/>
        <w:ind w:firstLine="480"/>
      </w:pPr>
      <w:r>
        <w:rPr>
          <w:rFonts w:hint="eastAsia"/>
        </w:rPr>
        <w:t>布局规划中要力求节约用地，提高资源利用率；减少污染，加强环境保护，努力改善生态；在适应市场需求的基础上适度超前，充分预留发展空间。同时，坚持统筹规划、多元建设、量力而行。正确处理建设与管理、建设与运营的关系，使基础设施建设、运营管理和客运市场协调发展。</w:t>
      </w:r>
    </w:p>
    <w:p>
      <w:pPr>
        <w:spacing w:before="163" w:after="163"/>
        <w:ind w:firstLine="480"/>
      </w:pPr>
      <w:r>
        <w:rPr>
          <w:rFonts w:hint="eastAsia"/>
        </w:rPr>
        <w:t>（4）实事求是和适度超前相结合原则</w:t>
      </w:r>
    </w:p>
    <w:p>
      <w:pPr>
        <w:spacing w:before="163" w:after="163"/>
        <w:ind w:firstLine="480"/>
      </w:pPr>
      <w:r>
        <w:rPr>
          <w:rFonts w:hint="eastAsia"/>
        </w:rPr>
        <w:t>公共交通枢纽布局规划要立足所选区域边缘</w:t>
      </w:r>
      <w:r>
        <w:t>片区</w:t>
      </w:r>
      <w:r>
        <w:rPr>
          <w:rFonts w:hint="eastAsia"/>
        </w:rPr>
        <w:t>式的结构特征，在布局选址上，既要考虑现阶段居民出行的便利性，又要考虑有长远发展的空间，避免近期内被密集的居住区和商业区所包围。</w:t>
      </w:r>
    </w:p>
    <w:p>
      <w:pPr>
        <w:spacing w:before="163" w:after="163"/>
        <w:ind w:firstLine="480"/>
      </w:pPr>
      <w:r>
        <w:rPr>
          <w:rFonts w:hint="eastAsia"/>
        </w:rPr>
        <w:t>（5）可持续发展原则</w:t>
      </w:r>
    </w:p>
    <w:p>
      <w:pPr>
        <w:spacing w:before="163" w:after="163"/>
        <w:ind w:firstLine="480"/>
      </w:pPr>
      <w:r>
        <w:rPr>
          <w:rFonts w:hint="eastAsia"/>
        </w:rPr>
        <w:t>尽可能减小换乘枢纽设施建设对地质结构、生态环境的影响，充分考虑交通换乘枢纽的建设与周边环境相协调，使其成为具有资阳市文化特色的城市景观。</w:t>
      </w:r>
    </w:p>
    <w:p>
      <w:pPr>
        <w:spacing w:before="163" w:after="163"/>
        <w:ind w:firstLine="480"/>
      </w:pPr>
      <w:r>
        <w:rPr>
          <w:rFonts w:hint="eastAsia"/>
        </w:rPr>
        <w:t>（6）“以人为本”原则</w:t>
      </w:r>
    </w:p>
    <w:p>
      <w:pPr>
        <w:spacing w:before="163" w:after="163"/>
        <w:ind w:firstLine="480"/>
      </w:pPr>
      <w:r>
        <w:rPr>
          <w:rFonts w:hint="eastAsia"/>
        </w:rPr>
        <w:t>公共交通枢纽布局规划应充分体现“以人为本”的基本原则，以“零距离换乘”为目标，以提高乘客出行换乘的方便性和舒适性为出发点，通过人性化的诱导标志等设施，为乘客提供“方便、快捷、舒适”的换乘服务。</w:t>
      </w:r>
    </w:p>
    <w:p>
      <w:pPr>
        <w:pStyle w:val="5"/>
        <w:spacing w:before="163" w:after="163"/>
        <w:rPr>
          <w:rFonts w:cs="Times New Roman"/>
        </w:rPr>
      </w:pPr>
      <w:bookmarkStart w:id="129" w:name="_Toc372140075"/>
      <w:bookmarkStart w:id="130" w:name="_Toc353059414"/>
      <w:bookmarkStart w:id="131" w:name="_Toc503152844"/>
      <w:bookmarkStart w:id="132" w:name="_Toc514171297"/>
      <w:r>
        <w:rPr>
          <w:rFonts w:hint="eastAsia" w:cs="Times New Roman"/>
        </w:rPr>
        <w:t>6.</w:t>
      </w:r>
      <w:bookmarkEnd w:id="129"/>
      <w:bookmarkEnd w:id="130"/>
      <w:bookmarkEnd w:id="131"/>
      <w:r>
        <w:rPr>
          <w:rFonts w:cs="Times New Roman"/>
        </w:rPr>
        <w:t>1</w:t>
      </w:r>
      <w:r>
        <w:rPr>
          <w:rFonts w:hint="eastAsia" w:cs="Times New Roman"/>
        </w:rPr>
        <w:t>.2 公交枢纽站布局规划成果</w:t>
      </w:r>
      <w:bookmarkEnd w:id="132"/>
    </w:p>
    <w:p>
      <w:pPr>
        <w:spacing w:before="0"/>
        <w:ind w:firstLine="482"/>
        <w:rPr>
          <w:rFonts w:cs="Times New Roman"/>
          <w:b/>
        </w:rPr>
      </w:pPr>
      <w:r>
        <w:rPr>
          <w:rFonts w:cs="Times New Roman"/>
          <w:b/>
        </w:rPr>
        <w:t>1</w:t>
      </w:r>
      <w:r>
        <w:rPr>
          <w:rFonts w:hint="eastAsia" w:cs="Times New Roman"/>
          <w:b/>
        </w:rPr>
        <w:t>、</w:t>
      </w:r>
      <w:r>
        <w:rPr>
          <w:rFonts w:cs="Times New Roman"/>
          <w:b/>
        </w:rPr>
        <w:t>公交枢纽站</w:t>
      </w:r>
    </w:p>
    <w:p>
      <w:pPr>
        <w:spacing w:before="163" w:after="163"/>
        <w:ind w:firstLine="480"/>
      </w:pPr>
      <w:bookmarkStart w:id="133" w:name="_Toc362543123"/>
      <w:r>
        <w:rPr>
          <w:rFonts w:hint="eastAsia"/>
        </w:rPr>
        <w:t>资阳城市公交枢纽分为市级公共交通枢纽和区级公共交通枢纽两级。</w:t>
      </w:r>
    </w:p>
    <w:p>
      <w:pPr>
        <w:spacing w:before="163" w:after="163"/>
        <w:ind w:firstLine="480"/>
      </w:pPr>
      <w:r>
        <w:rPr>
          <w:rFonts w:hint="eastAsia"/>
        </w:rPr>
        <w:t>市级公共交通枢纽是城市内外交通之间、城区内部公交骨干线路之间客流衔接转换的重要节点和市级功能中心公交客流的主要集疏点。市级公共交通枢纽一般位于城市大型对外客运场站、重要公交走廊的交汇点和城市主、次中心等处。</w:t>
      </w:r>
    </w:p>
    <w:p>
      <w:pPr>
        <w:spacing w:before="163" w:after="163"/>
        <w:ind w:firstLine="480"/>
      </w:pPr>
      <w:r>
        <w:rPr>
          <w:rFonts w:hint="eastAsia"/>
        </w:rPr>
        <w:t>区级公共交通枢纽布局于片区中心和相对次要的对外客运场站等处，服务于地区性客流的集散、衔接公交支线与公交干线，是周边地区公交线网和保障公交可达的关键节点。公交枢纽有公交停车、发车功能，有条件的宜考虑出租车及非机动车用地与换乘以及小汽车停车。</w:t>
      </w:r>
    </w:p>
    <w:p>
      <w:pPr>
        <w:pStyle w:val="113"/>
        <w:spacing w:before="163" w:after="163"/>
      </w:pPr>
      <w:r>
        <w:rPr>
          <w:rFonts w:hint="eastAsia"/>
        </w:rPr>
        <w:t>表</w:t>
      </w:r>
      <w:r>
        <w:t>6-</w:t>
      </w:r>
      <w:bookmarkEnd w:id="133"/>
      <w:r>
        <w:rPr>
          <w:rFonts w:hint="eastAsia"/>
        </w:rPr>
        <w:t>1</w:t>
      </w:r>
      <w:r>
        <w:t xml:space="preserve">  </w:t>
      </w:r>
      <w:r>
        <w:rPr>
          <w:rFonts w:hint="eastAsia"/>
        </w:rPr>
        <w:t>资阳市中心城区公交枢纽站规划一览表</w:t>
      </w:r>
    </w:p>
    <w:tbl>
      <w:tblPr>
        <w:tblStyle w:val="94"/>
        <w:tblW w:w="8306" w:type="dxa"/>
        <w:jc w:val="center"/>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479"/>
        <w:gridCol w:w="843"/>
        <w:gridCol w:w="1155"/>
        <w:gridCol w:w="1932"/>
        <w:gridCol w:w="883"/>
        <w:gridCol w:w="2015"/>
        <w:gridCol w:w="999"/>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9"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等级</w:t>
            </w:r>
          </w:p>
        </w:tc>
        <w:tc>
          <w:tcPr>
            <w:tcW w:w="843"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名称</w:t>
            </w:r>
          </w:p>
        </w:tc>
        <w:tc>
          <w:tcPr>
            <w:tcW w:w="1155"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规划年限</w:t>
            </w:r>
          </w:p>
        </w:tc>
        <w:tc>
          <w:tcPr>
            <w:tcW w:w="1932"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特征</w:t>
            </w:r>
          </w:p>
        </w:tc>
        <w:tc>
          <w:tcPr>
            <w:tcW w:w="883"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面积</w:t>
            </w:r>
          </w:p>
          <w:p>
            <w:pPr>
              <w:spacing w:before="0" w:line="240" w:lineRule="auto"/>
              <w:ind w:firstLine="0" w:firstLineChars="0"/>
              <w:jc w:val="center"/>
              <w:rPr>
                <w:b/>
                <w:sz w:val="21"/>
                <w:szCs w:val="21"/>
              </w:rPr>
            </w:pPr>
            <w:r>
              <w:rPr>
                <w:rFonts w:hint="eastAsia"/>
                <w:b/>
                <w:sz w:val="21"/>
                <w:szCs w:val="21"/>
              </w:rPr>
              <w:t>（</w:t>
            </w:r>
            <w:r>
              <w:rPr>
                <w:b/>
                <w:sz w:val="21"/>
                <w:szCs w:val="21"/>
              </w:rPr>
              <w:t>m</w:t>
            </w:r>
            <w:r>
              <w:rPr>
                <w:b/>
                <w:sz w:val="21"/>
                <w:szCs w:val="21"/>
                <w:vertAlign w:val="superscript"/>
              </w:rPr>
              <w:t>2</w:t>
            </w:r>
            <w:r>
              <w:rPr>
                <w:rFonts w:hint="eastAsia"/>
                <w:b/>
                <w:sz w:val="21"/>
                <w:szCs w:val="21"/>
              </w:rPr>
              <w:t>）</w:t>
            </w:r>
          </w:p>
        </w:tc>
        <w:tc>
          <w:tcPr>
            <w:tcW w:w="2015"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位置</w:t>
            </w:r>
          </w:p>
        </w:tc>
        <w:tc>
          <w:tcPr>
            <w:tcW w:w="999" w:type="dxa"/>
            <w:tcBorders>
              <w:top w:val="single" w:color="auto" w:sz="12" w:space="0"/>
              <w:bottom w:val="single" w:color="auto" w:sz="12" w:space="0"/>
            </w:tcBorders>
            <w:shd w:val="clear" w:color="auto" w:fill="CCC0D9"/>
            <w:vAlign w:val="center"/>
          </w:tcPr>
          <w:p>
            <w:pPr>
              <w:spacing w:before="0" w:line="240" w:lineRule="auto"/>
              <w:ind w:firstLine="0" w:firstLineChars="0"/>
              <w:jc w:val="center"/>
              <w:rPr>
                <w:b/>
                <w:sz w:val="21"/>
                <w:szCs w:val="21"/>
              </w:rPr>
            </w:pPr>
            <w:r>
              <w:rPr>
                <w:rFonts w:hint="eastAsia"/>
                <w:b/>
                <w:sz w:val="21"/>
                <w:szCs w:val="21"/>
              </w:rPr>
              <w:t>备注</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479" w:type="dxa"/>
            <w:vMerge w:val="restart"/>
            <w:tcBorders>
              <w:top w:val="single" w:color="auto" w:sz="12" w:space="0"/>
            </w:tcBorders>
            <w:vAlign w:val="center"/>
          </w:tcPr>
          <w:p>
            <w:pPr>
              <w:spacing w:line="240" w:lineRule="auto"/>
              <w:ind w:firstLine="0" w:firstLineChars="0"/>
              <w:jc w:val="center"/>
              <w:rPr>
                <w:rFonts w:ascii="Calibri" w:hAnsi="Calibri"/>
                <w:sz w:val="21"/>
                <w:szCs w:val="21"/>
              </w:rPr>
            </w:pPr>
            <w:r>
              <w:rPr>
                <w:rFonts w:hint="eastAsia" w:ascii="Calibri" w:hAnsi="Calibri"/>
                <w:sz w:val="21"/>
                <w:szCs w:val="21"/>
              </w:rPr>
              <w:t>市级</w:t>
            </w:r>
          </w:p>
        </w:tc>
        <w:tc>
          <w:tcPr>
            <w:tcW w:w="843"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城东公交枢纽</w:t>
            </w:r>
          </w:p>
        </w:tc>
        <w:tc>
          <w:tcPr>
            <w:tcW w:w="1155"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近期</w:t>
            </w:r>
          </w:p>
        </w:tc>
        <w:tc>
          <w:tcPr>
            <w:tcW w:w="1932"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高铁客运、长途客运与市内公共交通之间的换乘</w:t>
            </w:r>
          </w:p>
        </w:tc>
        <w:tc>
          <w:tcPr>
            <w:tcW w:w="883"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2</w:t>
            </w:r>
            <w:r>
              <w:rPr>
                <w:sz w:val="21"/>
                <w:szCs w:val="21"/>
              </w:rPr>
              <w:t>0000</w:t>
            </w:r>
          </w:p>
        </w:tc>
        <w:tc>
          <w:tcPr>
            <w:tcW w:w="2015"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四川省宝台大道</w:t>
            </w:r>
          </w:p>
        </w:tc>
        <w:tc>
          <w:tcPr>
            <w:tcW w:w="999" w:type="dxa"/>
            <w:tcBorders>
              <w:top w:val="single" w:color="auto" w:sz="12" w:space="0"/>
              <w:bottom w:val="single" w:color="auto" w:sz="8" w:space="0"/>
            </w:tcBorders>
            <w:vAlign w:val="center"/>
          </w:tcPr>
          <w:p>
            <w:pPr>
              <w:spacing w:line="240" w:lineRule="auto"/>
              <w:ind w:firstLine="0" w:firstLineChars="0"/>
              <w:jc w:val="center"/>
              <w:rPr>
                <w:sz w:val="21"/>
                <w:szCs w:val="21"/>
              </w:rPr>
            </w:pPr>
            <w:r>
              <w:rPr>
                <w:rFonts w:hint="eastAsia"/>
                <w:sz w:val="21"/>
                <w:szCs w:val="21"/>
              </w:rPr>
              <w:t>结合高铁站场设计进行布局</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479" w:type="dxa"/>
            <w:vMerge w:val="continue"/>
            <w:vAlign w:val="center"/>
          </w:tcPr>
          <w:p>
            <w:pPr>
              <w:spacing w:line="240" w:lineRule="auto"/>
              <w:ind w:firstLine="0" w:firstLineChars="0"/>
              <w:jc w:val="center"/>
              <w:rPr>
                <w:rFonts w:ascii="Calibri" w:hAnsi="Calibri"/>
                <w:sz w:val="21"/>
                <w:szCs w:val="21"/>
              </w:rPr>
            </w:pPr>
          </w:p>
        </w:tc>
        <w:tc>
          <w:tcPr>
            <w:tcW w:w="843"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兰家坡公交枢纽</w:t>
            </w:r>
          </w:p>
        </w:tc>
        <w:tc>
          <w:tcPr>
            <w:tcW w:w="1155"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中远期</w:t>
            </w:r>
          </w:p>
        </w:tc>
        <w:tc>
          <w:tcPr>
            <w:tcW w:w="1932"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兰家坡副中心客流集散</w:t>
            </w:r>
          </w:p>
        </w:tc>
        <w:tc>
          <w:tcPr>
            <w:tcW w:w="883"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1</w:t>
            </w:r>
            <w:r>
              <w:rPr>
                <w:sz w:val="21"/>
                <w:szCs w:val="21"/>
              </w:rPr>
              <w:t>5000</w:t>
            </w:r>
          </w:p>
        </w:tc>
        <w:tc>
          <w:tcPr>
            <w:tcW w:w="2015"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骏兴路南峻大道</w:t>
            </w:r>
          </w:p>
        </w:tc>
        <w:tc>
          <w:tcPr>
            <w:tcW w:w="999"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479" w:type="dxa"/>
            <w:vMerge w:val="continue"/>
            <w:vAlign w:val="center"/>
          </w:tcPr>
          <w:p>
            <w:pPr>
              <w:spacing w:line="240" w:lineRule="auto"/>
              <w:ind w:firstLine="0" w:firstLineChars="0"/>
              <w:jc w:val="center"/>
              <w:rPr>
                <w:rFonts w:ascii="Calibri" w:hAnsi="Calibri"/>
                <w:sz w:val="21"/>
                <w:szCs w:val="21"/>
              </w:rPr>
            </w:pPr>
          </w:p>
        </w:tc>
        <w:tc>
          <w:tcPr>
            <w:tcW w:w="843"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临空经济区公交枢纽</w:t>
            </w:r>
          </w:p>
        </w:tc>
        <w:tc>
          <w:tcPr>
            <w:tcW w:w="1155"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中远期</w:t>
            </w:r>
          </w:p>
        </w:tc>
        <w:tc>
          <w:tcPr>
            <w:tcW w:w="1932"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轨道交通与市内公共交通之间的换乘，临空经济区与中心城区客流换乘</w:t>
            </w:r>
          </w:p>
        </w:tc>
        <w:tc>
          <w:tcPr>
            <w:tcW w:w="883"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3</w:t>
            </w:r>
            <w:r>
              <w:rPr>
                <w:sz w:val="21"/>
                <w:szCs w:val="21"/>
              </w:rPr>
              <w:t>4000</w:t>
            </w:r>
          </w:p>
        </w:tc>
        <w:tc>
          <w:tcPr>
            <w:tcW w:w="2015"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轨道临空经济区站南</w:t>
            </w:r>
          </w:p>
        </w:tc>
        <w:tc>
          <w:tcPr>
            <w:tcW w:w="999"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479" w:type="dxa"/>
            <w:vMerge w:val="continue"/>
            <w:vAlign w:val="center"/>
          </w:tcPr>
          <w:p>
            <w:pPr>
              <w:spacing w:line="240" w:lineRule="auto"/>
              <w:ind w:firstLine="0" w:firstLineChars="0"/>
              <w:jc w:val="center"/>
              <w:rPr>
                <w:rFonts w:ascii="Calibri" w:hAnsi="Calibri"/>
                <w:sz w:val="21"/>
                <w:szCs w:val="21"/>
              </w:rPr>
            </w:pPr>
          </w:p>
        </w:tc>
        <w:tc>
          <w:tcPr>
            <w:tcW w:w="843"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资阳北站公交枢纽</w:t>
            </w:r>
          </w:p>
        </w:tc>
        <w:tc>
          <w:tcPr>
            <w:tcW w:w="1155"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近期</w:t>
            </w:r>
          </w:p>
        </w:tc>
        <w:tc>
          <w:tcPr>
            <w:tcW w:w="1932"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中心区客流集散，客运专线与市内公共交通换乘</w:t>
            </w:r>
          </w:p>
        </w:tc>
        <w:tc>
          <w:tcPr>
            <w:tcW w:w="883" w:type="dxa"/>
            <w:tcBorders>
              <w:top w:val="single" w:color="auto" w:sz="8" w:space="0"/>
              <w:bottom w:val="single" w:color="auto" w:sz="8" w:space="0"/>
              <w:right w:val="single" w:color="auto" w:sz="8" w:space="0"/>
            </w:tcBorders>
            <w:vAlign w:val="center"/>
          </w:tcPr>
          <w:p>
            <w:pPr>
              <w:spacing w:line="240" w:lineRule="auto"/>
              <w:ind w:firstLine="0" w:firstLineChars="0"/>
              <w:jc w:val="center"/>
              <w:rPr>
                <w:sz w:val="21"/>
                <w:szCs w:val="21"/>
              </w:rPr>
            </w:pPr>
            <w:r>
              <w:rPr>
                <w:rFonts w:hint="eastAsia"/>
                <w:sz w:val="21"/>
                <w:szCs w:val="21"/>
              </w:rPr>
              <w:t>1</w:t>
            </w:r>
            <w:r>
              <w:rPr>
                <w:sz w:val="21"/>
                <w:szCs w:val="21"/>
              </w:rPr>
              <w:t>9000</w:t>
            </w:r>
          </w:p>
        </w:tc>
        <w:tc>
          <w:tcPr>
            <w:tcW w:w="2015" w:type="dxa"/>
            <w:tcBorders>
              <w:top w:val="single" w:color="auto" w:sz="8" w:space="0"/>
              <w:left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莲花路北，城际铁路资阳站东</w:t>
            </w:r>
          </w:p>
        </w:tc>
        <w:tc>
          <w:tcPr>
            <w:tcW w:w="999" w:type="dxa"/>
            <w:tcBorders>
              <w:top w:val="single" w:color="auto" w:sz="8" w:space="0"/>
              <w:bottom w:val="single" w:color="auto" w:sz="8" w:space="0"/>
            </w:tcBorders>
            <w:vAlign w:val="center"/>
          </w:tcPr>
          <w:p>
            <w:pPr>
              <w:spacing w:line="240" w:lineRule="auto"/>
              <w:ind w:firstLine="0" w:firstLineChars="0"/>
              <w:jc w:val="center"/>
              <w:rPr>
                <w:sz w:val="21"/>
                <w:szCs w:val="21"/>
              </w:rPr>
            </w:pPr>
            <w:r>
              <w:rPr>
                <w:rFonts w:hint="eastAsia"/>
                <w:sz w:val="21"/>
                <w:szCs w:val="21"/>
              </w:rPr>
              <w:t>建设路公交站迁移</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20" w:hRule="atLeast"/>
          <w:jc w:val="center"/>
        </w:trPr>
        <w:tc>
          <w:tcPr>
            <w:tcW w:w="479" w:type="dxa"/>
            <w:vMerge w:val="continue"/>
            <w:tcBorders>
              <w:bottom w:val="single" w:color="auto" w:sz="4" w:space="0"/>
            </w:tcBorders>
            <w:vAlign w:val="center"/>
          </w:tcPr>
          <w:p>
            <w:pPr>
              <w:spacing w:line="240" w:lineRule="auto"/>
              <w:ind w:firstLine="0" w:firstLineChars="0"/>
              <w:jc w:val="center"/>
              <w:rPr>
                <w:rFonts w:ascii="Calibri" w:hAnsi="Calibri"/>
                <w:sz w:val="21"/>
                <w:szCs w:val="21"/>
              </w:rPr>
            </w:pPr>
          </w:p>
        </w:tc>
        <w:tc>
          <w:tcPr>
            <w:tcW w:w="843"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资阳西站公交枢纽</w:t>
            </w:r>
          </w:p>
        </w:tc>
        <w:tc>
          <w:tcPr>
            <w:tcW w:w="1155"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中远期</w:t>
            </w:r>
          </w:p>
        </w:tc>
        <w:tc>
          <w:tcPr>
            <w:tcW w:w="1932"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城西客流集散中心</w:t>
            </w:r>
          </w:p>
        </w:tc>
        <w:tc>
          <w:tcPr>
            <w:tcW w:w="883"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2</w:t>
            </w:r>
            <w:r>
              <w:rPr>
                <w:sz w:val="21"/>
                <w:szCs w:val="21"/>
              </w:rPr>
              <w:t>0000</w:t>
            </w:r>
          </w:p>
        </w:tc>
        <w:tc>
          <w:tcPr>
            <w:tcW w:w="2015" w:type="dxa"/>
            <w:tcBorders>
              <w:top w:val="single" w:color="auto" w:sz="8" w:space="0"/>
            </w:tcBorders>
            <w:vAlign w:val="center"/>
          </w:tcPr>
          <w:p>
            <w:pPr>
              <w:spacing w:line="240" w:lineRule="auto"/>
              <w:ind w:firstLine="0" w:firstLineChars="0"/>
              <w:jc w:val="center"/>
              <w:rPr>
                <w:sz w:val="21"/>
                <w:szCs w:val="21"/>
              </w:rPr>
            </w:pPr>
            <w:r>
              <w:rPr>
                <w:sz w:val="21"/>
                <w:szCs w:val="21"/>
              </w:rPr>
              <w:t>距天府机场约25公里左右，距成渝高速资阳出入口约6公里左右</w:t>
            </w:r>
          </w:p>
        </w:tc>
        <w:tc>
          <w:tcPr>
            <w:tcW w:w="999" w:type="dxa"/>
            <w:tcBorders>
              <w:top w:val="single" w:color="auto" w:sz="8" w:space="0"/>
            </w:tcBorders>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9" w:type="dxa"/>
            <w:vMerge w:val="restart"/>
            <w:vAlign w:val="center"/>
          </w:tcPr>
          <w:p>
            <w:pPr>
              <w:spacing w:line="240" w:lineRule="auto"/>
              <w:ind w:firstLine="0" w:firstLineChars="0"/>
              <w:jc w:val="center"/>
              <w:rPr>
                <w:rFonts w:ascii="Calibri" w:hAnsi="Calibri"/>
                <w:sz w:val="21"/>
                <w:szCs w:val="21"/>
              </w:rPr>
            </w:pPr>
            <w:r>
              <w:rPr>
                <w:rFonts w:hint="eastAsia" w:ascii="Calibri" w:hAnsi="Calibri"/>
                <w:sz w:val="21"/>
                <w:szCs w:val="21"/>
              </w:rPr>
              <w:t>区级</w:t>
            </w:r>
          </w:p>
        </w:tc>
        <w:tc>
          <w:tcPr>
            <w:tcW w:w="843" w:type="dxa"/>
            <w:vAlign w:val="center"/>
          </w:tcPr>
          <w:p>
            <w:pPr>
              <w:spacing w:line="240" w:lineRule="auto"/>
              <w:ind w:firstLine="0" w:firstLineChars="0"/>
              <w:jc w:val="center"/>
              <w:rPr>
                <w:sz w:val="21"/>
                <w:szCs w:val="21"/>
              </w:rPr>
            </w:pPr>
            <w:r>
              <w:rPr>
                <w:rFonts w:hint="eastAsia"/>
                <w:sz w:val="21"/>
                <w:szCs w:val="21"/>
              </w:rPr>
              <w:t>教育园区公交枢纽</w:t>
            </w:r>
          </w:p>
        </w:tc>
        <w:tc>
          <w:tcPr>
            <w:tcW w:w="1155" w:type="dxa"/>
            <w:vAlign w:val="center"/>
          </w:tcPr>
          <w:p>
            <w:pPr>
              <w:spacing w:line="240" w:lineRule="auto"/>
              <w:ind w:firstLine="0" w:firstLineChars="0"/>
              <w:jc w:val="center"/>
              <w:rPr>
                <w:sz w:val="21"/>
                <w:szCs w:val="21"/>
              </w:rPr>
            </w:pPr>
            <w:r>
              <w:rPr>
                <w:rFonts w:hint="eastAsia"/>
                <w:sz w:val="21"/>
                <w:szCs w:val="21"/>
              </w:rPr>
              <w:t>近期</w:t>
            </w:r>
          </w:p>
        </w:tc>
        <w:tc>
          <w:tcPr>
            <w:tcW w:w="1932" w:type="dxa"/>
            <w:vAlign w:val="center"/>
          </w:tcPr>
          <w:p>
            <w:pPr>
              <w:spacing w:line="240" w:lineRule="auto"/>
              <w:ind w:firstLine="0" w:firstLineChars="0"/>
              <w:jc w:val="center"/>
              <w:rPr>
                <w:sz w:val="21"/>
                <w:szCs w:val="21"/>
              </w:rPr>
            </w:pPr>
            <w:r>
              <w:rPr>
                <w:rFonts w:hint="eastAsia"/>
                <w:sz w:val="21"/>
                <w:szCs w:val="21"/>
              </w:rPr>
              <w:t>城北片区学生客流集散，公交线路之间换乘</w:t>
            </w:r>
          </w:p>
        </w:tc>
        <w:tc>
          <w:tcPr>
            <w:tcW w:w="883" w:type="dxa"/>
            <w:vAlign w:val="center"/>
          </w:tcPr>
          <w:p>
            <w:pPr>
              <w:spacing w:line="240" w:lineRule="auto"/>
              <w:ind w:firstLine="0" w:firstLineChars="0"/>
              <w:jc w:val="center"/>
              <w:rPr>
                <w:sz w:val="21"/>
                <w:szCs w:val="21"/>
              </w:rPr>
            </w:pPr>
            <w:r>
              <w:rPr>
                <w:rFonts w:hint="eastAsia"/>
                <w:sz w:val="21"/>
                <w:szCs w:val="21"/>
              </w:rPr>
              <w:t>1</w:t>
            </w:r>
            <w:r>
              <w:rPr>
                <w:sz w:val="21"/>
                <w:szCs w:val="21"/>
              </w:rPr>
              <w:t>0000</w:t>
            </w:r>
          </w:p>
        </w:tc>
        <w:tc>
          <w:tcPr>
            <w:tcW w:w="2015" w:type="dxa"/>
            <w:vAlign w:val="center"/>
          </w:tcPr>
          <w:p>
            <w:pPr>
              <w:spacing w:line="240" w:lineRule="auto"/>
              <w:ind w:firstLine="0" w:firstLineChars="0"/>
              <w:jc w:val="center"/>
              <w:rPr>
                <w:sz w:val="21"/>
                <w:szCs w:val="21"/>
              </w:rPr>
            </w:pPr>
            <w:r>
              <w:rPr>
                <w:rFonts w:hint="eastAsia"/>
                <w:sz w:val="21"/>
                <w:szCs w:val="21"/>
              </w:rPr>
              <w:t>学苑路三贤九年义务教育学校旁</w:t>
            </w:r>
          </w:p>
        </w:tc>
        <w:tc>
          <w:tcPr>
            <w:tcW w:w="999"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9" w:type="dxa"/>
            <w:vMerge w:val="continue"/>
            <w:vAlign w:val="center"/>
          </w:tcPr>
          <w:p>
            <w:pPr>
              <w:spacing w:line="240" w:lineRule="auto"/>
              <w:ind w:firstLine="0" w:firstLineChars="0"/>
              <w:jc w:val="center"/>
              <w:rPr>
                <w:rFonts w:ascii="Calibri" w:hAnsi="Calibri"/>
                <w:sz w:val="21"/>
                <w:szCs w:val="21"/>
              </w:rPr>
            </w:pPr>
          </w:p>
        </w:tc>
        <w:tc>
          <w:tcPr>
            <w:tcW w:w="843" w:type="dxa"/>
            <w:vAlign w:val="center"/>
          </w:tcPr>
          <w:p>
            <w:pPr>
              <w:spacing w:line="240" w:lineRule="auto"/>
              <w:ind w:firstLine="0" w:firstLineChars="0"/>
              <w:jc w:val="center"/>
              <w:rPr>
                <w:sz w:val="21"/>
                <w:szCs w:val="21"/>
              </w:rPr>
            </w:pPr>
            <w:r>
              <w:rPr>
                <w:rFonts w:hint="eastAsia"/>
                <w:sz w:val="21"/>
                <w:szCs w:val="21"/>
              </w:rPr>
              <w:t>万达广场公交枢纽</w:t>
            </w:r>
          </w:p>
        </w:tc>
        <w:tc>
          <w:tcPr>
            <w:tcW w:w="1155" w:type="dxa"/>
            <w:vAlign w:val="center"/>
          </w:tcPr>
          <w:p>
            <w:pPr>
              <w:spacing w:line="240" w:lineRule="auto"/>
              <w:ind w:firstLine="0" w:firstLineChars="0"/>
              <w:jc w:val="center"/>
              <w:rPr>
                <w:sz w:val="21"/>
                <w:szCs w:val="21"/>
              </w:rPr>
            </w:pPr>
            <w:r>
              <w:rPr>
                <w:rFonts w:hint="eastAsia"/>
                <w:sz w:val="21"/>
                <w:szCs w:val="21"/>
              </w:rPr>
              <w:t>近期</w:t>
            </w:r>
          </w:p>
        </w:tc>
        <w:tc>
          <w:tcPr>
            <w:tcW w:w="1932" w:type="dxa"/>
            <w:vAlign w:val="center"/>
          </w:tcPr>
          <w:p>
            <w:pPr>
              <w:spacing w:line="240" w:lineRule="auto"/>
              <w:ind w:firstLine="0" w:firstLineChars="0"/>
              <w:jc w:val="center"/>
              <w:rPr>
                <w:sz w:val="21"/>
                <w:szCs w:val="21"/>
              </w:rPr>
            </w:pPr>
            <w:r>
              <w:rPr>
                <w:rFonts w:hint="eastAsia"/>
                <w:sz w:val="21"/>
                <w:szCs w:val="21"/>
              </w:rPr>
              <w:t>城北副中心客流集散</w:t>
            </w:r>
          </w:p>
        </w:tc>
        <w:tc>
          <w:tcPr>
            <w:tcW w:w="883" w:type="dxa"/>
            <w:vAlign w:val="center"/>
          </w:tcPr>
          <w:p>
            <w:pPr>
              <w:spacing w:line="240" w:lineRule="auto"/>
              <w:ind w:firstLine="0" w:firstLineChars="0"/>
              <w:jc w:val="center"/>
              <w:rPr>
                <w:sz w:val="21"/>
                <w:szCs w:val="21"/>
              </w:rPr>
            </w:pPr>
            <w:r>
              <w:rPr>
                <w:sz w:val="21"/>
                <w:szCs w:val="21"/>
              </w:rPr>
              <w:t>6000</w:t>
            </w:r>
          </w:p>
        </w:tc>
        <w:tc>
          <w:tcPr>
            <w:tcW w:w="2015" w:type="dxa"/>
            <w:vAlign w:val="center"/>
          </w:tcPr>
          <w:p>
            <w:pPr>
              <w:spacing w:line="240" w:lineRule="auto"/>
              <w:ind w:firstLine="0" w:firstLineChars="0"/>
              <w:jc w:val="center"/>
              <w:rPr>
                <w:sz w:val="21"/>
                <w:szCs w:val="21"/>
              </w:rPr>
            </w:pPr>
            <w:r>
              <w:rPr>
                <w:rFonts w:hint="eastAsia"/>
                <w:sz w:val="21"/>
                <w:szCs w:val="21"/>
              </w:rPr>
              <w:t>娇子大道幸福大道</w:t>
            </w:r>
          </w:p>
        </w:tc>
        <w:tc>
          <w:tcPr>
            <w:tcW w:w="999"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479" w:type="dxa"/>
            <w:vMerge w:val="continue"/>
            <w:vAlign w:val="center"/>
          </w:tcPr>
          <w:p>
            <w:pPr>
              <w:spacing w:line="240" w:lineRule="auto"/>
              <w:ind w:firstLine="0" w:firstLineChars="0"/>
              <w:jc w:val="center"/>
              <w:rPr>
                <w:rFonts w:ascii="Calibri" w:hAnsi="Calibri"/>
                <w:sz w:val="21"/>
                <w:szCs w:val="21"/>
              </w:rPr>
            </w:pPr>
          </w:p>
        </w:tc>
        <w:tc>
          <w:tcPr>
            <w:tcW w:w="843" w:type="dxa"/>
            <w:vAlign w:val="center"/>
          </w:tcPr>
          <w:p>
            <w:pPr>
              <w:spacing w:line="240" w:lineRule="auto"/>
              <w:ind w:firstLine="0" w:firstLineChars="0"/>
              <w:jc w:val="center"/>
              <w:rPr>
                <w:sz w:val="21"/>
                <w:szCs w:val="21"/>
              </w:rPr>
            </w:pPr>
            <w:r>
              <w:rPr>
                <w:rFonts w:hint="eastAsia"/>
                <w:sz w:val="21"/>
                <w:szCs w:val="21"/>
              </w:rPr>
              <w:t>城南公交枢纽</w:t>
            </w:r>
          </w:p>
        </w:tc>
        <w:tc>
          <w:tcPr>
            <w:tcW w:w="1155" w:type="dxa"/>
            <w:vAlign w:val="center"/>
          </w:tcPr>
          <w:p>
            <w:pPr>
              <w:spacing w:line="240" w:lineRule="auto"/>
              <w:ind w:firstLine="0" w:firstLineChars="0"/>
              <w:jc w:val="center"/>
              <w:rPr>
                <w:sz w:val="21"/>
                <w:szCs w:val="21"/>
              </w:rPr>
            </w:pPr>
            <w:r>
              <w:rPr>
                <w:rFonts w:hint="eastAsia"/>
                <w:sz w:val="21"/>
                <w:szCs w:val="21"/>
              </w:rPr>
              <w:t>近期</w:t>
            </w:r>
          </w:p>
        </w:tc>
        <w:tc>
          <w:tcPr>
            <w:tcW w:w="1932" w:type="dxa"/>
            <w:vAlign w:val="center"/>
          </w:tcPr>
          <w:p>
            <w:pPr>
              <w:spacing w:line="240" w:lineRule="auto"/>
              <w:ind w:firstLine="0" w:firstLineChars="0"/>
              <w:jc w:val="center"/>
              <w:rPr>
                <w:sz w:val="21"/>
                <w:szCs w:val="21"/>
              </w:rPr>
            </w:pPr>
            <w:r>
              <w:rPr>
                <w:rFonts w:hint="eastAsia"/>
                <w:sz w:val="21"/>
                <w:szCs w:val="21"/>
              </w:rPr>
              <w:t>城南副中心客流集散，城南与白沙坝客流换乘</w:t>
            </w:r>
          </w:p>
        </w:tc>
        <w:tc>
          <w:tcPr>
            <w:tcW w:w="883" w:type="dxa"/>
            <w:vAlign w:val="center"/>
          </w:tcPr>
          <w:p>
            <w:pPr>
              <w:spacing w:line="240" w:lineRule="auto"/>
              <w:ind w:firstLine="0" w:firstLineChars="0"/>
              <w:jc w:val="center"/>
              <w:rPr>
                <w:sz w:val="21"/>
                <w:szCs w:val="21"/>
              </w:rPr>
            </w:pPr>
            <w:r>
              <w:rPr>
                <w:rFonts w:hint="eastAsia"/>
                <w:sz w:val="21"/>
                <w:szCs w:val="21"/>
              </w:rPr>
              <w:t>1</w:t>
            </w:r>
            <w:r>
              <w:rPr>
                <w:sz w:val="21"/>
                <w:szCs w:val="21"/>
              </w:rPr>
              <w:t>4000</w:t>
            </w:r>
          </w:p>
        </w:tc>
        <w:tc>
          <w:tcPr>
            <w:tcW w:w="2015" w:type="dxa"/>
            <w:vAlign w:val="center"/>
          </w:tcPr>
          <w:p>
            <w:pPr>
              <w:spacing w:line="240" w:lineRule="auto"/>
              <w:ind w:firstLine="0" w:firstLineChars="0"/>
              <w:jc w:val="center"/>
              <w:rPr>
                <w:sz w:val="21"/>
                <w:szCs w:val="21"/>
              </w:rPr>
            </w:pPr>
            <w:r>
              <w:rPr>
                <w:rFonts w:hint="eastAsia"/>
                <w:sz w:val="21"/>
                <w:szCs w:val="21"/>
              </w:rPr>
              <w:t>骏兴路工业大道</w:t>
            </w:r>
          </w:p>
        </w:tc>
        <w:tc>
          <w:tcPr>
            <w:tcW w:w="999" w:type="dxa"/>
            <w:vAlign w:val="center"/>
          </w:tcPr>
          <w:p>
            <w:pPr>
              <w:spacing w:line="240" w:lineRule="auto"/>
              <w:ind w:firstLine="0" w:firstLineChars="0"/>
              <w:jc w:val="center"/>
              <w:rPr>
                <w:sz w:val="21"/>
                <w:szCs w:val="21"/>
              </w:rPr>
            </w:pPr>
            <w:r>
              <w:rPr>
                <w:rFonts w:hint="eastAsia"/>
                <w:sz w:val="21"/>
                <w:szCs w:val="21"/>
              </w:rPr>
              <w:t>——</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111" w:hRule="atLeast"/>
          <w:jc w:val="center"/>
        </w:trPr>
        <w:tc>
          <w:tcPr>
            <w:tcW w:w="479" w:type="dxa"/>
            <w:vMerge w:val="continue"/>
            <w:tcBorders>
              <w:bottom w:val="single" w:color="auto" w:sz="12" w:space="0"/>
            </w:tcBorders>
            <w:vAlign w:val="center"/>
          </w:tcPr>
          <w:p>
            <w:pPr>
              <w:spacing w:line="240" w:lineRule="auto"/>
              <w:ind w:firstLine="0" w:firstLineChars="0"/>
              <w:jc w:val="center"/>
              <w:rPr>
                <w:rFonts w:ascii="Calibri" w:hAnsi="Calibri"/>
              </w:rPr>
            </w:pPr>
          </w:p>
        </w:tc>
        <w:tc>
          <w:tcPr>
            <w:tcW w:w="843" w:type="dxa"/>
            <w:tcBorders>
              <w:bottom w:val="single" w:color="auto" w:sz="12" w:space="0"/>
            </w:tcBorders>
            <w:vAlign w:val="center"/>
          </w:tcPr>
          <w:p>
            <w:pPr>
              <w:spacing w:line="240" w:lineRule="auto"/>
              <w:ind w:firstLine="0" w:firstLineChars="0"/>
              <w:jc w:val="center"/>
              <w:rPr>
                <w:sz w:val="21"/>
                <w:szCs w:val="21"/>
              </w:rPr>
            </w:pPr>
            <w:r>
              <w:rPr>
                <w:rFonts w:hint="eastAsia"/>
                <w:sz w:val="21"/>
                <w:szCs w:val="21"/>
              </w:rPr>
              <w:t>沱东公交枢纽</w:t>
            </w:r>
          </w:p>
        </w:tc>
        <w:tc>
          <w:tcPr>
            <w:tcW w:w="1155" w:type="dxa"/>
            <w:tcBorders>
              <w:bottom w:val="single" w:color="auto" w:sz="12" w:space="0"/>
            </w:tcBorders>
            <w:vAlign w:val="center"/>
          </w:tcPr>
          <w:p>
            <w:pPr>
              <w:spacing w:line="240" w:lineRule="auto"/>
              <w:ind w:firstLine="0" w:firstLineChars="0"/>
              <w:jc w:val="center"/>
              <w:rPr>
                <w:sz w:val="21"/>
                <w:szCs w:val="21"/>
              </w:rPr>
            </w:pPr>
            <w:r>
              <w:rPr>
                <w:rFonts w:hint="eastAsia"/>
                <w:sz w:val="21"/>
                <w:szCs w:val="21"/>
              </w:rPr>
              <w:t>近期</w:t>
            </w:r>
          </w:p>
        </w:tc>
        <w:tc>
          <w:tcPr>
            <w:tcW w:w="1932" w:type="dxa"/>
            <w:tcBorders>
              <w:bottom w:val="single" w:color="auto" w:sz="12" w:space="0"/>
            </w:tcBorders>
            <w:vAlign w:val="center"/>
          </w:tcPr>
          <w:p>
            <w:pPr>
              <w:spacing w:line="240" w:lineRule="auto"/>
              <w:ind w:firstLine="0" w:firstLineChars="0"/>
              <w:jc w:val="center"/>
              <w:rPr>
                <w:sz w:val="21"/>
                <w:szCs w:val="21"/>
              </w:rPr>
            </w:pPr>
            <w:r>
              <w:rPr>
                <w:rFonts w:hint="eastAsia"/>
                <w:sz w:val="21"/>
                <w:szCs w:val="21"/>
              </w:rPr>
              <w:t>中心区客流集散，沱东区各组团，沱东与沱西客流换乘</w:t>
            </w:r>
          </w:p>
        </w:tc>
        <w:tc>
          <w:tcPr>
            <w:tcW w:w="883" w:type="dxa"/>
            <w:tcBorders>
              <w:bottom w:val="single" w:color="auto" w:sz="12" w:space="0"/>
            </w:tcBorders>
            <w:vAlign w:val="center"/>
          </w:tcPr>
          <w:p>
            <w:pPr>
              <w:spacing w:line="240" w:lineRule="auto"/>
              <w:ind w:firstLine="0" w:firstLineChars="0"/>
              <w:jc w:val="center"/>
              <w:rPr>
                <w:sz w:val="21"/>
                <w:szCs w:val="21"/>
              </w:rPr>
            </w:pPr>
            <w:r>
              <w:rPr>
                <w:sz w:val="21"/>
                <w:szCs w:val="21"/>
              </w:rPr>
              <w:t>6000</w:t>
            </w:r>
          </w:p>
        </w:tc>
        <w:tc>
          <w:tcPr>
            <w:tcW w:w="2015" w:type="dxa"/>
            <w:tcBorders>
              <w:bottom w:val="single" w:color="auto" w:sz="12" w:space="0"/>
            </w:tcBorders>
            <w:vAlign w:val="center"/>
          </w:tcPr>
          <w:p>
            <w:pPr>
              <w:spacing w:line="240" w:lineRule="auto"/>
              <w:ind w:firstLine="0" w:firstLineChars="0"/>
              <w:jc w:val="center"/>
              <w:rPr>
                <w:sz w:val="21"/>
                <w:szCs w:val="21"/>
              </w:rPr>
            </w:pPr>
            <w:r>
              <w:rPr>
                <w:rFonts w:hint="eastAsia"/>
                <w:sz w:val="21"/>
                <w:szCs w:val="21"/>
              </w:rPr>
              <w:t>城东四路中央大道</w:t>
            </w:r>
          </w:p>
        </w:tc>
        <w:tc>
          <w:tcPr>
            <w:tcW w:w="999" w:type="dxa"/>
            <w:tcBorders>
              <w:bottom w:val="single" w:color="auto" w:sz="12" w:space="0"/>
            </w:tcBorders>
            <w:vAlign w:val="center"/>
          </w:tcPr>
          <w:p>
            <w:pPr>
              <w:spacing w:line="240" w:lineRule="auto"/>
              <w:ind w:firstLine="0" w:firstLineChars="0"/>
              <w:jc w:val="center"/>
              <w:rPr>
                <w:sz w:val="21"/>
                <w:szCs w:val="21"/>
              </w:rPr>
            </w:pPr>
            <w:r>
              <w:rPr>
                <w:rFonts w:hint="eastAsia"/>
                <w:sz w:val="21"/>
                <w:szCs w:val="21"/>
              </w:rPr>
              <w:t>——</w:t>
            </w:r>
          </w:p>
        </w:tc>
      </w:tr>
    </w:tbl>
    <w:p>
      <w:pPr>
        <w:spacing w:before="240"/>
        <w:ind w:firstLine="0" w:firstLineChars="0"/>
        <w:jc w:val="center"/>
      </w:pPr>
      <w:r>
        <w:drawing>
          <wp:inline distT="0" distB="0" distL="0" distR="0">
            <wp:extent cx="4450080" cy="3592195"/>
            <wp:effectExtent l="0" t="0" r="7620" b="8255"/>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74">
                      <a:extLst>
                        <a:ext uri="{28A0092B-C50C-407E-A947-70E740481C1C}">
                          <a14:useLocalDpi xmlns:a14="http://schemas.microsoft.com/office/drawing/2010/main" val="0"/>
                        </a:ext>
                      </a:extLst>
                    </a:blip>
                    <a:srcRect r="452" b="2227"/>
                    <a:stretch>
                      <a:fillRect/>
                    </a:stretch>
                  </pic:blipFill>
                  <pic:spPr>
                    <a:xfrm>
                      <a:off x="0" y="0"/>
                      <a:ext cx="4450815" cy="3592286"/>
                    </a:xfrm>
                    <a:prstGeom prst="rect">
                      <a:avLst/>
                    </a:prstGeom>
                    <a:noFill/>
                    <a:ln>
                      <a:noFill/>
                    </a:ln>
                  </pic:spPr>
                </pic:pic>
              </a:graphicData>
            </a:graphic>
          </wp:inline>
        </w:drawing>
      </w:r>
    </w:p>
    <w:p>
      <w:pPr>
        <w:pStyle w:val="117"/>
      </w:pPr>
      <w:r>
        <w:rPr>
          <w:rFonts w:hint="eastAsia"/>
        </w:rPr>
        <w:t>图</w:t>
      </w:r>
      <w:r>
        <w:t>6-</w:t>
      </w:r>
      <w:r>
        <w:rPr>
          <w:rFonts w:hint="eastAsia"/>
        </w:rPr>
        <w:t>1</w:t>
      </w:r>
      <w:r>
        <w:t xml:space="preserve">  </w:t>
      </w:r>
      <w:r>
        <w:rPr>
          <w:rFonts w:hint="eastAsia"/>
        </w:rPr>
        <w:t>资阳市中心城区公交枢纽站规划图</w:t>
      </w:r>
    </w:p>
    <w:p>
      <w:pPr>
        <w:spacing w:before="240"/>
        <w:ind w:firstLine="480"/>
      </w:pPr>
      <w:r>
        <w:rPr>
          <w:rFonts w:hint="eastAsia"/>
        </w:rPr>
        <w:t>在公交枢纽的规划建设上应重视扩展建设，在允许的情况下应当预留场地，方便远期公交候车长廊的增设，以适应远期公交线路的增加。每条候车长廊原则上备置一间调度室，供驾驶员休息以及日常调度事务；同时设置灯箱式公交信息牌，一廊一牌，标注公交线路信息，包括线路名、途经站点、早班晚班的发车时间与间隔、票价等。</w:t>
      </w:r>
    </w:p>
    <w:p>
      <w:pPr>
        <w:spacing w:before="0"/>
        <w:ind w:firstLine="480"/>
      </w:pPr>
      <w:r>
        <w:rPr>
          <w:rFonts w:hint="eastAsia"/>
        </w:rPr>
        <w:t>在场地布局规划时，应考虑下客、出客、进站、换乘、候车等区域的合理分配以及功能衔接，各功能区域应当设置明显的方向指示牌，给乘客提供全部的乘车信息，避免乘客因找不到乘车区域而导致站内逗留时间加长，尽量保证一线式进站候车、上车、出车，避免乘客进站上车线路的迂回和重复。</w:t>
      </w:r>
    </w:p>
    <w:p>
      <w:pPr>
        <w:spacing w:before="0"/>
        <w:ind w:firstLine="482"/>
        <w:rPr>
          <w:rFonts w:cs="Times New Roman"/>
          <w:b/>
        </w:rPr>
      </w:pPr>
      <w:r>
        <w:rPr>
          <w:rFonts w:cs="Times New Roman"/>
          <w:b/>
        </w:rPr>
        <w:t>2</w:t>
      </w:r>
      <w:r>
        <w:rPr>
          <w:rFonts w:hint="eastAsia" w:cs="Times New Roman"/>
          <w:b/>
        </w:rPr>
        <w:t>、</w:t>
      </w:r>
      <w:r>
        <w:rPr>
          <w:rFonts w:cs="Times New Roman"/>
          <w:b/>
        </w:rPr>
        <w:t>综合调度指挥中心</w:t>
      </w:r>
    </w:p>
    <w:p>
      <w:pPr>
        <w:spacing w:before="0"/>
        <w:ind w:firstLine="480"/>
      </w:pPr>
      <w:r>
        <w:rPr>
          <w:rFonts w:hint="eastAsia"/>
        </w:rPr>
        <w:t>伴随信息化进程的加快，对公交车辆、出租车和班线客运车辆的管理和调度将进入智能化时代。目前资阳市公共交通调度点布局设置较为合理，在城区线路较多的首末站及城乡起终点站设有调度点，对线路的运营状况进行实施监督，对车型实施调度。但随着城市化进程的加快，为满足各组团居民多样化的出行需求，公交线路条数逐渐增加，公交线网覆盖面积也逐步扩大，现有调度点已无法承载日益增加的调度需求及全局监控的管理需求。因此，本次规划建议各枢纽站配套建设一处综合调度中心，一个集</w:t>
      </w:r>
      <w:r>
        <w:t>综合化信息中心、智能化决策中心以及立体式调度中心</w:t>
      </w:r>
      <w:r>
        <w:rPr>
          <w:rFonts w:hint="eastAsia"/>
        </w:rPr>
        <w:t>为一体的综合调度指挥中心。</w:t>
      </w:r>
    </w:p>
    <w:p>
      <w:pPr>
        <w:spacing w:before="0"/>
        <w:ind w:firstLine="480"/>
      </w:pPr>
      <w:r>
        <w:rPr>
          <w:rFonts w:hint="eastAsia"/>
        </w:rPr>
        <w:t>综合调度指挥中心由车载终端系统、数据中心以及各级调度中心、电子站牌等几个部分构成，各部分相互配合和协调，共同构成一个有机整体，实现对公交车辆从静态管理到动态优化的转变。</w:t>
      </w:r>
    </w:p>
    <w:p>
      <w:pPr>
        <w:spacing w:before="0"/>
        <w:ind w:firstLine="482"/>
        <w:rPr>
          <w:rFonts w:cs="Times New Roman"/>
          <w:b/>
        </w:rPr>
      </w:pPr>
      <w:r>
        <w:rPr>
          <w:rFonts w:hint="eastAsia" w:cs="Times New Roman"/>
          <w:b/>
        </w:rPr>
        <w:t>3、建设设施规划指导</w:t>
      </w:r>
    </w:p>
    <w:p>
      <w:pPr>
        <w:spacing w:before="0" w:after="0"/>
        <w:ind w:firstLine="480"/>
      </w:pPr>
      <w:r>
        <w:rPr>
          <w:rFonts w:hint="eastAsia"/>
        </w:rPr>
        <w:t>公交枢纽站具体建设实施时，场站内设施规划应参照下表6-</w:t>
      </w:r>
      <w:r>
        <w:t>2</w:t>
      </w:r>
      <w:r>
        <w:rPr>
          <w:rFonts w:hint="eastAsia"/>
        </w:rPr>
        <w:t>设计规范要求。</w:t>
      </w:r>
      <w:bookmarkStart w:id="134" w:name="_Toc362543124"/>
    </w:p>
    <w:p>
      <w:pPr>
        <w:pStyle w:val="113"/>
        <w:spacing w:before="163" w:after="163"/>
      </w:pPr>
      <w:r>
        <w:rPr>
          <w:rFonts w:hint="eastAsia"/>
        </w:rPr>
        <w:t>表</w:t>
      </w:r>
      <w:r>
        <w:t>6-</w:t>
      </w:r>
      <w:r>
        <w:rPr>
          <w:rFonts w:hint="eastAsia"/>
        </w:rPr>
        <w:t>2</w:t>
      </w:r>
      <w:r>
        <w:t xml:space="preserve">  </w:t>
      </w:r>
      <w:r>
        <w:rPr>
          <w:rFonts w:hint="eastAsia"/>
        </w:rPr>
        <w:t>枢纽站设施规划指导</w:t>
      </w:r>
      <w:bookmarkEnd w:id="134"/>
    </w:p>
    <w:tbl>
      <w:tblPr>
        <w:tblStyle w:val="94"/>
        <w:tblW w:w="8168"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2552"/>
        <w:gridCol w:w="1494"/>
        <w:gridCol w:w="1494"/>
        <w:gridCol w:w="149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3686" w:type="dxa"/>
            <w:gridSpan w:val="2"/>
            <w:vMerge w:val="restart"/>
            <w:tcBorders>
              <w:top w:val="single" w:color="auto" w:sz="12" w:space="0"/>
              <w:left w:val="nil"/>
            </w:tcBorders>
            <w:shd w:val="clear" w:color="auto" w:fill="CCC0D9"/>
            <w:vAlign w:val="center"/>
          </w:tcPr>
          <w:p>
            <w:pPr>
              <w:widowControl w:val="0"/>
              <w:adjustRightInd/>
              <w:snapToGrid/>
              <w:spacing w:line="240" w:lineRule="auto"/>
              <w:ind w:firstLine="0" w:firstLineChars="0"/>
              <w:jc w:val="center"/>
              <w:rPr>
                <w:rFonts w:ascii="宋体" w:hAnsi="宋体" w:cs="Times New Roman"/>
                <w:b/>
                <w:kern w:val="2"/>
                <w:sz w:val="21"/>
                <w:szCs w:val="21"/>
              </w:rPr>
            </w:pPr>
            <w:r>
              <w:rPr>
                <w:rFonts w:hint="eastAsia" w:ascii="宋体" w:hAnsi="宋体" w:cs="Times New Roman"/>
                <w:b/>
                <w:kern w:val="2"/>
                <w:sz w:val="21"/>
                <w:szCs w:val="21"/>
              </w:rPr>
              <w:t>设施</w:t>
            </w:r>
          </w:p>
        </w:tc>
        <w:tc>
          <w:tcPr>
            <w:tcW w:w="4482" w:type="dxa"/>
            <w:gridSpan w:val="3"/>
            <w:tcBorders>
              <w:top w:val="single" w:color="auto" w:sz="12" w:space="0"/>
              <w:bottom w:val="single" w:color="auto" w:sz="12" w:space="0"/>
              <w:right w:val="nil"/>
            </w:tcBorders>
            <w:shd w:val="clear" w:color="auto" w:fill="CCC0D9"/>
            <w:vAlign w:val="center"/>
          </w:tcPr>
          <w:p>
            <w:pPr>
              <w:widowControl w:val="0"/>
              <w:adjustRightInd/>
              <w:snapToGrid/>
              <w:spacing w:line="240" w:lineRule="auto"/>
              <w:ind w:firstLine="0" w:firstLineChars="0"/>
              <w:jc w:val="center"/>
              <w:rPr>
                <w:rFonts w:ascii="宋体" w:hAnsi="宋体" w:cs="Times New Roman"/>
                <w:b/>
                <w:kern w:val="2"/>
                <w:sz w:val="21"/>
                <w:szCs w:val="21"/>
              </w:rPr>
            </w:pPr>
            <w:r>
              <w:rPr>
                <w:rFonts w:hint="eastAsia" w:ascii="宋体" w:hAnsi="宋体" w:cs="Times New Roman"/>
                <w:b/>
                <w:kern w:val="2"/>
                <w:sz w:val="21"/>
                <w:szCs w:val="21"/>
              </w:rPr>
              <w:t>配置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3686" w:type="dxa"/>
            <w:gridSpan w:val="2"/>
            <w:vMerge w:val="continue"/>
            <w:tcBorders>
              <w:left w:val="nil"/>
              <w:bottom w:val="single" w:color="auto" w:sz="12" w:space="0"/>
            </w:tcBorders>
            <w:shd w:val="clear" w:color="auto" w:fill="CCC0D9"/>
            <w:vAlign w:val="center"/>
          </w:tcPr>
          <w:p>
            <w:pPr>
              <w:widowControl w:val="0"/>
              <w:adjustRightInd/>
              <w:snapToGrid/>
              <w:spacing w:line="240" w:lineRule="auto"/>
              <w:ind w:firstLine="0" w:firstLineChars="0"/>
              <w:jc w:val="center"/>
              <w:rPr>
                <w:rFonts w:ascii="宋体" w:hAnsi="宋体" w:cs="Times New Roman"/>
                <w:b/>
                <w:kern w:val="2"/>
                <w:sz w:val="21"/>
                <w:szCs w:val="21"/>
              </w:rPr>
            </w:pPr>
          </w:p>
        </w:tc>
        <w:tc>
          <w:tcPr>
            <w:tcW w:w="1494" w:type="dxa"/>
            <w:tcBorders>
              <w:top w:val="single" w:color="auto" w:sz="12" w:space="0"/>
              <w:bottom w:val="single" w:color="auto" w:sz="12" w:space="0"/>
              <w:right w:val="nil"/>
            </w:tcBorders>
            <w:shd w:val="clear" w:color="auto" w:fill="CCC0D9"/>
            <w:vAlign w:val="center"/>
          </w:tcPr>
          <w:p>
            <w:pPr>
              <w:autoSpaceDE w:val="0"/>
              <w:autoSpaceDN w:val="0"/>
              <w:spacing w:line="240" w:lineRule="auto"/>
              <w:ind w:left="-120" w:leftChars="-50" w:right="-120" w:rightChars="-50" w:firstLine="0" w:firstLineChars="0"/>
              <w:jc w:val="center"/>
              <w:rPr>
                <w:rFonts w:cs="宋体"/>
                <w:b/>
                <w:sz w:val="21"/>
                <w:szCs w:val="21"/>
              </w:rPr>
            </w:pPr>
            <w:r>
              <w:rPr>
                <w:rFonts w:hint="eastAsia" w:ascii="宋体" w:hAnsi="宋体" w:cs="宋体"/>
                <w:b/>
                <w:sz w:val="21"/>
                <w:szCs w:val="21"/>
              </w:rPr>
              <w:t>大型枢纽站</w:t>
            </w:r>
          </w:p>
        </w:tc>
        <w:tc>
          <w:tcPr>
            <w:tcW w:w="1494" w:type="dxa"/>
            <w:tcBorders>
              <w:top w:val="single" w:color="auto" w:sz="12" w:space="0"/>
              <w:bottom w:val="single" w:color="auto" w:sz="12" w:space="0"/>
              <w:right w:val="nil"/>
            </w:tcBorders>
            <w:shd w:val="clear" w:color="auto" w:fill="CCC0D9"/>
            <w:vAlign w:val="center"/>
          </w:tcPr>
          <w:p>
            <w:pPr>
              <w:autoSpaceDE w:val="0"/>
              <w:autoSpaceDN w:val="0"/>
              <w:spacing w:line="240" w:lineRule="auto"/>
              <w:ind w:left="-120" w:leftChars="-50" w:right="-120" w:rightChars="-50" w:firstLine="0" w:firstLineChars="0"/>
              <w:jc w:val="center"/>
              <w:rPr>
                <w:rFonts w:cs="宋体"/>
                <w:b/>
                <w:sz w:val="21"/>
                <w:szCs w:val="21"/>
              </w:rPr>
            </w:pPr>
            <w:r>
              <w:rPr>
                <w:rFonts w:hint="eastAsia" w:cs="宋体"/>
                <w:b/>
                <w:sz w:val="21"/>
                <w:szCs w:val="21"/>
              </w:rPr>
              <w:t>中小型枢纽站</w:t>
            </w:r>
          </w:p>
        </w:tc>
        <w:tc>
          <w:tcPr>
            <w:tcW w:w="1494" w:type="dxa"/>
            <w:tcBorders>
              <w:top w:val="single" w:color="auto" w:sz="12" w:space="0"/>
              <w:bottom w:val="single" w:color="auto" w:sz="12" w:space="0"/>
              <w:right w:val="nil"/>
            </w:tcBorders>
            <w:shd w:val="clear" w:color="auto" w:fill="CCC0D9"/>
            <w:vAlign w:val="center"/>
          </w:tcPr>
          <w:p>
            <w:pPr>
              <w:autoSpaceDE w:val="0"/>
              <w:autoSpaceDN w:val="0"/>
              <w:spacing w:line="240" w:lineRule="auto"/>
              <w:ind w:right="-120" w:rightChars="-50" w:firstLine="105" w:firstLineChars="50"/>
              <w:rPr>
                <w:b/>
                <w:kern w:val="2"/>
                <w:sz w:val="21"/>
                <w:szCs w:val="21"/>
              </w:rPr>
            </w:pPr>
            <w:r>
              <w:rPr>
                <w:rFonts w:hint="eastAsia"/>
                <w:b/>
                <w:kern w:val="2"/>
                <w:sz w:val="21"/>
                <w:szCs w:val="21"/>
              </w:rPr>
              <w:t>综合枢纽站</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restart"/>
            <w:tcBorders>
              <w:top w:val="single" w:color="auto" w:sz="4" w:space="0"/>
              <w:left w:val="nil"/>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信息设施</w:t>
            </w: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公共信息牌</w:t>
            </w:r>
          </w:p>
        </w:tc>
        <w:tc>
          <w:tcPr>
            <w:tcW w:w="1494" w:type="dxa"/>
            <w:tcBorders>
              <w:top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top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top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69"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站牌</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区域地图、公交线路图</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公交时刻表</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实时动态信息</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restart"/>
            <w:tcBorders>
              <w:top w:val="single" w:color="auto" w:sz="4" w:space="0"/>
              <w:left w:val="nil"/>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便利设施</w:t>
            </w: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无障碍设施</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候车亭</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bottom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站台</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座椅</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top w:val="single" w:color="auto" w:sz="4" w:space="0"/>
              <w:lef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人行通道</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left w:val="single" w:color="auto" w:sz="4" w:space="0"/>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非机动车存放</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552" w:type="dxa"/>
            <w:tcBorders>
              <w:left w:val="single" w:color="auto" w:sz="4" w:space="0"/>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机动车停车换乘</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restart"/>
            <w:tcBorders>
              <w:left w:val="nil"/>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安全设施</w:t>
            </w: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候车廊</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jc w:val="center"/>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照明</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jc w:val="center"/>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监控</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jc w:val="center"/>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绿化</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restart"/>
            <w:tcBorders>
              <w:left w:val="nil"/>
            </w:tcBorders>
            <w:vAlign w:val="center"/>
          </w:tcPr>
          <w:p>
            <w:pPr>
              <w:autoSpaceDE w:val="0"/>
              <w:autoSpaceDN w:val="0"/>
              <w:spacing w:line="240" w:lineRule="auto"/>
              <w:ind w:firstLine="0" w:firstLineChars="0"/>
              <w:rPr>
                <w:rFonts w:cs="宋体"/>
                <w:sz w:val="21"/>
                <w:szCs w:val="21"/>
              </w:rPr>
            </w:pPr>
            <w:r>
              <w:rPr>
                <w:rFonts w:hint="eastAsia" w:cs="宋体"/>
                <w:sz w:val="21"/>
                <w:szCs w:val="21"/>
              </w:rPr>
              <w:t>运营管理</w:t>
            </w: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站场管理室</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线路调度室</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智能监控室</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司机休息室</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卫生间</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餐饮间</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清洁用具杂物间</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停车坪</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1134" w:type="dxa"/>
            <w:vMerge w:val="continue"/>
            <w:tcBorders>
              <w:left w:val="nil"/>
            </w:tcBorders>
            <w:vAlign w:val="center"/>
          </w:tcPr>
          <w:p>
            <w:pPr>
              <w:autoSpaceDE w:val="0"/>
              <w:autoSpaceDN w:val="0"/>
              <w:spacing w:line="240" w:lineRule="auto"/>
              <w:ind w:firstLine="0" w:firstLineChars="0"/>
              <w:rPr>
                <w:rFonts w:cs="宋体"/>
                <w:sz w:val="21"/>
                <w:szCs w:val="21"/>
              </w:rPr>
            </w:pPr>
          </w:p>
        </w:tc>
        <w:tc>
          <w:tcPr>
            <w:tcW w:w="2552"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回车道</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62" w:hRule="atLeast"/>
          <w:jc w:val="center"/>
        </w:trPr>
        <w:tc>
          <w:tcPr>
            <w:tcW w:w="1134" w:type="dxa"/>
            <w:vMerge w:val="continue"/>
            <w:tcBorders>
              <w:left w:val="nil"/>
              <w:bottom w:val="single" w:color="auto" w:sz="12" w:space="0"/>
            </w:tcBorders>
            <w:vAlign w:val="center"/>
          </w:tcPr>
          <w:p>
            <w:pPr>
              <w:autoSpaceDE w:val="0"/>
              <w:autoSpaceDN w:val="0"/>
              <w:spacing w:line="240" w:lineRule="auto"/>
              <w:ind w:firstLine="0" w:firstLineChars="0"/>
              <w:rPr>
                <w:rFonts w:cs="宋体"/>
                <w:sz w:val="21"/>
                <w:szCs w:val="21"/>
              </w:rPr>
            </w:pPr>
          </w:p>
        </w:tc>
        <w:tc>
          <w:tcPr>
            <w:tcW w:w="2552" w:type="dxa"/>
            <w:tcBorders>
              <w:bottom w:val="single" w:color="auto" w:sz="12" w:space="0"/>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小修和低保</w:t>
            </w:r>
          </w:p>
        </w:tc>
        <w:tc>
          <w:tcPr>
            <w:tcW w:w="1494" w:type="dxa"/>
            <w:tcBorders>
              <w:bottom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bottom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c>
          <w:tcPr>
            <w:tcW w:w="1494" w:type="dxa"/>
            <w:tcBorders>
              <w:bottom w:val="single" w:color="auto" w:sz="12" w:space="0"/>
              <w:right w:val="nil"/>
            </w:tcBorders>
            <w:vAlign w:val="center"/>
          </w:tcPr>
          <w:p>
            <w:pPr>
              <w:autoSpaceDE w:val="0"/>
              <w:autoSpaceDN w:val="0"/>
              <w:spacing w:line="240" w:lineRule="auto"/>
              <w:ind w:right="-120" w:rightChars="-50" w:firstLine="0" w:firstLineChars="0"/>
              <w:jc w:val="center"/>
              <w:rPr>
                <w:rFonts w:ascii="黑体" w:hAnsi="黑体" w:eastAsia="黑体" w:cs="宋体"/>
                <w:sz w:val="21"/>
                <w:szCs w:val="21"/>
              </w:rPr>
            </w:pPr>
            <w:r>
              <w:rPr>
                <w:rFonts w:hint="eastAsia" w:ascii="黑体" w:hAnsi="黑体" w:eastAsia="黑体" w:cs="宋体"/>
                <w:sz w:val="21"/>
                <w:szCs w:val="21"/>
              </w:rPr>
              <w:t>○</w:t>
            </w:r>
          </w:p>
        </w:tc>
      </w:tr>
    </w:tbl>
    <w:p>
      <w:pPr>
        <w:spacing w:before="0"/>
        <w:ind w:firstLine="315" w:firstLineChars="150"/>
        <w:rPr>
          <w:rFonts w:ascii="黑体" w:hAnsi="宋体" w:eastAsia="黑体" w:cs="宋体"/>
          <w:sz w:val="21"/>
          <w:szCs w:val="21"/>
        </w:rPr>
      </w:pPr>
      <w:r>
        <w:rPr>
          <w:rFonts w:hint="eastAsia" w:ascii="黑体" w:hAnsi="宋体" w:eastAsia="黑体"/>
          <w:sz w:val="21"/>
          <w:szCs w:val="21"/>
        </w:rPr>
        <w:t>注：</w:t>
      </w:r>
      <w:r>
        <w:rPr>
          <w:rFonts w:hint="eastAsia" w:ascii="黑体" w:hAnsi="宋体" w:eastAsia="黑体"/>
        </w:rPr>
        <w:t>“</w:t>
      </w:r>
      <w:r>
        <w:rPr>
          <w:rFonts w:hint="eastAsia" w:ascii="黑体" w:hAnsi="宋体" w:eastAsia="黑体" w:cs="宋体"/>
          <w:sz w:val="21"/>
          <w:szCs w:val="21"/>
        </w:rPr>
        <w:t>√”表示应有的设施，</w:t>
      </w:r>
      <w:r>
        <w:rPr>
          <w:rFonts w:hint="eastAsia" w:ascii="黑体" w:hAnsi="宋体" w:eastAsia="黑体"/>
        </w:rPr>
        <w:t>“</w:t>
      </w:r>
      <w:r>
        <w:rPr>
          <w:rFonts w:hint="eastAsia" w:ascii="黑体" w:hAnsi="宋体" w:eastAsia="黑体" w:cs="宋体"/>
          <w:sz w:val="21"/>
          <w:szCs w:val="21"/>
        </w:rPr>
        <w:t>○”表示可选择的设施。</w:t>
      </w:r>
    </w:p>
    <w:p>
      <w:pPr>
        <w:pStyle w:val="4"/>
      </w:pPr>
      <w:bookmarkStart w:id="135" w:name="_Toc353059416"/>
      <w:bookmarkStart w:id="136" w:name="_Toc372140076"/>
      <w:bookmarkStart w:id="137" w:name="_Toc12287"/>
      <w:bookmarkStart w:id="138" w:name="_Toc503152845"/>
      <w:bookmarkStart w:id="139" w:name="_Toc514171298"/>
      <w:r>
        <w:rPr>
          <w:rFonts w:hint="eastAsia"/>
        </w:rPr>
        <w:t>6.</w:t>
      </w:r>
      <w:bookmarkEnd w:id="135"/>
      <w:bookmarkEnd w:id="136"/>
      <w:bookmarkEnd w:id="137"/>
      <w:bookmarkEnd w:id="138"/>
      <w:r>
        <w:t xml:space="preserve">2 </w:t>
      </w:r>
      <w:r>
        <w:rPr>
          <w:rFonts w:hint="eastAsia"/>
        </w:rPr>
        <w:t>常规公交首末站规划</w:t>
      </w:r>
      <w:bookmarkEnd w:id="139"/>
    </w:p>
    <w:p>
      <w:pPr>
        <w:pStyle w:val="5"/>
        <w:spacing w:before="163" w:after="163"/>
        <w:rPr>
          <w:rFonts w:cs="Times New Roman"/>
        </w:rPr>
      </w:pPr>
      <w:bookmarkStart w:id="140" w:name="_Toc353059417"/>
      <w:bookmarkStart w:id="141" w:name="_Toc372140077"/>
      <w:bookmarkStart w:id="142" w:name="_Toc503152846"/>
      <w:bookmarkStart w:id="143" w:name="_Toc514171299"/>
      <w:r>
        <w:rPr>
          <w:rFonts w:hint="eastAsia" w:cs="Times New Roman"/>
        </w:rPr>
        <w:t>6.</w:t>
      </w:r>
      <w:bookmarkEnd w:id="140"/>
      <w:bookmarkEnd w:id="141"/>
      <w:bookmarkEnd w:id="142"/>
      <w:r>
        <w:rPr>
          <w:rFonts w:cs="Times New Roman"/>
        </w:rPr>
        <w:t>2.</w:t>
      </w:r>
      <w:r>
        <w:rPr>
          <w:rFonts w:hint="eastAsia" w:cs="Times New Roman"/>
        </w:rPr>
        <w:t>1 公交首末站设置原则及要求</w:t>
      </w:r>
      <w:bookmarkEnd w:id="143"/>
    </w:p>
    <w:p>
      <w:pPr>
        <w:spacing w:before="0"/>
        <w:ind w:firstLine="480"/>
      </w:pPr>
      <w:r>
        <w:rPr>
          <w:rFonts w:hint="eastAsia"/>
        </w:rPr>
        <w:t>公交首末站作为线路的主要控制点和若干线路的可能交汇点，关系到乘客出行是否方便、公共客运的社会经济效益和线路调整等重要方面。</w:t>
      </w:r>
    </w:p>
    <w:p>
      <w:pPr>
        <w:spacing w:before="0"/>
        <w:ind w:firstLine="480"/>
      </w:pPr>
      <w:r>
        <w:rPr>
          <w:rFonts w:hint="eastAsia"/>
        </w:rPr>
        <w:t>1、公交首末站的规划原则：</w:t>
      </w:r>
    </w:p>
    <w:p>
      <w:pPr>
        <w:spacing w:before="0"/>
        <w:ind w:firstLine="480"/>
      </w:pPr>
      <w:r>
        <w:rPr>
          <w:rFonts w:hint="eastAsia"/>
        </w:rPr>
        <w:t>（1）公交首末站的设置应与城市道路网的建设及发展相协调，设置在城市道路以外的用地上，宜选择在紧靠客流集散点和道路客流主要方向的同侧。</w:t>
      </w:r>
    </w:p>
    <w:p>
      <w:pPr>
        <w:spacing w:before="0"/>
        <w:ind w:firstLine="480"/>
      </w:pPr>
      <w:r>
        <w:rPr>
          <w:rFonts w:hint="eastAsia"/>
        </w:rPr>
        <w:t>（2）公交首末站的选址宜靠近人口比较集中、客流集散量较大而且周围有一定空地的位置，使大部分乘客处在以该站点为中心的服务半径范围内（通常为350m），最大距离不超过700～800m。</w:t>
      </w:r>
    </w:p>
    <w:p>
      <w:pPr>
        <w:spacing w:before="0"/>
        <w:ind w:firstLine="480"/>
      </w:pPr>
      <w:r>
        <w:rPr>
          <w:rFonts w:hint="eastAsia"/>
        </w:rPr>
        <w:t>（3）公交首末站的规模应按所服务的公交线路所配营运车辆的总数来确定。一般配车总数大于50辆的为大型站点；26～50辆的为中型站点；小于26辆的为小型站点。</w:t>
      </w:r>
      <w:r>
        <w:rPr>
          <w:rFonts w:hint="eastAsia"/>
          <w:szCs w:val="24"/>
        </w:rPr>
        <w:t>规划部门在作城区的新建、改建、扩建规划时，应配套安排首末站规划用地。对位于城市边线或近郊的首末站宜结合用地条件适当放宽用地标准。</w:t>
      </w:r>
    </w:p>
    <w:p>
      <w:pPr>
        <w:spacing w:before="0"/>
        <w:ind w:firstLine="480"/>
      </w:pPr>
      <w:r>
        <w:rPr>
          <w:rFonts w:hint="eastAsia"/>
        </w:rPr>
        <w:t>（4）与公交首末站相连的出入口应设置在道路使用面积较为富裕、服务水平良好的道路上，尽量避免接近平面交叉口，必要时出入口可设置信号控制，以减少对周边道路交通的干扰。</w:t>
      </w:r>
    </w:p>
    <w:p>
      <w:pPr>
        <w:spacing w:before="0"/>
        <w:ind w:firstLine="480"/>
      </w:pPr>
      <w:r>
        <w:rPr>
          <w:rFonts w:hint="eastAsia"/>
        </w:rPr>
        <w:t>2、公交首末站的设置要求</w:t>
      </w:r>
    </w:p>
    <w:p>
      <w:pPr>
        <w:spacing w:before="0"/>
        <w:ind w:firstLine="480"/>
      </w:pPr>
      <w:r>
        <w:rPr>
          <w:rFonts w:hint="eastAsia"/>
        </w:rPr>
        <w:t>（1）首末站规模</w:t>
      </w:r>
    </w:p>
    <w:p>
      <w:pPr>
        <w:spacing w:before="0"/>
        <w:ind w:firstLine="480"/>
      </w:pPr>
      <w:r>
        <w:rPr>
          <w:rFonts w:hint="eastAsia"/>
        </w:rPr>
        <w:t>根据《城市道路公共交通站、场、厂工程设计规范》（CJJ/T15—2011）中的要求，首末站的规模应该按线路所配运营的车辆总数确定，并应符合下列规定：</w:t>
      </w:r>
    </w:p>
    <w:p>
      <w:pPr>
        <w:widowControl w:val="0"/>
        <w:adjustRightInd/>
        <w:snapToGrid/>
        <w:spacing w:before="0" w:after="0"/>
        <w:ind w:firstLine="480"/>
        <w:jc w:val="left"/>
      </w:pPr>
      <w:r>
        <w:rPr>
          <w:rFonts w:hint="eastAsia"/>
        </w:rPr>
        <w:t>①线路所配运营车辆的总数宜考虑线路的发展需要；</w:t>
      </w:r>
    </w:p>
    <w:p>
      <w:pPr>
        <w:widowControl w:val="0"/>
        <w:adjustRightInd/>
        <w:snapToGrid/>
        <w:spacing w:before="0" w:after="0"/>
        <w:ind w:firstLine="480"/>
        <w:jc w:val="left"/>
      </w:pPr>
      <w:r>
        <w:rPr>
          <w:rFonts w:hint="eastAsia"/>
        </w:rPr>
        <w:t>②每辆标准车首末站用地面积应按100m</w:t>
      </w:r>
      <w:r>
        <w:rPr>
          <w:rFonts w:hint="eastAsia"/>
          <w:vertAlign w:val="superscript"/>
        </w:rPr>
        <w:t>2</w:t>
      </w:r>
      <w:r>
        <w:rPr>
          <w:rFonts w:hint="eastAsia"/>
        </w:rPr>
        <w:t>-120m</w:t>
      </w:r>
      <w:r>
        <w:rPr>
          <w:rFonts w:hint="eastAsia"/>
          <w:vertAlign w:val="superscript"/>
        </w:rPr>
        <w:t>2</w:t>
      </w:r>
      <w:r>
        <w:rPr>
          <w:rFonts w:hint="eastAsia"/>
        </w:rPr>
        <w:t>计算；其中回车道、行车道和候车亭用地应按每辆标准车20m</w:t>
      </w:r>
      <w:r>
        <w:rPr>
          <w:rFonts w:hint="eastAsia"/>
          <w:vertAlign w:val="superscript"/>
        </w:rPr>
        <w:t>2</w:t>
      </w:r>
      <w:r>
        <w:rPr>
          <w:rFonts w:hint="eastAsia"/>
        </w:rPr>
        <w:t>计算；办公用地含管理、调度、监控及职工休息、餐饮等，应按每辆标准车2-3m</w:t>
      </w:r>
      <w:r>
        <w:rPr>
          <w:rFonts w:hint="eastAsia"/>
          <w:vertAlign w:val="superscript"/>
        </w:rPr>
        <w:t>2</w:t>
      </w:r>
      <w:r>
        <w:rPr>
          <w:rFonts w:hint="eastAsia"/>
        </w:rPr>
        <w:t>计算；停车坪用地不应小于每辆标准车58 m</w:t>
      </w:r>
      <w:r>
        <w:rPr>
          <w:rFonts w:hint="eastAsia"/>
          <w:vertAlign w:val="superscript"/>
        </w:rPr>
        <w:t>2</w:t>
      </w:r>
      <w:r>
        <w:rPr>
          <w:rFonts w:hint="eastAsia"/>
        </w:rPr>
        <w:t>；绿地用地不宜小于用地面积的20%。用地狭长或高低错路等情况下，首末站用地面积应乘以1.5倍以上的用地系数；</w:t>
      </w:r>
    </w:p>
    <w:p>
      <w:pPr>
        <w:widowControl w:val="0"/>
        <w:adjustRightInd/>
        <w:snapToGrid/>
        <w:spacing w:before="0" w:after="0"/>
        <w:ind w:firstLine="480"/>
        <w:jc w:val="left"/>
      </w:pPr>
      <w:r>
        <w:rPr>
          <w:rFonts w:hint="eastAsia"/>
        </w:rPr>
        <w:t>③当首站不用作夜间停车时，用地面积应按线路全部运营车辆的60%计算；当首站用作夜间停车时，用地面积应按该线路全部运营车辆计算。首站办公用地面积不宜小于50m</w:t>
      </w:r>
      <w:r>
        <w:rPr>
          <w:rFonts w:hint="eastAsia"/>
          <w:vertAlign w:val="superscript"/>
        </w:rPr>
        <w:t>2</w:t>
      </w:r>
      <w:r>
        <w:rPr>
          <w:rFonts w:hint="eastAsia"/>
        </w:rPr>
        <w:t>；</w:t>
      </w:r>
    </w:p>
    <w:p>
      <w:pPr>
        <w:widowControl w:val="0"/>
        <w:adjustRightInd/>
        <w:snapToGrid/>
        <w:spacing w:before="0" w:after="0"/>
        <w:ind w:firstLine="480"/>
        <w:jc w:val="left"/>
      </w:pPr>
      <w:r>
        <w:rPr>
          <w:rFonts w:hint="eastAsia"/>
        </w:rPr>
        <w:t>④末站用地面积应按线路全部运营车辆的20%计算。末站办公用地面积不宜小于40m</w:t>
      </w:r>
      <w:r>
        <w:rPr>
          <w:rFonts w:hint="eastAsia"/>
          <w:vertAlign w:val="superscript"/>
        </w:rPr>
        <w:t>2</w:t>
      </w:r>
      <w:r>
        <w:rPr>
          <w:rFonts w:hint="eastAsia"/>
        </w:rPr>
        <w:t>；</w:t>
      </w:r>
    </w:p>
    <w:p>
      <w:pPr>
        <w:widowControl w:val="0"/>
        <w:adjustRightInd/>
        <w:snapToGrid/>
        <w:spacing w:before="0" w:after="0"/>
        <w:ind w:firstLine="480"/>
        <w:jc w:val="left"/>
      </w:pPr>
      <w:r>
        <w:rPr>
          <w:rFonts w:hint="eastAsia"/>
        </w:rPr>
        <w:t>⑤首末站用地不宜小于1000m</w:t>
      </w:r>
      <w:r>
        <w:rPr>
          <w:rFonts w:hint="eastAsia"/>
          <w:vertAlign w:val="superscript"/>
        </w:rPr>
        <w:t>2</w:t>
      </w:r>
      <w:r>
        <w:rPr>
          <w:rFonts w:hint="eastAsia"/>
        </w:rPr>
        <w:t>。</w:t>
      </w:r>
    </w:p>
    <w:p>
      <w:pPr>
        <w:ind w:firstLine="480"/>
      </w:pPr>
      <w:r>
        <w:rPr>
          <w:rFonts w:hint="eastAsia"/>
        </w:rPr>
        <w:t>（2）首末站候车亭形式</w:t>
      </w:r>
    </w:p>
    <w:p>
      <w:pPr>
        <w:spacing w:before="0"/>
        <w:ind w:firstLine="480"/>
      </w:pPr>
      <w:r>
        <w:rPr>
          <w:rFonts w:hint="eastAsia"/>
        </w:rPr>
        <w:t>根据《城市道路公共交通站、场、厂工程设计规范》（CJJ/T15—2011）中的要求，首末站应建设候车亭，候车亭设施必须防雨、抗震、防风、防雷；候车亭内应设置夜间照明装置；候车亭高度不宜低于2.5m，候车亭顶棚宽度不宜小于1.5m，且与站台边线竖向缩进距离不应小于0.25m；候车亭的建筑式样、材料、颜色等可根据本地的建筑特点和特定环境特征设计，宜实用与外形美相结合。站台长度不宜小于35m，宽度不宜小于2m，且应高出地面0.20m。首站站台应适量设置座椅。首末站应在明显的位置设置站牌标志和发车显示装置。首站可设置候车廊，廊长宜为15-20m。候车廊的隔离护栏应采用不易变形、防腐蚀性能好、易清洗的材料制作，隔离护栏与站台边线净距不得小于0.25m。</w:t>
      </w:r>
    </w:p>
    <w:p>
      <w:pPr>
        <w:spacing w:before="0"/>
        <w:ind w:firstLine="480"/>
      </w:pPr>
      <w:r>
        <w:rPr>
          <w:rFonts w:hint="eastAsia"/>
        </w:rPr>
        <w:t>首末站的形式应根据用地条件灵活布置，常见的形式有港湾式、锯齿式等，可根据具体情况选用。</w:t>
      </w:r>
    </w:p>
    <w:p>
      <w:pPr>
        <w:spacing w:before="0" w:after="0"/>
        <w:ind w:firstLine="0" w:firstLineChars="0"/>
        <w:jc w:val="center"/>
      </w:pPr>
      <w:r>
        <w:object>
          <v:shape id="_x0000_i1031" o:spt="75" type="#_x0000_t75" style="height:93.35pt;width:376pt;" o:ole="t" filled="f" o:preferrelative="t" stroked="f" coordsize="21600,21600">
            <v:path/>
            <v:fill on="f" focussize="0,0"/>
            <v:stroke on="f" joinstyle="miter"/>
            <v:imagedata r:id="rId76" o:title=""/>
            <o:lock v:ext="edit" aspectratio="t"/>
            <w10:wrap type="none"/>
            <w10:anchorlock/>
          </v:shape>
          <o:OLEObject Type="Embed" ProgID="Visio.Drawing.11" ShapeID="_x0000_i1031" DrawAspect="Content" ObjectID="_1468075731" r:id="rId75">
            <o:LockedField>false</o:LockedField>
          </o:OLEObject>
        </w:object>
      </w:r>
    </w:p>
    <w:p>
      <w:pPr>
        <w:pStyle w:val="117"/>
      </w:pPr>
      <w:r>
        <w:rPr>
          <w:rFonts w:hint="eastAsia"/>
        </w:rPr>
        <w:t>图</w:t>
      </w:r>
      <w:r>
        <w:t>6-</w:t>
      </w:r>
      <w:r>
        <w:rPr>
          <w:rFonts w:hint="eastAsia"/>
        </w:rPr>
        <w:t>2</w:t>
      </w:r>
      <w:r>
        <w:t xml:space="preserve">  </w:t>
      </w:r>
      <w:r>
        <w:rPr>
          <w:rFonts w:hint="eastAsia"/>
        </w:rPr>
        <w:t>港湾式首末站</w:t>
      </w:r>
    </w:p>
    <w:p>
      <w:pPr>
        <w:spacing w:before="0" w:after="0"/>
        <w:ind w:firstLine="0" w:firstLineChars="0"/>
        <w:jc w:val="center"/>
      </w:pPr>
      <w:r>
        <w:object>
          <v:shape id="_x0000_i1032" o:spt="75" type="#_x0000_t75" style="height:94pt;width:374.65pt;" o:ole="t" filled="f" o:preferrelative="t" stroked="f" coordsize="21600,21600">
            <v:path/>
            <v:fill on="f" focussize="0,0"/>
            <v:stroke on="f" joinstyle="miter"/>
            <v:imagedata r:id="rId78" o:title=""/>
            <o:lock v:ext="edit" aspectratio="t"/>
            <w10:wrap type="none"/>
            <w10:anchorlock/>
          </v:shape>
          <o:OLEObject Type="Embed" ProgID="Visio.Drawing.11" ShapeID="_x0000_i1032" DrawAspect="Content" ObjectID="_1468075732" r:id="rId77">
            <o:LockedField>false</o:LockedField>
          </o:OLEObject>
        </w:object>
      </w:r>
    </w:p>
    <w:p>
      <w:pPr>
        <w:pStyle w:val="117"/>
      </w:pPr>
      <w:r>
        <w:rPr>
          <w:rFonts w:hint="eastAsia"/>
        </w:rPr>
        <w:t>图</w:t>
      </w:r>
      <w:r>
        <w:t>6-</w:t>
      </w:r>
      <w:r>
        <w:rPr>
          <w:rFonts w:hint="eastAsia"/>
        </w:rPr>
        <w:t>3</w:t>
      </w:r>
      <w:r>
        <w:t xml:space="preserve">  </w:t>
      </w:r>
      <w:r>
        <w:rPr>
          <w:rFonts w:hint="eastAsia"/>
        </w:rPr>
        <w:t>锯齿式首末站</w:t>
      </w:r>
    </w:p>
    <w:p>
      <w:pPr>
        <w:ind w:firstLine="480"/>
      </w:pPr>
      <w:bookmarkStart w:id="144" w:name="_Toc353059418"/>
      <w:bookmarkStart w:id="145" w:name="_Toc503152847"/>
      <w:bookmarkStart w:id="146" w:name="_Toc372140078"/>
      <w:r>
        <w:rPr>
          <w:rFonts w:hint="eastAsia"/>
        </w:rPr>
        <w:t>（3）首末站类型</w:t>
      </w:r>
    </w:p>
    <w:p>
      <w:pPr>
        <w:ind w:firstLine="480"/>
      </w:pPr>
      <w:r>
        <w:rPr>
          <w:rFonts w:hint="eastAsia"/>
        </w:rPr>
        <w:t>鉴于公交首末站的重要性，为优先保障其用地的落实与站台设施的建设，首末站选址用地均落实在城市远期公交枢纽用地、社会停车用地及公共交通用地上。通过结合不同类型用地设置不同类型的首末站，保证公交首末站的实施建设，为公交线路的稳定运行提供有力的支持，确保公交优先落到实处。</w:t>
      </w:r>
    </w:p>
    <w:p>
      <w:pPr>
        <w:ind w:firstLine="482"/>
      </w:pPr>
      <w:r>
        <w:rPr>
          <w:rFonts w:hint="eastAsia"/>
          <w:b/>
        </w:rPr>
        <w:t>设置形式一</w:t>
      </w:r>
      <w:r>
        <w:rPr>
          <w:rFonts w:hint="eastAsia"/>
        </w:rPr>
        <w:t>：首末站结合枢纽站建设。公交枢纽站作为城市公交系统重要的整合点，首末站应以公交枢纽站规划为基础，与公交枢纽站进行资源整合，实现城市公交系统的集约化发展，并充分发挥枢纽站的客流集散与衔接的能力。</w:t>
      </w:r>
    </w:p>
    <w:p>
      <w:pPr>
        <w:ind w:firstLine="482"/>
      </w:pPr>
      <w:r>
        <w:rPr>
          <w:rFonts w:hint="eastAsia"/>
          <w:b/>
        </w:rPr>
        <w:t>设置形式二：</w:t>
      </w:r>
      <w:r>
        <w:rPr>
          <w:rFonts w:hint="eastAsia"/>
        </w:rPr>
        <w:t>首末站结合社会停车场用地。在城市土地资源紧张的情况下，可以考虑将首末站与社会车辆停车场结合设置，其设置方式主要包括对时间及空间资源的分配。时间上主要通过错时共享原则：公交车运营时段为小汽车提供停车服务；而夜间公交车收车时段，则为公交车提供停放服务；空间上通过立体分离原则：一般可通过建设综合停车楼实现，地面作为公交首末站用地，而社会车辆则利用立体设施停放。</w:t>
      </w:r>
    </w:p>
    <w:p>
      <w:pPr>
        <w:ind w:firstLine="482"/>
      </w:pPr>
      <w:r>
        <w:rPr>
          <w:rFonts w:hint="eastAsia"/>
          <w:b/>
        </w:rPr>
        <w:t>设置形式三：</w:t>
      </w:r>
      <w:r>
        <w:rPr>
          <w:rFonts w:hint="eastAsia"/>
        </w:rPr>
        <w:t>利用公共交通用地进行设置。在远期城市公交用地上设置公交首末站，以按需布局为原则，满足近期线网布设需求。</w:t>
      </w:r>
    </w:p>
    <w:p>
      <w:pPr>
        <w:ind w:firstLine="482"/>
      </w:pPr>
      <w:r>
        <w:rPr>
          <w:rFonts w:hint="eastAsia"/>
          <w:b/>
        </w:rPr>
        <w:t>设置形式四：</w:t>
      </w:r>
      <w:r>
        <w:rPr>
          <w:rFonts w:hint="eastAsia"/>
        </w:rPr>
        <w:t>根据需要暂设简易首末站。在线路延伸具备必要性，但用地资源紧张，或近期改扩建困难的情况下，暂时通过设置公交调度室，利用次路或支路形成简易首末站。待未来城市路网进一步完善，通过优化公交线路尾端实现首末站资源的配置。</w:t>
      </w:r>
    </w:p>
    <w:p>
      <w:pPr>
        <w:ind w:firstLine="0" w:firstLineChars="0"/>
        <w:jc w:val="center"/>
      </w:pPr>
      <w:r>
        <w:drawing>
          <wp:inline distT="0" distB="0" distL="0" distR="0">
            <wp:extent cx="1803400" cy="1157605"/>
            <wp:effectExtent l="0" t="0" r="6350" b="444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9" cstate="print">
                      <a:extLst>
                        <a:ext uri="{28A0092B-C50C-407E-A947-70E740481C1C}">
                          <a14:useLocalDpi xmlns:a14="http://schemas.microsoft.com/office/drawing/2010/main" val="0"/>
                        </a:ext>
                      </a:extLst>
                    </a:blip>
                    <a:srcRect r="2023" b="10136"/>
                    <a:stretch>
                      <a:fillRect/>
                    </a:stretch>
                  </pic:blipFill>
                  <pic:spPr>
                    <a:xfrm>
                      <a:off x="0" y="0"/>
                      <a:ext cx="1803400" cy="1157605"/>
                    </a:xfrm>
                    <a:prstGeom prst="rect">
                      <a:avLst/>
                    </a:prstGeom>
                    <a:noFill/>
                    <a:ln>
                      <a:noFill/>
                    </a:ln>
                  </pic:spPr>
                </pic:pic>
              </a:graphicData>
            </a:graphic>
          </wp:inline>
        </w:drawing>
      </w:r>
      <w:r>
        <w:rPr>
          <w:rFonts w:hint="eastAsia"/>
        </w:rPr>
        <w:t xml:space="preserve"> </w:t>
      </w:r>
      <w:r>
        <w:t xml:space="preserve">         </w:t>
      </w:r>
      <w:r>
        <w:drawing>
          <wp:inline distT="0" distB="0" distL="0" distR="0">
            <wp:extent cx="1803400" cy="1183005"/>
            <wp:effectExtent l="0" t="0" r="635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80" cstate="print">
                      <a:extLst>
                        <a:ext uri="{28A0092B-C50C-407E-A947-70E740481C1C}">
                          <a14:useLocalDpi xmlns:a14="http://schemas.microsoft.com/office/drawing/2010/main" val="0"/>
                        </a:ext>
                      </a:extLst>
                    </a:blip>
                    <a:srcRect t="5826" r="2005" b="-2"/>
                    <a:stretch>
                      <a:fillRect/>
                    </a:stretch>
                  </pic:blipFill>
                  <pic:spPr>
                    <a:xfrm>
                      <a:off x="0" y="0"/>
                      <a:ext cx="1803400" cy="1183005"/>
                    </a:xfrm>
                    <a:prstGeom prst="rect">
                      <a:avLst/>
                    </a:prstGeom>
                    <a:noFill/>
                    <a:ln>
                      <a:noFill/>
                    </a:ln>
                  </pic:spPr>
                </pic:pic>
              </a:graphicData>
            </a:graphic>
          </wp:inline>
        </w:drawing>
      </w:r>
    </w:p>
    <w:p>
      <w:pPr>
        <w:ind w:firstLine="0" w:firstLineChars="0"/>
        <w:jc w:val="center"/>
      </w:pPr>
      <w:r>
        <w:rPr>
          <w:rFonts w:hint="eastAsia"/>
        </w:rPr>
        <w:t xml:space="preserve">（a）形式一 </w:t>
      </w:r>
      <w:r>
        <w:t xml:space="preserve">                     </w:t>
      </w:r>
      <w:r>
        <w:rPr>
          <w:rFonts w:hint="eastAsia"/>
        </w:rPr>
        <w:t>（b）形式二</w:t>
      </w:r>
    </w:p>
    <w:p>
      <w:pPr>
        <w:ind w:firstLine="0" w:firstLineChars="0"/>
        <w:jc w:val="center"/>
      </w:pPr>
      <w:r>
        <w:drawing>
          <wp:inline distT="0" distB="0" distL="0" distR="0">
            <wp:extent cx="1803400" cy="1082040"/>
            <wp:effectExtent l="0" t="0" r="6350" b="381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1">
                      <a:extLst>
                        <a:ext uri="{28A0092B-C50C-407E-A947-70E740481C1C}">
                          <a14:useLocalDpi xmlns:a14="http://schemas.microsoft.com/office/drawing/2010/main" val="0"/>
                        </a:ext>
                      </a:extLst>
                    </a:blip>
                    <a:srcRect l="2943" t="2362" r="3773" b="-2"/>
                    <a:stretch>
                      <a:fillRect/>
                    </a:stretch>
                  </pic:blipFill>
                  <pic:spPr>
                    <a:xfrm>
                      <a:off x="0" y="0"/>
                      <a:ext cx="1803400" cy="1082040"/>
                    </a:xfrm>
                    <a:prstGeom prst="rect">
                      <a:avLst/>
                    </a:prstGeom>
                    <a:noFill/>
                    <a:ln>
                      <a:noFill/>
                    </a:ln>
                  </pic:spPr>
                </pic:pic>
              </a:graphicData>
            </a:graphic>
          </wp:inline>
        </w:drawing>
      </w:r>
      <w:r>
        <w:rPr>
          <w:rFonts w:hint="eastAsia"/>
        </w:rPr>
        <w:t xml:space="preserve"> </w:t>
      </w:r>
      <w:r>
        <w:t xml:space="preserve">         </w:t>
      </w:r>
      <w:r>
        <w:drawing>
          <wp:inline distT="0" distB="0" distL="0" distR="0">
            <wp:extent cx="1803400" cy="1099185"/>
            <wp:effectExtent l="0" t="0" r="6350" b="571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82">
                      <a:extLst>
                        <a:ext uri="{28A0092B-C50C-407E-A947-70E740481C1C}">
                          <a14:useLocalDpi xmlns:a14="http://schemas.microsoft.com/office/drawing/2010/main" val="0"/>
                        </a:ext>
                      </a:extLst>
                    </a:blip>
                    <a:srcRect t="16621" r="-2126"/>
                    <a:stretch>
                      <a:fillRect/>
                    </a:stretch>
                  </pic:blipFill>
                  <pic:spPr>
                    <a:xfrm>
                      <a:off x="0" y="0"/>
                      <a:ext cx="1803400" cy="1099185"/>
                    </a:xfrm>
                    <a:prstGeom prst="rect">
                      <a:avLst/>
                    </a:prstGeom>
                    <a:noFill/>
                    <a:ln>
                      <a:noFill/>
                    </a:ln>
                  </pic:spPr>
                </pic:pic>
              </a:graphicData>
            </a:graphic>
          </wp:inline>
        </w:drawing>
      </w:r>
    </w:p>
    <w:p>
      <w:pPr>
        <w:ind w:firstLine="0" w:firstLineChars="0"/>
        <w:jc w:val="center"/>
      </w:pPr>
      <w:r>
        <w:rPr>
          <w:rFonts w:hint="eastAsia"/>
        </w:rPr>
        <w:t xml:space="preserve">（c）形式三 </w:t>
      </w:r>
      <w:r>
        <w:t xml:space="preserve">                     </w:t>
      </w:r>
      <w:r>
        <w:rPr>
          <w:rFonts w:hint="eastAsia"/>
        </w:rPr>
        <w:t>（d）形式四</w:t>
      </w:r>
    </w:p>
    <w:p>
      <w:pPr>
        <w:pStyle w:val="117"/>
      </w:pPr>
      <w:r>
        <w:rPr>
          <w:rFonts w:hint="eastAsia"/>
        </w:rPr>
        <w:t>图6-</w:t>
      </w:r>
      <w:r>
        <w:t>4</w:t>
      </w:r>
      <w:r>
        <w:rPr>
          <w:rFonts w:hint="eastAsia"/>
        </w:rPr>
        <w:t xml:space="preserve"> </w:t>
      </w:r>
      <w:r>
        <w:t xml:space="preserve"> </w:t>
      </w:r>
      <w:r>
        <w:rPr>
          <w:rFonts w:hint="eastAsia"/>
        </w:rPr>
        <w:t>公交首末站设置形式</w:t>
      </w:r>
    </w:p>
    <w:p>
      <w:pPr>
        <w:pStyle w:val="5"/>
        <w:spacing w:before="163" w:after="163"/>
        <w:rPr>
          <w:rFonts w:cs="Times New Roman"/>
        </w:rPr>
      </w:pPr>
      <w:bookmarkStart w:id="147" w:name="_Toc514171300"/>
      <w:r>
        <w:rPr>
          <w:rFonts w:hint="eastAsia" w:cs="Times New Roman"/>
        </w:rPr>
        <w:t>6.</w:t>
      </w:r>
      <w:bookmarkEnd w:id="144"/>
      <w:bookmarkEnd w:id="145"/>
      <w:bookmarkEnd w:id="146"/>
      <w:r>
        <w:rPr>
          <w:rFonts w:cs="Times New Roman"/>
        </w:rPr>
        <w:t>2</w:t>
      </w:r>
      <w:r>
        <w:rPr>
          <w:rFonts w:hint="eastAsia" w:cs="Times New Roman"/>
        </w:rPr>
        <w:t>.2</w:t>
      </w:r>
      <w:r>
        <w:rPr>
          <w:rFonts w:cs="Times New Roman"/>
        </w:rPr>
        <w:t xml:space="preserve"> </w:t>
      </w:r>
      <w:r>
        <w:rPr>
          <w:rFonts w:hint="eastAsia" w:cs="Times New Roman"/>
        </w:rPr>
        <w:t>公交首末站规划成果</w:t>
      </w:r>
      <w:bookmarkEnd w:id="147"/>
    </w:p>
    <w:p>
      <w:pPr>
        <w:spacing w:before="0"/>
        <w:ind w:firstLine="480"/>
      </w:pPr>
      <w:r>
        <w:rPr>
          <w:rFonts w:hint="eastAsia"/>
        </w:rPr>
        <w:t>通过</w:t>
      </w:r>
      <w:r>
        <w:t>对</w:t>
      </w:r>
      <w:r>
        <w:rPr>
          <w:rFonts w:hint="eastAsia"/>
        </w:rPr>
        <w:t>资阳市</w:t>
      </w:r>
      <w:r>
        <w:t>公交体系的</w:t>
      </w:r>
      <w:r>
        <w:rPr>
          <w:rFonts w:hint="eastAsia"/>
        </w:rPr>
        <w:t>实地考察</w:t>
      </w:r>
      <w:r>
        <w:t>调研以及</w:t>
      </w:r>
      <w:r>
        <w:rPr>
          <w:rFonts w:hint="eastAsia"/>
        </w:rPr>
        <w:t>资阳</w:t>
      </w:r>
      <w:r>
        <w:t>市</w:t>
      </w:r>
      <w:r>
        <w:rPr>
          <w:rFonts w:hint="eastAsia"/>
        </w:rPr>
        <w:t>城市总体规划进行了解</w:t>
      </w:r>
      <w:r>
        <w:t>，</w:t>
      </w:r>
      <w:r>
        <w:rPr>
          <w:rFonts w:hint="eastAsia"/>
        </w:rPr>
        <w:t>根据首末站的设置原则，以改善居民候车环境、提高居民出行满意度、保证公交车辆良好运行为目标，本次规划在资阳市中心城区建设1</w:t>
      </w:r>
      <w:r>
        <w:t>2</w:t>
      </w:r>
      <w:r>
        <w:rPr>
          <w:rFonts w:hint="eastAsia"/>
        </w:rPr>
        <w:t>个公交首末站，建议相关部门在这几处预留足够公交用地，已备后期建设。本次规划的1</w:t>
      </w:r>
      <w:r>
        <w:t>2</w:t>
      </w:r>
      <w:r>
        <w:rPr>
          <w:rFonts w:hint="eastAsia"/>
        </w:rPr>
        <w:t>个公交首末站与上位规划的15个公交首末站（包括有4个首末站功能的公交枢纽）基本相符合，预期建设的公交首末站已经能够完全满足现有公交车的停放需求，而且已基本覆盖资阳市中心城区各功能片区。</w:t>
      </w:r>
    </w:p>
    <w:p>
      <w:pPr>
        <w:spacing w:before="0"/>
        <w:ind w:firstLine="480"/>
      </w:pPr>
      <w:r>
        <w:rPr>
          <w:rFonts w:hint="eastAsia"/>
        </w:rPr>
        <w:t>规划设置1</w:t>
      </w:r>
      <w:r>
        <w:t>2</w:t>
      </w:r>
      <w:r>
        <w:rPr>
          <w:rFonts w:hint="eastAsia"/>
        </w:rPr>
        <w:t>个首末站；城北片区设置</w:t>
      </w:r>
      <w:r>
        <w:t>6</w:t>
      </w:r>
      <w:r>
        <w:rPr>
          <w:rFonts w:hint="eastAsia"/>
        </w:rPr>
        <w:t>个首末站；城南片区设置</w:t>
      </w:r>
      <w:r>
        <w:t>3</w:t>
      </w:r>
      <w:r>
        <w:rPr>
          <w:rFonts w:hint="eastAsia"/>
        </w:rPr>
        <w:t>个首末站；沱东片区设置3个首末站。</w:t>
      </w:r>
      <w:r>
        <w:t>公交首末站具体规划结果</w:t>
      </w:r>
      <w:r>
        <w:rPr>
          <w:rFonts w:hint="eastAsia"/>
        </w:rPr>
        <w:t>表6-</w:t>
      </w:r>
      <w:r>
        <w:t>3所示。</w:t>
      </w:r>
    </w:p>
    <w:p>
      <w:pPr>
        <w:pStyle w:val="113"/>
        <w:spacing w:before="163" w:after="163"/>
      </w:pPr>
      <w:bookmarkStart w:id="148" w:name="_Toc362543125"/>
      <w:r>
        <w:rPr>
          <w:rFonts w:hint="eastAsia"/>
        </w:rPr>
        <w:t>表</w:t>
      </w:r>
      <w:r>
        <w:t>6-</w:t>
      </w:r>
      <w:r>
        <w:rPr>
          <w:rFonts w:hint="eastAsia"/>
        </w:rPr>
        <w:t>3</w:t>
      </w:r>
      <w:r>
        <w:t xml:space="preserve">  </w:t>
      </w:r>
      <w:r>
        <w:rPr>
          <w:rFonts w:hint="eastAsia"/>
        </w:rPr>
        <w:t>资阳市中心城区公交首末站规划一览表</w:t>
      </w:r>
      <w:bookmarkEnd w:id="148"/>
    </w:p>
    <w:tbl>
      <w:tblPr>
        <w:tblStyle w:val="94"/>
        <w:tblW w:w="864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442"/>
        <w:gridCol w:w="1771"/>
        <w:gridCol w:w="1172"/>
        <w:gridCol w:w="1552"/>
        <w:gridCol w:w="1410"/>
        <w:gridCol w:w="229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24" w:hRule="atLeast"/>
        </w:trPr>
        <w:tc>
          <w:tcPr>
            <w:tcW w:w="2213" w:type="dxa"/>
            <w:gridSpan w:val="2"/>
            <w:tcBorders>
              <w:top w:val="single" w:color="auto" w:sz="12" w:space="0"/>
              <w:left w:val="nil"/>
              <w:bottom w:val="single" w:color="auto" w:sz="12" w:space="0"/>
            </w:tcBorders>
            <w:shd w:val="clear" w:color="auto" w:fill="CCC0D9"/>
            <w:vAlign w:val="center"/>
          </w:tcPr>
          <w:p>
            <w:pPr>
              <w:widowControl w:val="0"/>
              <w:adjustRightInd/>
              <w:snapToGrid/>
              <w:spacing w:before="156" w:after="156"/>
              <w:ind w:firstLine="0" w:firstLineChars="0"/>
              <w:jc w:val="center"/>
              <w:textAlignment w:val="center"/>
              <w:rPr>
                <w:rFonts w:cs="Times New Roman" w:eastAsiaTheme="majorEastAsia"/>
                <w:b/>
                <w:snapToGrid w:val="0"/>
                <w:sz w:val="21"/>
                <w:szCs w:val="21"/>
              </w:rPr>
            </w:pPr>
            <w:bookmarkStart w:id="149" w:name="_Hlk464803097"/>
            <w:r>
              <w:rPr>
                <w:rFonts w:cs="Times New Roman" w:eastAsiaTheme="majorEastAsia"/>
                <w:b/>
                <w:snapToGrid w:val="0"/>
                <w:sz w:val="21"/>
                <w:szCs w:val="21"/>
              </w:rPr>
              <w:t>首末站名称</w:t>
            </w:r>
          </w:p>
        </w:tc>
        <w:tc>
          <w:tcPr>
            <w:tcW w:w="1172" w:type="dxa"/>
            <w:tcBorders>
              <w:top w:val="single" w:color="auto" w:sz="12" w:space="0"/>
              <w:bottom w:val="single" w:color="auto" w:sz="12" w:space="0"/>
              <w:right w:val="nil"/>
            </w:tcBorders>
            <w:shd w:val="clear" w:color="auto" w:fill="CCC0D9"/>
            <w:vAlign w:val="center"/>
          </w:tcPr>
          <w:p>
            <w:pPr>
              <w:widowControl w:val="0"/>
              <w:adjustRightInd/>
              <w:snapToGrid/>
              <w:spacing w:before="156" w:after="156"/>
              <w:ind w:firstLine="0" w:firstLineChars="0"/>
              <w:jc w:val="center"/>
              <w:textAlignment w:val="center"/>
              <w:rPr>
                <w:rFonts w:cs="Times New Roman" w:eastAsiaTheme="majorEastAsia"/>
                <w:b/>
                <w:snapToGrid w:val="0"/>
                <w:sz w:val="21"/>
                <w:szCs w:val="21"/>
              </w:rPr>
            </w:pPr>
            <w:r>
              <w:rPr>
                <w:rFonts w:cs="Times New Roman" w:eastAsiaTheme="majorEastAsia"/>
                <w:b/>
                <w:snapToGrid w:val="0"/>
                <w:sz w:val="21"/>
                <w:szCs w:val="21"/>
              </w:rPr>
              <w:t>包含线路（条）</w:t>
            </w:r>
          </w:p>
        </w:tc>
        <w:tc>
          <w:tcPr>
            <w:tcW w:w="1552" w:type="dxa"/>
            <w:tcBorders>
              <w:top w:val="single" w:color="auto" w:sz="12" w:space="0"/>
              <w:bottom w:val="single" w:color="auto" w:sz="12" w:space="0"/>
              <w:right w:val="nil"/>
            </w:tcBorders>
            <w:shd w:val="clear" w:color="auto" w:fill="CCC0D9"/>
            <w:vAlign w:val="center"/>
          </w:tcPr>
          <w:p>
            <w:pPr>
              <w:widowControl w:val="0"/>
              <w:adjustRightInd/>
              <w:snapToGrid/>
              <w:spacing w:before="156" w:after="156"/>
              <w:ind w:firstLine="0" w:firstLineChars="0"/>
              <w:jc w:val="center"/>
              <w:textAlignment w:val="center"/>
              <w:rPr>
                <w:rFonts w:cs="Times New Roman" w:eastAsiaTheme="majorEastAsia"/>
                <w:b/>
                <w:snapToGrid w:val="0"/>
                <w:sz w:val="21"/>
                <w:szCs w:val="21"/>
              </w:rPr>
            </w:pPr>
            <w:r>
              <w:rPr>
                <w:rFonts w:cs="Times New Roman" w:eastAsiaTheme="majorEastAsia"/>
                <w:b/>
                <w:snapToGrid w:val="0"/>
                <w:sz w:val="21"/>
                <w:szCs w:val="21"/>
              </w:rPr>
              <w:t>建设规模（m</w:t>
            </w:r>
            <w:r>
              <w:rPr>
                <w:rFonts w:cs="Times New Roman" w:eastAsiaTheme="majorEastAsia"/>
                <w:b/>
                <w:snapToGrid w:val="0"/>
                <w:sz w:val="21"/>
                <w:szCs w:val="21"/>
                <w:vertAlign w:val="superscript"/>
              </w:rPr>
              <w:t>2</w:t>
            </w:r>
            <w:r>
              <w:rPr>
                <w:rFonts w:cs="Times New Roman" w:eastAsiaTheme="majorEastAsia"/>
                <w:b/>
                <w:snapToGrid w:val="0"/>
                <w:sz w:val="21"/>
                <w:szCs w:val="21"/>
              </w:rPr>
              <w:t>）</w:t>
            </w:r>
          </w:p>
        </w:tc>
        <w:tc>
          <w:tcPr>
            <w:tcW w:w="1410" w:type="dxa"/>
            <w:tcBorders>
              <w:top w:val="single" w:color="auto" w:sz="12" w:space="0"/>
              <w:bottom w:val="single" w:color="auto" w:sz="12" w:space="0"/>
            </w:tcBorders>
            <w:shd w:val="clear" w:color="auto" w:fill="CCC0D9"/>
            <w:vAlign w:val="center"/>
          </w:tcPr>
          <w:p>
            <w:pPr>
              <w:widowControl w:val="0"/>
              <w:adjustRightInd/>
              <w:snapToGrid/>
              <w:spacing w:before="156" w:after="156"/>
              <w:ind w:firstLine="0" w:firstLineChars="0"/>
              <w:jc w:val="center"/>
              <w:textAlignment w:val="center"/>
              <w:rPr>
                <w:rFonts w:cs="Times New Roman" w:eastAsiaTheme="majorEastAsia"/>
                <w:b/>
                <w:snapToGrid w:val="0"/>
                <w:sz w:val="21"/>
                <w:szCs w:val="21"/>
              </w:rPr>
            </w:pPr>
            <w:r>
              <w:rPr>
                <w:rFonts w:cs="Times New Roman" w:eastAsiaTheme="majorEastAsia"/>
                <w:b/>
                <w:snapToGrid w:val="0"/>
                <w:sz w:val="21"/>
                <w:szCs w:val="21"/>
              </w:rPr>
              <w:t>建设类型</w:t>
            </w:r>
          </w:p>
        </w:tc>
        <w:tc>
          <w:tcPr>
            <w:tcW w:w="2294" w:type="dxa"/>
            <w:tcBorders>
              <w:top w:val="single" w:color="auto" w:sz="12" w:space="0"/>
              <w:bottom w:val="single" w:color="auto" w:sz="12" w:space="0"/>
              <w:right w:val="nil"/>
            </w:tcBorders>
            <w:shd w:val="clear" w:color="auto" w:fill="CCC0D9"/>
            <w:vAlign w:val="center"/>
          </w:tcPr>
          <w:p>
            <w:pPr>
              <w:widowControl w:val="0"/>
              <w:adjustRightInd/>
              <w:snapToGrid/>
              <w:spacing w:before="156" w:after="156"/>
              <w:ind w:firstLine="0" w:firstLineChars="0"/>
              <w:jc w:val="center"/>
              <w:textAlignment w:val="center"/>
              <w:rPr>
                <w:rFonts w:cs="Times New Roman" w:eastAsiaTheme="majorEastAsia"/>
                <w:b/>
                <w:snapToGrid w:val="0"/>
                <w:sz w:val="21"/>
                <w:szCs w:val="21"/>
              </w:rPr>
            </w:pPr>
            <w:r>
              <w:rPr>
                <w:rFonts w:cs="Times New Roman" w:eastAsiaTheme="majorEastAsia"/>
                <w:b/>
                <w:snapToGrid w:val="0"/>
                <w:sz w:val="21"/>
                <w:szCs w:val="21"/>
              </w:rPr>
              <w:t>建设年限</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restart"/>
            <w:tcBorders>
              <w:top w:val="single" w:color="auto" w:sz="12" w:space="0"/>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城北片区</w:t>
            </w:r>
          </w:p>
        </w:tc>
        <w:tc>
          <w:tcPr>
            <w:tcW w:w="1771" w:type="dxa"/>
            <w:tcBorders>
              <w:top w:val="single" w:color="auto" w:sz="12"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清泉首末站</w:t>
            </w:r>
          </w:p>
        </w:tc>
        <w:tc>
          <w:tcPr>
            <w:tcW w:w="1172" w:type="dxa"/>
            <w:tcBorders>
              <w:top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auto" w:sz="12"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教育园区首末站</w:t>
            </w:r>
          </w:p>
        </w:tc>
        <w:tc>
          <w:tcPr>
            <w:tcW w:w="117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6</w:t>
            </w:r>
          </w:p>
        </w:tc>
        <w:tc>
          <w:tcPr>
            <w:tcW w:w="155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3000</w:t>
            </w:r>
          </w:p>
        </w:tc>
        <w:tc>
          <w:tcPr>
            <w:tcW w:w="1410"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形式三</w:t>
            </w:r>
          </w:p>
        </w:tc>
        <w:tc>
          <w:tcPr>
            <w:tcW w:w="2294"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沱江新城首末站</w:t>
            </w:r>
          </w:p>
        </w:tc>
        <w:tc>
          <w:tcPr>
            <w:tcW w:w="117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3</w:t>
            </w:r>
          </w:p>
        </w:tc>
        <w:tc>
          <w:tcPr>
            <w:tcW w:w="155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2000</w:t>
            </w:r>
          </w:p>
        </w:tc>
        <w:tc>
          <w:tcPr>
            <w:tcW w:w="1410"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形式三</w:t>
            </w:r>
          </w:p>
        </w:tc>
        <w:tc>
          <w:tcPr>
            <w:tcW w:w="2294"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凤岭公园首末站</w:t>
            </w:r>
          </w:p>
        </w:tc>
        <w:tc>
          <w:tcPr>
            <w:tcW w:w="117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2</w:t>
            </w:r>
          </w:p>
        </w:tc>
        <w:tc>
          <w:tcPr>
            <w:tcW w:w="155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幸福谷首末站</w:t>
            </w:r>
          </w:p>
        </w:tc>
        <w:tc>
          <w:tcPr>
            <w:tcW w:w="117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hint="eastAsia" w:cs="Times New Roman" w:eastAsiaTheme="majorEastAsia"/>
                <w:snapToGrid w:val="0"/>
                <w:sz w:val="21"/>
                <w:szCs w:val="21"/>
              </w:rPr>
              <w:t>莲花办事处</w:t>
            </w:r>
          </w:p>
        </w:tc>
        <w:tc>
          <w:tcPr>
            <w:tcW w:w="117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restart"/>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城南片区</w:t>
            </w:r>
          </w:p>
        </w:tc>
        <w:tc>
          <w:tcPr>
            <w:tcW w:w="1771"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侯家坪工业园区首末站</w:t>
            </w:r>
          </w:p>
        </w:tc>
        <w:tc>
          <w:tcPr>
            <w:tcW w:w="117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城南现代产业园首末站</w:t>
            </w:r>
          </w:p>
        </w:tc>
        <w:tc>
          <w:tcPr>
            <w:tcW w:w="117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2</w:t>
            </w:r>
          </w:p>
        </w:tc>
        <w:tc>
          <w:tcPr>
            <w:tcW w:w="155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侯家坪派出所首末站</w:t>
            </w:r>
          </w:p>
        </w:tc>
        <w:tc>
          <w:tcPr>
            <w:tcW w:w="117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restart"/>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沱东片区</w:t>
            </w:r>
          </w:p>
        </w:tc>
        <w:tc>
          <w:tcPr>
            <w:tcW w:w="1771"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魏家湾工业园首末站</w:t>
            </w:r>
          </w:p>
        </w:tc>
        <w:tc>
          <w:tcPr>
            <w:tcW w:w="117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455" w:hRule="atLeast"/>
        </w:trPr>
        <w:tc>
          <w:tcPr>
            <w:tcW w:w="442" w:type="dxa"/>
            <w:vMerge w:val="continue"/>
            <w:tcBorders>
              <w:left w:val="nil"/>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马站首末站</w:t>
            </w:r>
          </w:p>
        </w:tc>
        <w:tc>
          <w:tcPr>
            <w:tcW w:w="117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000000" w:sz="4"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000000" w:sz="4"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55" w:hRule="atLeast"/>
        </w:trPr>
        <w:tc>
          <w:tcPr>
            <w:tcW w:w="442" w:type="dxa"/>
            <w:vMerge w:val="continue"/>
            <w:tcBorders>
              <w:left w:val="nil"/>
              <w:bottom w:val="single" w:color="auto" w:sz="12" w:space="0"/>
            </w:tcBorders>
            <w:shd w:val="clear" w:color="auto" w:fill="auto"/>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p>
        </w:tc>
        <w:tc>
          <w:tcPr>
            <w:tcW w:w="1771" w:type="dxa"/>
            <w:tcBorders>
              <w:top w:val="single" w:color="000000" w:sz="4" w:space="0"/>
              <w:left w:val="single" w:color="000000" w:sz="4" w:space="0"/>
              <w:bottom w:val="single" w:color="auto" w:sz="12"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color w:val="000000" w:themeColor="text1"/>
                <w:sz w:val="21"/>
                <w:szCs w:val="21"/>
                <w14:textFill>
                  <w14:solidFill>
                    <w14:schemeClr w14:val="tx1"/>
                  </w14:solidFill>
                </w14:textFill>
              </w:rPr>
              <w:t>清巍汽车4S商城</w:t>
            </w:r>
          </w:p>
        </w:tc>
        <w:tc>
          <w:tcPr>
            <w:tcW w:w="1172" w:type="dxa"/>
            <w:tcBorders>
              <w:top w:val="single" w:color="000000" w:sz="4" w:space="0"/>
              <w:left w:val="single" w:color="000000" w:sz="4" w:space="0"/>
              <w:bottom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w:t>
            </w:r>
          </w:p>
        </w:tc>
        <w:tc>
          <w:tcPr>
            <w:tcW w:w="1552" w:type="dxa"/>
            <w:tcBorders>
              <w:top w:val="single" w:color="000000" w:sz="4" w:space="0"/>
              <w:left w:val="single" w:color="000000" w:sz="4" w:space="0"/>
              <w:bottom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1500</w:t>
            </w:r>
          </w:p>
        </w:tc>
        <w:tc>
          <w:tcPr>
            <w:tcW w:w="1410" w:type="dxa"/>
            <w:tcBorders>
              <w:top w:val="single" w:color="000000" w:sz="4" w:space="0"/>
              <w:left w:val="single" w:color="000000" w:sz="4" w:space="0"/>
              <w:bottom w:val="single" w:color="auto" w:sz="12" w:space="0"/>
              <w:right w:val="single" w:color="000000" w:sz="4" w:space="0"/>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形式一</w:t>
            </w:r>
          </w:p>
        </w:tc>
        <w:tc>
          <w:tcPr>
            <w:tcW w:w="2294" w:type="dxa"/>
            <w:tcBorders>
              <w:top w:val="single" w:color="000000" w:sz="4" w:space="0"/>
              <w:left w:val="single" w:color="000000" w:sz="4" w:space="0"/>
              <w:bottom w:val="single" w:color="auto" w:sz="12" w:space="0"/>
              <w:right w:val="nil"/>
            </w:tcBorders>
            <w:vAlign w:val="center"/>
          </w:tcPr>
          <w:p>
            <w:pPr>
              <w:widowControl w:val="0"/>
              <w:adjustRightInd/>
              <w:snapToGrid/>
              <w:spacing w:before="156" w:after="156" w:line="240" w:lineRule="auto"/>
              <w:ind w:firstLine="0" w:firstLineChars="0"/>
              <w:jc w:val="center"/>
              <w:textAlignment w:val="center"/>
              <w:rPr>
                <w:rFonts w:cs="Times New Roman" w:eastAsiaTheme="majorEastAsia"/>
                <w:snapToGrid w:val="0"/>
                <w:sz w:val="21"/>
                <w:szCs w:val="21"/>
              </w:rPr>
            </w:pPr>
            <w:r>
              <w:rPr>
                <w:rFonts w:cs="Times New Roman" w:eastAsiaTheme="majorEastAsia"/>
                <w:snapToGrid w:val="0"/>
                <w:sz w:val="21"/>
                <w:szCs w:val="21"/>
              </w:rPr>
              <w:t>近期</w:t>
            </w:r>
          </w:p>
        </w:tc>
      </w:tr>
      <w:bookmarkEnd w:id="149"/>
    </w:tbl>
    <w:p>
      <w:pPr>
        <w:widowControl w:val="0"/>
        <w:adjustRightInd/>
        <w:snapToGrid/>
        <w:spacing w:before="0" w:after="0"/>
        <w:ind w:firstLine="0" w:firstLineChars="0"/>
        <w:jc w:val="center"/>
        <w:textAlignment w:val="center"/>
        <w:rPr>
          <w:rFonts w:eastAsia="黑体" w:cs="宋体"/>
          <w:bCs/>
          <w:kern w:val="2"/>
          <w:szCs w:val="21"/>
        </w:rPr>
      </w:pPr>
    </w:p>
    <w:p>
      <w:pPr>
        <w:pStyle w:val="117"/>
        <w:spacing w:line="276" w:lineRule="auto"/>
        <w:rPr>
          <w:rFonts w:cs="Times New Roman"/>
        </w:rPr>
      </w:pPr>
    </w:p>
    <w:p>
      <w:pPr>
        <w:pStyle w:val="117"/>
      </w:pPr>
      <w:r>
        <w:drawing>
          <wp:inline distT="0" distB="0" distL="0" distR="0">
            <wp:extent cx="3599815" cy="4519930"/>
            <wp:effectExtent l="19050" t="19050" r="19685" b="1397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3">
                      <a:extLst>
                        <a:ext uri="{28A0092B-C50C-407E-A947-70E740481C1C}">
                          <a14:useLocalDpi xmlns:a14="http://schemas.microsoft.com/office/drawing/2010/main" val="0"/>
                        </a:ext>
                      </a:extLst>
                    </a:blip>
                    <a:srcRect r="1656" b="1615"/>
                    <a:stretch>
                      <a:fillRect/>
                    </a:stretch>
                  </pic:blipFill>
                  <pic:spPr>
                    <a:xfrm>
                      <a:off x="0" y="0"/>
                      <a:ext cx="3600000" cy="4520327"/>
                    </a:xfrm>
                    <a:prstGeom prst="rect">
                      <a:avLst/>
                    </a:prstGeom>
                    <a:noFill/>
                    <a:ln>
                      <a:solidFill>
                        <a:schemeClr val="tx1"/>
                      </a:solidFill>
                    </a:ln>
                  </pic:spPr>
                </pic:pic>
              </a:graphicData>
            </a:graphic>
          </wp:inline>
        </w:drawing>
      </w:r>
    </w:p>
    <w:p>
      <w:pPr>
        <w:pStyle w:val="117"/>
      </w:pPr>
      <w:r>
        <w:rPr>
          <w:rFonts w:hint="eastAsia"/>
        </w:rPr>
        <w:t>图</w:t>
      </w:r>
      <w:r>
        <w:t>6-</w:t>
      </w:r>
      <w:r>
        <w:rPr>
          <w:rFonts w:hint="eastAsia"/>
        </w:rPr>
        <w:t>5</w:t>
      </w:r>
      <w:r>
        <w:t xml:space="preserve">  </w:t>
      </w:r>
      <w:r>
        <w:rPr>
          <w:rFonts w:hint="eastAsia"/>
        </w:rPr>
        <w:t>资阳市中心城区公交首末站规划图</w:t>
      </w:r>
    </w:p>
    <w:p>
      <w:pPr>
        <w:pStyle w:val="4"/>
      </w:pPr>
      <w:bookmarkStart w:id="150" w:name="_Toc372140079"/>
      <w:bookmarkStart w:id="151" w:name="_Toc503152848"/>
      <w:bookmarkStart w:id="152" w:name="_Toc514171301"/>
      <w:r>
        <w:rPr>
          <w:rFonts w:hint="eastAsia"/>
        </w:rPr>
        <w:t>6.</w:t>
      </w:r>
      <w:bookmarkEnd w:id="150"/>
      <w:bookmarkEnd w:id="151"/>
      <w:r>
        <w:t xml:space="preserve">3 </w:t>
      </w:r>
      <w:r>
        <w:rPr>
          <w:rFonts w:hint="eastAsia"/>
        </w:rPr>
        <w:t>公交停车场与保养场规划</w:t>
      </w:r>
      <w:bookmarkEnd w:id="152"/>
    </w:p>
    <w:p>
      <w:pPr>
        <w:pStyle w:val="5"/>
        <w:spacing w:before="163" w:after="163"/>
        <w:rPr>
          <w:rFonts w:cs="Times New Roman"/>
        </w:rPr>
      </w:pPr>
      <w:bookmarkStart w:id="153" w:name="_Toc503152849"/>
      <w:bookmarkStart w:id="154" w:name="_Toc514171302"/>
      <w:r>
        <w:rPr>
          <w:rFonts w:hint="eastAsia" w:cs="Times New Roman"/>
        </w:rPr>
        <w:t>6.</w:t>
      </w:r>
      <w:bookmarkEnd w:id="153"/>
      <w:r>
        <w:rPr>
          <w:rFonts w:cs="Times New Roman"/>
        </w:rPr>
        <w:t>3.</w:t>
      </w:r>
      <w:r>
        <w:rPr>
          <w:rFonts w:hint="eastAsia" w:cs="Times New Roman"/>
        </w:rPr>
        <w:t>1 公交停车场与保养场设置原则及要求</w:t>
      </w:r>
      <w:bookmarkEnd w:id="154"/>
    </w:p>
    <w:p>
      <w:pPr>
        <w:spacing w:before="0"/>
        <w:ind w:firstLine="480"/>
      </w:pPr>
      <w:r>
        <w:rPr>
          <w:rFonts w:hint="eastAsia"/>
        </w:rPr>
        <w:t>1、停车场的主要功能是为线路营运车辆下班后提供合理的停放空间、场地和必要设施，并按规定对车辆进行低级保养和重点小修作业。在城市总体规划中应有计划地安排停车用地，将停车场均匀地布置在各个区域性线网的重心处，使停车场与所辖线网内各线路的距离最短，其距离一般在1～2千米以内。停车场距所在分区保养场的距离宜在5千米以内，最大应不大于10千米。停车场正确选址的原则，是在车辆空驶里程最小的前提下，综合考虑以下条件：</w:t>
      </w:r>
    </w:p>
    <w:p>
      <w:pPr>
        <w:spacing w:before="0"/>
        <w:ind w:firstLine="480"/>
      </w:pPr>
      <w:r>
        <w:rPr>
          <w:rFonts w:hint="eastAsia"/>
        </w:rPr>
        <w:t>（1）应远离居民生活区，避免公共汽车噪音、尾气污染对居民的直接影响；</w:t>
      </w:r>
    </w:p>
    <w:p>
      <w:pPr>
        <w:spacing w:before="0"/>
        <w:ind w:firstLine="480"/>
      </w:pPr>
      <w:r>
        <w:rPr>
          <w:rFonts w:hint="eastAsia"/>
        </w:rPr>
        <w:t>（2）要避开城市交通流量大的路段，避免与繁忙交通线交叉，以保证停车场出入口的顺畅；</w:t>
      </w:r>
    </w:p>
    <w:p>
      <w:pPr>
        <w:spacing w:before="0"/>
        <w:ind w:firstLine="480"/>
      </w:pPr>
      <w:r>
        <w:rPr>
          <w:rFonts w:hint="eastAsia"/>
        </w:rPr>
        <w:t>（3）被选地段最好有两条以上的城市道路与其相通，保证在道路阻塞或其他意外事件发生的条件下，能使公交车进出公交场站和完成紧急疏散；</w:t>
      </w:r>
    </w:p>
    <w:p>
      <w:pPr>
        <w:spacing w:before="0"/>
        <w:ind w:firstLine="480"/>
      </w:pPr>
      <w:r>
        <w:rPr>
          <w:rFonts w:hint="eastAsia"/>
        </w:rPr>
        <w:t>（4）被选地块的用地面积要为其后发展留有余地，同时又不至于形成对附近街区未来发展的障碍。</w:t>
      </w:r>
    </w:p>
    <w:p>
      <w:pPr>
        <w:spacing w:before="0"/>
        <w:ind w:firstLine="480"/>
      </w:pPr>
      <w:r>
        <w:rPr>
          <w:rFonts w:hint="eastAsia"/>
        </w:rPr>
        <w:t>根据《</w:t>
      </w:r>
      <w:r>
        <w:t>城市</w:t>
      </w:r>
      <w:r>
        <w:rPr>
          <w:rFonts w:hint="eastAsia"/>
        </w:rPr>
        <w:t>道路</w:t>
      </w:r>
      <w:r>
        <w:t>公共交通站、场、厂</w:t>
      </w:r>
      <w:r>
        <w:rPr>
          <w:rFonts w:hint="eastAsia"/>
        </w:rPr>
        <w:t>工程</w:t>
      </w:r>
      <w:r>
        <w:t>设计规范</w:t>
      </w:r>
      <w:r>
        <w:rPr>
          <w:rFonts w:hint="eastAsia"/>
        </w:rPr>
        <w:t>》（</w:t>
      </w:r>
      <w:r>
        <w:t>C</w:t>
      </w:r>
      <w:r>
        <w:rPr>
          <w:rFonts w:hint="eastAsia"/>
        </w:rPr>
        <w:t>JJ/T15—2011）中的规定，</w:t>
      </w:r>
      <w:r>
        <w:t>确定停车场用地面积的前提是要保证公交车辆在停放饱和的情况下，每辆车仍可自由出入而不受前后左右所停车辆的影响。停车场的规划用地宜按每辆标准车用地150m</w:t>
      </w:r>
      <w:r>
        <w:rPr>
          <w:vertAlign w:val="superscript"/>
        </w:rPr>
        <w:t>2</w:t>
      </w:r>
      <w:r>
        <w:t>计算。</w:t>
      </w:r>
      <w:r>
        <w:rPr>
          <w:rFonts w:hint="eastAsia"/>
        </w:rPr>
        <w:t>在用地特别紧张的大城市，停车场用地面积不应小于每辆标准车</w:t>
      </w:r>
      <w:r>
        <w:t>1</w:t>
      </w:r>
      <w:r>
        <w:rPr>
          <w:rFonts w:hint="eastAsia"/>
        </w:rPr>
        <w:t>2</w:t>
      </w:r>
      <w:r>
        <w:t>0m</w:t>
      </w:r>
      <w:r>
        <w:rPr>
          <w:vertAlign w:val="superscript"/>
        </w:rPr>
        <w:t>2</w:t>
      </w:r>
      <w:r>
        <w:rPr>
          <w:rFonts w:hint="eastAsia"/>
        </w:rPr>
        <w:t>。</w:t>
      </w:r>
      <w:r>
        <w:t>若用地利用率不高，各地可酌情增加。停车场的洗车间（台）、</w:t>
      </w:r>
      <w:r>
        <w:rPr>
          <w:rFonts w:hint="eastAsia"/>
        </w:rPr>
        <w:t>加气站</w:t>
      </w:r>
      <w:r>
        <w:t>和锅炉房的规划用地按有关标准和规范要求单独计算后再加</w:t>
      </w:r>
      <w:r>
        <w:rPr>
          <w:rFonts w:hint="eastAsia"/>
        </w:rPr>
        <w:t>入到</w:t>
      </w:r>
      <w:r>
        <w:t>停车场的规划用地中。</w:t>
      </w:r>
    </w:p>
    <w:p>
      <w:pPr>
        <w:spacing w:before="0"/>
        <w:ind w:firstLine="480"/>
      </w:pPr>
      <w:r>
        <w:rPr>
          <w:rFonts w:hint="eastAsia"/>
        </w:rPr>
        <w:t>停车场用地按生产工艺和使用功能宜划分为运营管理、停车、生产和生活服务区。生存区的建筑密度宜为45%-50%，运营管理及生活服务区的建筑密度不宜低于28%。各部分平面设计应符合下列规定：</w:t>
      </w:r>
    </w:p>
    <w:p>
      <w:pPr>
        <w:spacing w:before="0" w:after="0"/>
        <w:ind w:firstLine="482" w:firstLineChars="0"/>
      </w:pPr>
      <w:r>
        <w:rPr>
          <w:rFonts w:hint="eastAsia"/>
        </w:rPr>
        <w:t>①运营管理由调度室、车辆进出口、门卫、办公楼等机构和设施构成；</w:t>
      </w:r>
    </w:p>
    <w:p>
      <w:pPr>
        <w:spacing w:before="0" w:after="0"/>
        <w:ind w:firstLine="480"/>
      </w:pPr>
      <w:r>
        <w:rPr>
          <w:rFonts w:hint="eastAsia"/>
        </w:rPr>
        <w:t>②车辆进出应有安全、宽敞、视野开阔的进出口和通道；</w:t>
      </w:r>
    </w:p>
    <w:p>
      <w:pPr>
        <w:spacing w:before="0" w:after="0"/>
        <w:ind w:firstLine="480"/>
      </w:pPr>
      <w:r>
        <w:rPr>
          <w:rFonts w:hint="eastAsia"/>
        </w:rPr>
        <w:t>③停车坪应有良好的雨水、污水排放系统，并应符合现行国家标准《室外排水设计规范》GB50014的规定。排水明沟与污水管线不得连通，停车坪的排水坡度（纵、横坡）不应大于0.5%；</w:t>
      </w:r>
    </w:p>
    <w:p>
      <w:pPr>
        <w:spacing w:before="0" w:after="0"/>
        <w:ind w:firstLine="480"/>
      </w:pPr>
      <w:r>
        <w:rPr>
          <w:rFonts w:hint="eastAsia"/>
        </w:rPr>
        <w:t>④停车坪应采用画线标志指示停车位置和通道宽度；</w:t>
      </w:r>
    </w:p>
    <w:p>
      <w:pPr>
        <w:spacing w:before="0" w:after="0"/>
        <w:ind w:firstLine="480"/>
      </w:pPr>
      <w:r>
        <w:rPr>
          <w:rFonts w:hint="eastAsia"/>
        </w:rPr>
        <w:t>⑤在寒冷地区，停车坪上应有热水加注装置，且宜建封闭式停车库；</w:t>
      </w:r>
    </w:p>
    <w:p>
      <w:pPr>
        <w:spacing w:before="0" w:after="0"/>
        <w:ind w:firstLine="480"/>
      </w:pPr>
      <w:r>
        <w:rPr>
          <w:rFonts w:hint="eastAsia"/>
        </w:rPr>
        <w:t>⑥停车场应建回车道和试车道。停车场的回车道、试车道用地宜为26m</w:t>
      </w:r>
      <w:r>
        <w:rPr>
          <w:rFonts w:hint="eastAsia"/>
          <w:vertAlign w:val="superscript"/>
        </w:rPr>
        <w:t>2</w:t>
      </w:r>
      <w:r>
        <w:rPr>
          <w:rFonts w:hint="eastAsia"/>
        </w:rPr>
        <w:t>-30m</w:t>
      </w:r>
      <w:r>
        <w:rPr>
          <w:rFonts w:hint="eastAsia"/>
          <w:vertAlign w:val="superscript"/>
        </w:rPr>
        <w:t>2</w:t>
      </w:r>
      <w:r>
        <w:rPr>
          <w:rFonts w:hint="eastAsia"/>
        </w:rPr>
        <w:t>/标准车；</w:t>
      </w:r>
    </w:p>
    <w:p>
      <w:pPr>
        <w:spacing w:before="0" w:after="0"/>
        <w:ind w:firstLine="480"/>
      </w:pPr>
      <w:r>
        <w:rPr>
          <w:rFonts w:hint="eastAsia"/>
        </w:rPr>
        <w:t>⑦生产区的平面布局应包括一、二级保养工间及其辅助工间和动力及能源供给工间两个部分；</w:t>
      </w:r>
    </w:p>
    <w:p>
      <w:pPr>
        <w:spacing w:before="0" w:after="0"/>
        <w:ind w:firstLine="480"/>
      </w:pPr>
      <w:r>
        <w:rPr>
          <w:rFonts w:hint="eastAsia"/>
        </w:rPr>
        <w:t>⑧生产车间按工艺要求，宜采取顺车进、顺车出的平面布局，并应按生产性质及工艺确定建筑层数与层高，辅助工间不宜高于三层；</w:t>
      </w:r>
    </w:p>
    <w:p>
      <w:pPr>
        <w:spacing w:before="0" w:after="0"/>
        <w:ind w:firstLine="480"/>
      </w:pPr>
      <w:r>
        <w:rPr>
          <w:rFonts w:hint="eastAsia"/>
        </w:rPr>
        <w:t>⑨生活服务区应包括文化娱乐、食堂、卫生间等。</w:t>
      </w:r>
    </w:p>
    <w:p>
      <w:pPr>
        <w:spacing w:before="0"/>
        <w:ind w:firstLine="0" w:firstLineChars="0"/>
        <w:jc w:val="center"/>
      </w:pPr>
      <w:r>
        <w:drawing>
          <wp:inline distT="0" distB="0" distL="0" distR="0">
            <wp:extent cx="4681220" cy="2097405"/>
            <wp:effectExtent l="0" t="0" r="508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4681220" cy="2097405"/>
                    </a:xfrm>
                    <a:prstGeom prst="rect">
                      <a:avLst/>
                    </a:prstGeom>
                    <a:noFill/>
                    <a:ln>
                      <a:noFill/>
                    </a:ln>
                  </pic:spPr>
                </pic:pic>
              </a:graphicData>
            </a:graphic>
          </wp:inline>
        </w:drawing>
      </w:r>
    </w:p>
    <w:p>
      <w:pPr>
        <w:pStyle w:val="117"/>
      </w:pPr>
      <w:r>
        <w:rPr>
          <w:rFonts w:hint="eastAsia"/>
        </w:rPr>
        <w:t>图</w:t>
      </w:r>
      <w:r>
        <w:t>6-</w:t>
      </w:r>
      <w:r>
        <w:rPr>
          <w:rFonts w:hint="eastAsia"/>
        </w:rPr>
        <w:t>6</w:t>
      </w:r>
      <w:r>
        <w:t xml:space="preserve"> </w:t>
      </w:r>
      <w:r>
        <w:rPr>
          <w:rFonts w:hint="eastAsia"/>
        </w:rPr>
        <w:t xml:space="preserve"> 公交停车场示意图</w:t>
      </w:r>
    </w:p>
    <w:p>
      <w:pPr>
        <w:spacing w:before="0"/>
        <w:ind w:firstLine="480"/>
        <w:jc w:val="left"/>
        <w:rPr>
          <w:rFonts w:cs="Times New Roman"/>
          <w:szCs w:val="24"/>
        </w:rPr>
      </w:pPr>
      <w:r>
        <w:rPr>
          <w:rFonts w:cs="Times New Roman"/>
          <w:szCs w:val="24"/>
        </w:rPr>
        <w:t>2</w:t>
      </w:r>
      <w:r>
        <w:rPr>
          <w:rFonts w:hint="eastAsia" w:cs="Times New Roman"/>
          <w:szCs w:val="24"/>
        </w:rPr>
        <w:t>、</w:t>
      </w:r>
      <w:r>
        <w:rPr>
          <w:rFonts w:cs="Times New Roman"/>
          <w:szCs w:val="24"/>
        </w:rPr>
        <w:t>保养场的功能主要是承担运营车辆的高级保养任务及相应的配件加工，修制和修车材料，燃料的储存、发放等。保养场应建在城市每个分区线网的重心处，使之距所属各条线路和该分区的各停车场最近，尽可能避开交通复杂的闹市区、居民小区和主干道。</w:t>
      </w:r>
    </w:p>
    <w:p>
      <w:pPr>
        <w:spacing w:before="0"/>
        <w:ind w:firstLine="480"/>
        <w:rPr>
          <w:rFonts w:cs="Times New Roman"/>
          <w:szCs w:val="24"/>
        </w:rPr>
      </w:pPr>
      <w:r>
        <w:rPr>
          <w:rFonts w:cs="Times New Roman"/>
          <w:szCs w:val="24"/>
        </w:rPr>
        <w:t>（1）一个城市建立保养场的数量应根据城市建设的总体规划、城市的发展规模以及公共交通发展规模而定。</w:t>
      </w:r>
    </w:p>
    <w:p>
      <w:pPr>
        <w:spacing w:before="0"/>
        <w:ind w:firstLine="480"/>
        <w:rPr>
          <w:rFonts w:cs="Times New Roman"/>
          <w:szCs w:val="24"/>
        </w:rPr>
      </w:pPr>
      <w:r>
        <w:rPr>
          <w:rFonts w:cs="Times New Roman"/>
          <w:szCs w:val="24"/>
        </w:rPr>
        <w:t>（2）企业营运车辆保有量在200辆以下或200辆左右，可建一个小型保养场；保有量在300～500辆的企业，可建立一个中型保养场；在车辆超过500辆以上的大型企业，可建保养中心，以便实行专业化保养，向现代化、高效率、大生产方向发展。</w:t>
      </w:r>
    </w:p>
    <w:p>
      <w:pPr>
        <w:spacing w:before="0"/>
        <w:ind w:firstLine="480"/>
        <w:rPr>
          <w:rFonts w:cs="Times New Roman"/>
          <w:szCs w:val="24"/>
        </w:rPr>
      </w:pPr>
      <w:r>
        <w:rPr>
          <w:rFonts w:cs="Times New Roman"/>
          <w:szCs w:val="24"/>
        </w:rPr>
        <w:t>（3）公共交通车辆保养场的规划用地按所承担的保养车辆数计算，一般情况下每辆标准车用地200平方米。</w:t>
      </w:r>
    </w:p>
    <w:p>
      <w:pPr>
        <w:pStyle w:val="5"/>
        <w:spacing w:before="163" w:after="163"/>
        <w:rPr>
          <w:rFonts w:cs="Times New Roman"/>
        </w:rPr>
      </w:pPr>
      <w:bookmarkStart w:id="155" w:name="_Toc503152850"/>
      <w:bookmarkStart w:id="156" w:name="_Toc514171303"/>
      <w:r>
        <w:rPr>
          <w:rFonts w:hint="eastAsia" w:cs="Times New Roman"/>
        </w:rPr>
        <w:t>6.</w:t>
      </w:r>
      <w:bookmarkEnd w:id="155"/>
      <w:r>
        <w:rPr>
          <w:rFonts w:cs="Times New Roman"/>
        </w:rPr>
        <w:t>3</w:t>
      </w:r>
      <w:r>
        <w:rPr>
          <w:rFonts w:hint="eastAsia" w:cs="Times New Roman"/>
        </w:rPr>
        <w:t>.2</w:t>
      </w:r>
      <w:r>
        <w:rPr>
          <w:rFonts w:cs="Times New Roman"/>
        </w:rPr>
        <w:t xml:space="preserve"> </w:t>
      </w:r>
      <w:r>
        <w:rPr>
          <w:rFonts w:hint="eastAsia" w:cs="Times New Roman"/>
        </w:rPr>
        <w:t>公交停车场和保养场规划成果</w:t>
      </w:r>
      <w:bookmarkEnd w:id="156"/>
    </w:p>
    <w:p>
      <w:pPr>
        <w:spacing w:before="0"/>
        <w:ind w:firstLine="482"/>
        <w:rPr>
          <w:rFonts w:cs="Times New Roman"/>
          <w:b/>
          <w:szCs w:val="24"/>
        </w:rPr>
      </w:pPr>
      <w:r>
        <w:rPr>
          <w:rFonts w:cs="Times New Roman"/>
          <w:b/>
          <w:szCs w:val="24"/>
        </w:rPr>
        <w:t>（1）停车场规划方案</w:t>
      </w:r>
    </w:p>
    <w:p>
      <w:pPr>
        <w:spacing w:before="0" w:after="0"/>
        <w:ind w:firstLine="480"/>
        <w:rPr>
          <w:rFonts w:hAnsi="宋体" w:cs="Times New Roman"/>
        </w:rPr>
      </w:pPr>
      <w:r>
        <w:rPr>
          <w:rFonts w:hint="eastAsia"/>
        </w:rPr>
        <w:t>综合考虑资阳市公交线网布局及用地条件等因素，以保障公交车辆有安全、可靠、便捷的停车场所为目标，规划在现有公交停车场的基础上根据各片区所辖线路条数进行停车场的建设，以供公交车辆进行停靠、检修等工作。</w:t>
      </w:r>
      <w:r>
        <w:rPr>
          <w:rFonts w:hAnsi="宋体" w:cs="Times New Roman"/>
        </w:rPr>
        <w:t>依据停车场规划原则，结合</w:t>
      </w:r>
      <w:r>
        <w:rPr>
          <w:rFonts w:hint="eastAsia" w:hAnsi="宋体" w:cs="Times New Roman"/>
        </w:rPr>
        <w:t>资阳</w:t>
      </w:r>
      <w:r>
        <w:rPr>
          <w:rFonts w:hAnsi="宋体" w:cs="Times New Roman"/>
        </w:rPr>
        <w:t>城市总体规划的交通设施用地布局，规划新建</w:t>
      </w:r>
      <w:r>
        <w:rPr>
          <w:rFonts w:hint="eastAsia" w:hAnsi="宋体" w:cs="Times New Roman"/>
        </w:rPr>
        <w:t>及改建</w:t>
      </w:r>
      <w:r>
        <w:rPr>
          <w:rFonts w:hAnsi="宋体" w:cs="Times New Roman"/>
        </w:rPr>
        <w:t>公交停车场共</w:t>
      </w:r>
      <w:r>
        <w:rPr>
          <w:rFonts w:hint="eastAsia" w:cs="Times New Roman"/>
        </w:rPr>
        <w:t>2</w:t>
      </w:r>
      <w:r>
        <w:rPr>
          <w:rFonts w:hAnsi="宋体" w:cs="Times New Roman"/>
        </w:rPr>
        <w:t>处，</w:t>
      </w:r>
      <w:r>
        <w:rPr>
          <w:rFonts w:hint="eastAsia"/>
        </w:rPr>
        <w:t>各停车场的建设规模、停靠车辆数及建设年限如表6-</w:t>
      </w:r>
      <w:r>
        <w:t>4</w:t>
      </w:r>
      <w:r>
        <w:rPr>
          <w:rFonts w:hint="eastAsia"/>
        </w:rPr>
        <w:t>所示。</w:t>
      </w:r>
    </w:p>
    <w:p>
      <w:pPr>
        <w:pStyle w:val="113"/>
        <w:spacing w:before="163" w:after="163"/>
      </w:pPr>
      <w:r>
        <w:rPr>
          <w:rFonts w:hint="eastAsia"/>
        </w:rPr>
        <w:t>表</w:t>
      </w:r>
      <w:r>
        <w:t>6-</w:t>
      </w:r>
      <w:r>
        <w:rPr>
          <w:rFonts w:hint="eastAsia"/>
        </w:rPr>
        <w:t>4</w:t>
      </w:r>
      <w:r>
        <w:t xml:space="preserve">  </w:t>
      </w:r>
      <w:r>
        <w:rPr>
          <w:rFonts w:hint="eastAsia"/>
        </w:rPr>
        <w:t>资阳市中心城区公交停车场规划一览表</w:t>
      </w:r>
    </w:p>
    <w:tbl>
      <w:tblPr>
        <w:tblStyle w:val="94"/>
        <w:tblW w:w="8306" w:type="dxa"/>
        <w:jc w:val="center"/>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2383"/>
        <w:gridCol w:w="1492"/>
        <w:gridCol w:w="1686"/>
        <w:gridCol w:w="1393"/>
        <w:gridCol w:w="1352"/>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2383" w:type="dxa"/>
            <w:tcBorders>
              <w:top w:val="single" w:color="auto" w:sz="12"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名称</w:t>
            </w:r>
          </w:p>
        </w:tc>
        <w:tc>
          <w:tcPr>
            <w:tcW w:w="1492"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建设规模（m</w:t>
            </w:r>
            <w:r>
              <w:rPr>
                <w:rFonts w:cs="Times New Roman"/>
                <w:b/>
                <w:sz w:val="21"/>
                <w:vertAlign w:val="superscript"/>
              </w:rPr>
              <w:t>2</w:t>
            </w:r>
            <w:r>
              <w:rPr>
                <w:rFonts w:cs="Times New Roman"/>
                <w:b/>
                <w:sz w:val="21"/>
              </w:rPr>
              <w:t>）</w:t>
            </w:r>
          </w:p>
        </w:tc>
        <w:tc>
          <w:tcPr>
            <w:tcW w:w="1686"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停靠车辆数（辆）</w:t>
            </w:r>
          </w:p>
        </w:tc>
        <w:tc>
          <w:tcPr>
            <w:tcW w:w="1393"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规划年限</w:t>
            </w:r>
          </w:p>
        </w:tc>
        <w:tc>
          <w:tcPr>
            <w:tcW w:w="1352" w:type="dxa"/>
            <w:tcBorders>
              <w:top w:val="single" w:color="auto" w:sz="12" w:space="0"/>
              <w:left w:val="single" w:color="auto" w:sz="8" w:space="0"/>
              <w:bottom w:val="single" w:color="auto" w:sz="12"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备注</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2383" w:type="dxa"/>
            <w:tcBorders>
              <w:bottom w:val="single" w:color="auto" w:sz="8" w:space="0"/>
              <w:right w:val="single" w:color="auto" w:sz="8" w:space="0"/>
            </w:tcBorders>
            <w:vAlign w:val="center"/>
          </w:tcPr>
          <w:p>
            <w:pPr>
              <w:spacing w:line="240" w:lineRule="auto"/>
              <w:ind w:firstLine="0" w:firstLineChars="0"/>
              <w:jc w:val="center"/>
              <w:rPr>
                <w:rFonts w:cs="Times New Roman"/>
                <w:sz w:val="21"/>
              </w:rPr>
            </w:pPr>
            <w:r>
              <w:rPr>
                <w:rFonts w:cs="Times New Roman"/>
                <w:sz w:val="21"/>
              </w:rPr>
              <w:t>河西公交停车场</w:t>
            </w:r>
          </w:p>
        </w:tc>
        <w:tc>
          <w:tcPr>
            <w:tcW w:w="1492" w:type="dxa"/>
            <w:tcBorders>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sz w:val="21"/>
              </w:rPr>
              <w:t>30000</w:t>
            </w:r>
          </w:p>
        </w:tc>
        <w:tc>
          <w:tcPr>
            <w:tcW w:w="1686" w:type="dxa"/>
            <w:tcBorders>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sz w:val="21"/>
              </w:rPr>
              <w:t>200</w:t>
            </w:r>
          </w:p>
        </w:tc>
        <w:tc>
          <w:tcPr>
            <w:tcW w:w="1393" w:type="dxa"/>
            <w:tcBorders>
              <w:left w:val="single" w:color="auto" w:sz="8" w:space="0"/>
              <w:bottom w:val="single" w:color="auto" w:sz="8" w:space="0"/>
              <w:right w:val="single" w:color="auto" w:sz="8" w:space="0"/>
            </w:tcBorders>
            <w:vAlign w:val="center"/>
          </w:tcPr>
          <w:p>
            <w:pPr>
              <w:spacing w:line="240" w:lineRule="auto"/>
              <w:ind w:firstLine="0" w:firstLineChars="0"/>
              <w:jc w:val="center"/>
              <w:rPr>
                <w:rFonts w:cs="Times New Roman"/>
                <w:sz w:val="21"/>
              </w:rPr>
            </w:pPr>
            <w:r>
              <w:rPr>
                <w:rFonts w:cs="Times New Roman"/>
                <w:sz w:val="21"/>
              </w:rPr>
              <w:t>近期</w:t>
            </w:r>
          </w:p>
        </w:tc>
        <w:tc>
          <w:tcPr>
            <w:tcW w:w="1352" w:type="dxa"/>
            <w:tcBorders>
              <w:left w:val="single" w:color="auto" w:sz="8" w:space="0"/>
              <w:bottom w:val="single" w:color="auto" w:sz="8" w:space="0"/>
            </w:tcBorders>
            <w:vAlign w:val="center"/>
          </w:tcPr>
          <w:p>
            <w:pPr>
              <w:spacing w:line="240" w:lineRule="auto"/>
              <w:ind w:firstLine="0" w:firstLineChars="0"/>
              <w:jc w:val="center"/>
              <w:rPr>
                <w:rFonts w:cs="Times New Roman"/>
                <w:sz w:val="21"/>
              </w:rPr>
            </w:pPr>
            <w:r>
              <w:rPr>
                <w:rFonts w:cs="Times New Roman"/>
                <w:sz w:val="21"/>
              </w:rPr>
              <w:t>结合资阳汽车站布设</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2383" w:type="dxa"/>
            <w:tcBorders>
              <w:top w:val="single" w:color="auto" w:sz="8" w:space="0"/>
              <w:right w:val="single" w:color="auto" w:sz="8" w:space="0"/>
            </w:tcBorders>
            <w:vAlign w:val="center"/>
          </w:tcPr>
          <w:p>
            <w:pPr>
              <w:spacing w:line="240" w:lineRule="auto"/>
              <w:ind w:firstLine="0" w:firstLineChars="0"/>
              <w:jc w:val="center"/>
              <w:rPr>
                <w:rFonts w:cs="Times New Roman"/>
                <w:sz w:val="21"/>
              </w:rPr>
            </w:pPr>
            <w:r>
              <w:rPr>
                <w:rFonts w:cs="Times New Roman"/>
                <w:sz w:val="21"/>
              </w:rPr>
              <w:t>河东公交停车场</w:t>
            </w:r>
          </w:p>
        </w:tc>
        <w:tc>
          <w:tcPr>
            <w:tcW w:w="1492" w:type="dxa"/>
            <w:tcBorders>
              <w:top w:val="single" w:color="auto" w:sz="8" w:space="0"/>
              <w:left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sz w:val="21"/>
              </w:rPr>
              <w:t>45000</w:t>
            </w:r>
          </w:p>
        </w:tc>
        <w:tc>
          <w:tcPr>
            <w:tcW w:w="1686" w:type="dxa"/>
            <w:tcBorders>
              <w:top w:val="single" w:color="auto" w:sz="8" w:space="0"/>
              <w:left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sz w:val="21"/>
              </w:rPr>
              <w:t>300</w:t>
            </w:r>
          </w:p>
        </w:tc>
        <w:tc>
          <w:tcPr>
            <w:tcW w:w="1393" w:type="dxa"/>
            <w:tcBorders>
              <w:top w:val="single" w:color="auto" w:sz="8" w:space="0"/>
              <w:left w:val="single" w:color="auto" w:sz="8" w:space="0"/>
              <w:right w:val="single" w:color="auto" w:sz="8" w:space="0"/>
            </w:tcBorders>
            <w:vAlign w:val="center"/>
          </w:tcPr>
          <w:p>
            <w:pPr>
              <w:spacing w:line="240" w:lineRule="auto"/>
              <w:ind w:firstLine="0" w:firstLineChars="0"/>
              <w:jc w:val="center"/>
              <w:rPr>
                <w:rFonts w:cs="Times New Roman"/>
                <w:sz w:val="21"/>
              </w:rPr>
            </w:pPr>
            <w:r>
              <w:rPr>
                <w:rFonts w:cs="Times New Roman"/>
                <w:sz w:val="21"/>
              </w:rPr>
              <w:t>近期</w:t>
            </w:r>
          </w:p>
        </w:tc>
        <w:tc>
          <w:tcPr>
            <w:tcW w:w="1352" w:type="dxa"/>
            <w:tcBorders>
              <w:top w:val="single" w:color="auto" w:sz="8" w:space="0"/>
              <w:left w:val="single" w:color="auto" w:sz="8" w:space="0"/>
            </w:tcBorders>
            <w:vAlign w:val="center"/>
          </w:tcPr>
          <w:p>
            <w:pPr>
              <w:spacing w:line="240" w:lineRule="auto"/>
              <w:ind w:firstLine="0" w:firstLineChars="0"/>
              <w:jc w:val="center"/>
              <w:rPr>
                <w:rFonts w:cs="Times New Roman"/>
                <w:sz w:val="21"/>
              </w:rPr>
            </w:pPr>
            <w:r>
              <w:rPr>
                <w:rFonts w:cs="Times New Roman"/>
                <w:sz w:val="21"/>
              </w:rPr>
              <w:t>资阳北站东南处布设</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2383" w:type="dxa"/>
            <w:tcBorders>
              <w:top w:val="single" w:color="auto" w:sz="12" w:space="0"/>
              <w:bottom w:val="single" w:color="auto" w:sz="12" w:space="0"/>
              <w:right w:val="single" w:color="auto" w:sz="8" w:space="0"/>
            </w:tcBorders>
            <w:vAlign w:val="center"/>
          </w:tcPr>
          <w:p>
            <w:pPr>
              <w:spacing w:line="240" w:lineRule="auto"/>
              <w:ind w:firstLine="0" w:firstLineChars="0"/>
              <w:jc w:val="center"/>
              <w:rPr>
                <w:rFonts w:cs="Times New Roman"/>
                <w:sz w:val="21"/>
              </w:rPr>
            </w:pPr>
            <w:r>
              <w:rPr>
                <w:rFonts w:cs="Times New Roman"/>
                <w:b/>
                <w:sz w:val="21"/>
              </w:rPr>
              <w:t>合计</w:t>
            </w:r>
          </w:p>
        </w:tc>
        <w:tc>
          <w:tcPr>
            <w:tcW w:w="1492" w:type="dxa"/>
            <w:tcBorders>
              <w:top w:val="single" w:color="auto" w:sz="12" w:space="0"/>
              <w:left w:val="single" w:color="auto" w:sz="8" w:space="0"/>
              <w:bottom w:val="single" w:color="auto" w:sz="12"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b/>
                <w:sz w:val="21"/>
              </w:rPr>
              <w:t>75000</w:t>
            </w:r>
          </w:p>
        </w:tc>
        <w:tc>
          <w:tcPr>
            <w:tcW w:w="1686" w:type="dxa"/>
            <w:tcBorders>
              <w:top w:val="single" w:color="auto" w:sz="12" w:space="0"/>
              <w:left w:val="single" w:color="auto" w:sz="8" w:space="0"/>
              <w:bottom w:val="single" w:color="auto" w:sz="12" w:space="0"/>
              <w:right w:val="single" w:color="auto" w:sz="8" w:space="0"/>
            </w:tcBorders>
            <w:shd w:val="clear" w:color="auto" w:fill="auto"/>
            <w:vAlign w:val="center"/>
          </w:tcPr>
          <w:p>
            <w:pPr>
              <w:spacing w:line="240" w:lineRule="auto"/>
              <w:ind w:firstLine="0" w:firstLineChars="0"/>
              <w:jc w:val="center"/>
              <w:rPr>
                <w:rFonts w:cs="Times New Roman"/>
                <w:sz w:val="21"/>
              </w:rPr>
            </w:pPr>
            <w:r>
              <w:rPr>
                <w:rFonts w:cs="Times New Roman"/>
                <w:sz w:val="21"/>
              </w:rPr>
              <w:t>500</w:t>
            </w:r>
          </w:p>
        </w:tc>
        <w:tc>
          <w:tcPr>
            <w:tcW w:w="1393" w:type="dxa"/>
            <w:tcBorders>
              <w:top w:val="single" w:color="auto" w:sz="12" w:space="0"/>
              <w:left w:val="single" w:color="auto" w:sz="8" w:space="0"/>
              <w:bottom w:val="single" w:color="auto" w:sz="12" w:space="0"/>
              <w:right w:val="single" w:color="auto" w:sz="8" w:space="0"/>
            </w:tcBorders>
            <w:vAlign w:val="center"/>
          </w:tcPr>
          <w:p>
            <w:pPr>
              <w:spacing w:line="240" w:lineRule="auto"/>
              <w:ind w:firstLine="0" w:firstLineChars="0"/>
              <w:jc w:val="center"/>
              <w:rPr>
                <w:rFonts w:cs="Times New Roman"/>
                <w:sz w:val="21"/>
              </w:rPr>
            </w:pPr>
            <w:r>
              <w:rPr>
                <w:rFonts w:cs="Times New Roman"/>
                <w:b/>
                <w:sz w:val="21"/>
              </w:rPr>
              <w:t>—</w:t>
            </w:r>
          </w:p>
        </w:tc>
        <w:tc>
          <w:tcPr>
            <w:tcW w:w="1352" w:type="dxa"/>
            <w:tcBorders>
              <w:top w:val="single" w:color="auto" w:sz="12" w:space="0"/>
              <w:left w:val="single" w:color="auto" w:sz="8" w:space="0"/>
              <w:bottom w:val="single" w:color="auto" w:sz="12" w:space="0"/>
            </w:tcBorders>
            <w:vAlign w:val="center"/>
          </w:tcPr>
          <w:p>
            <w:pPr>
              <w:spacing w:line="240" w:lineRule="auto"/>
              <w:ind w:firstLine="0" w:firstLineChars="0"/>
              <w:jc w:val="center"/>
              <w:rPr>
                <w:rFonts w:cs="Times New Roman"/>
                <w:b/>
                <w:sz w:val="21"/>
              </w:rPr>
            </w:pPr>
            <w:r>
              <w:rPr>
                <w:rFonts w:cs="Times New Roman"/>
                <w:b/>
                <w:sz w:val="21"/>
              </w:rPr>
              <w:t>—</w:t>
            </w:r>
          </w:p>
        </w:tc>
      </w:tr>
    </w:tbl>
    <w:p>
      <w:pPr>
        <w:spacing w:before="0"/>
        <w:ind w:firstLine="199" w:firstLineChars="83"/>
        <w:jc w:val="center"/>
        <w:rPr>
          <w:rFonts w:eastAsia="黑体" w:cs="Times New Roman"/>
          <w:bCs/>
          <w:kern w:val="2"/>
          <w:szCs w:val="21"/>
        </w:rPr>
      </w:pPr>
    </w:p>
    <w:p>
      <w:pPr>
        <w:spacing w:before="0"/>
        <w:ind w:firstLine="0" w:firstLineChars="0"/>
        <w:jc w:val="center"/>
        <w:rPr>
          <w:rFonts w:eastAsia="黑体" w:cs="Times New Roman"/>
          <w:bCs/>
          <w:kern w:val="2"/>
          <w:szCs w:val="21"/>
        </w:rPr>
      </w:pPr>
      <w:r>
        <w:rPr>
          <w:bdr w:val="single" w:color="000000" w:sz="12" w:space="0"/>
        </w:rPr>
        <w:drawing>
          <wp:inline distT="0" distB="0" distL="0" distR="0">
            <wp:extent cx="4469130" cy="4343400"/>
            <wp:effectExtent l="0" t="0" r="762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85">
                      <a:extLst>
                        <a:ext uri="{28A0092B-C50C-407E-A947-70E740481C1C}">
                          <a14:useLocalDpi xmlns:a14="http://schemas.microsoft.com/office/drawing/2010/main" val="0"/>
                        </a:ext>
                      </a:extLst>
                    </a:blip>
                    <a:srcRect l="-1" t="1461" r="5385" b="3714"/>
                    <a:stretch>
                      <a:fillRect/>
                    </a:stretch>
                  </pic:blipFill>
                  <pic:spPr>
                    <a:xfrm>
                      <a:off x="0" y="0"/>
                      <a:ext cx="4484414" cy="4358376"/>
                    </a:xfrm>
                    <a:prstGeom prst="rect">
                      <a:avLst/>
                    </a:prstGeom>
                    <a:noFill/>
                    <a:ln>
                      <a:noFill/>
                    </a:ln>
                    <a:effectLst/>
                  </pic:spPr>
                </pic:pic>
              </a:graphicData>
            </a:graphic>
          </wp:inline>
        </w:drawing>
      </w:r>
    </w:p>
    <w:p>
      <w:pPr>
        <w:pStyle w:val="117"/>
      </w:pPr>
      <w:r>
        <w:rPr>
          <w:rFonts w:hint="eastAsia"/>
        </w:rPr>
        <w:t>图</w:t>
      </w:r>
      <w:r>
        <w:t>6-</w:t>
      </w:r>
      <w:r>
        <w:rPr>
          <w:rFonts w:hint="eastAsia"/>
        </w:rPr>
        <w:t>7</w:t>
      </w:r>
      <w:r>
        <w:t xml:space="preserve">  </w:t>
      </w:r>
      <w:r>
        <w:rPr>
          <w:rFonts w:hint="eastAsia"/>
        </w:rPr>
        <w:t>资阳市中心城区公交枢纽及停保场规划图</w:t>
      </w:r>
    </w:p>
    <w:p>
      <w:pPr>
        <w:spacing w:before="0"/>
        <w:ind w:firstLine="482"/>
        <w:rPr>
          <w:rFonts w:cs="Times New Roman"/>
          <w:b/>
          <w:szCs w:val="24"/>
        </w:rPr>
      </w:pPr>
      <w:r>
        <w:rPr>
          <w:rFonts w:cs="Times New Roman"/>
          <w:b/>
          <w:szCs w:val="24"/>
        </w:rPr>
        <w:t>（2）保养场规划方案</w:t>
      </w:r>
      <w:bookmarkStart w:id="157" w:name="_Toc503152851"/>
      <w:bookmarkStart w:id="158" w:name="_Toc372140080"/>
    </w:p>
    <w:p>
      <w:pPr>
        <w:ind w:firstLine="480"/>
      </w:pPr>
      <w:r>
        <w:rPr>
          <w:rFonts w:hint="eastAsia"/>
        </w:rPr>
        <w:t>保养场的功能主要是承担运营车辆的高级保养任务及相应的配件加工、修制和修车材料、燃料的储存、发放等。保养场应建在城市每个分区线网的重心处，使之距所属各条线路和该分区的各停车场最近，尽可能避开交通复杂的闹市区、居民小区和主干道。</w:t>
      </w:r>
    </w:p>
    <w:p>
      <w:pPr>
        <w:ind w:firstLine="480"/>
      </w:pPr>
      <w:r>
        <w:rPr>
          <w:rFonts w:hint="eastAsia"/>
        </w:rPr>
        <w:t>公交车辆保养场是保证城市公交正常营运的重要后方设施，在城市规划上应有明确的地位，切实加以规划。一个城市建立保养场的数量应根据城市建设的总体规划、城市的发展规模以及公共交通发展规模而定。企业营运车辆保有量在200辆以下或200辆左右，可建一个小型保养场；保有量在300～500辆的企业，可建立一个中型保养场；在车辆超过500辆以上的大型企业，可建保养中心，以便实行专业化保养，向现代化、高效率、大生产方向发展。公共交通车辆保养场的规划用地按所承担的保养车辆数计算，一般情况下每辆标准车用地200平方米。用地紧张的大城市，可适当减少每辆标准车的用地面积。</w:t>
      </w:r>
    </w:p>
    <w:p>
      <w:pPr>
        <w:ind w:firstLine="480"/>
      </w:pPr>
      <w:r>
        <w:rPr>
          <w:rFonts w:hint="eastAsia"/>
        </w:rPr>
        <w:t>依据保养场规划原则，规划在资阳市建设三处保养中心，分别位于</w:t>
      </w:r>
      <w:r>
        <w:rPr>
          <w:rFonts w:hint="eastAsia" w:ascii="宋体" w:hAnsi="宋体"/>
          <w:szCs w:val="21"/>
        </w:rPr>
        <w:t>书台路骏兴路交叉口西南的</w:t>
      </w:r>
      <w:r>
        <w:rPr>
          <w:rFonts w:hint="eastAsia" w:ascii="Calibri" w:hAnsi="Calibri"/>
          <w:sz w:val="21"/>
        </w:rPr>
        <w:t>河西公交保养场</w:t>
      </w:r>
      <w:r>
        <w:rPr>
          <w:rFonts w:hint="eastAsia"/>
        </w:rPr>
        <w:t>、</w:t>
      </w:r>
      <w:r>
        <w:rPr>
          <w:rFonts w:hint="eastAsia" w:ascii="宋体" w:hAnsi="宋体"/>
          <w:szCs w:val="21"/>
        </w:rPr>
        <w:t>西外环路以西、四海路以北的河东公交保养场、中环路以西，客专线附近的张家坝公交保养场。由于近</w:t>
      </w:r>
      <w:r>
        <w:rPr>
          <w:rFonts w:hint="eastAsia"/>
        </w:rPr>
        <w:t>期内规划资阳市公交车辆保有量将达到300辆左右，远期达500辆左右；因而建议在线路较为集中、交通较为便利的遂资眉高速路口附近及西外环处分别建设一处保养中心，以便为车辆提供全面化、专业化、现代化的保养和维修。</w:t>
      </w:r>
    </w:p>
    <w:p>
      <w:pPr>
        <w:pStyle w:val="113"/>
        <w:spacing w:before="163" w:after="163"/>
      </w:pPr>
      <w:r>
        <w:t>表6-5  资阳市公交保养场规划一览表</w:t>
      </w:r>
    </w:p>
    <w:tbl>
      <w:tblPr>
        <w:tblStyle w:val="94"/>
        <w:tblW w:w="8306" w:type="dxa"/>
        <w:jc w:val="center"/>
        <w:tblInd w:w="0" w:type="dxa"/>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43"/>
        <w:gridCol w:w="1840"/>
        <w:gridCol w:w="1271"/>
        <w:gridCol w:w="1928"/>
        <w:gridCol w:w="1424"/>
      </w:tblGrid>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tblHeader/>
          <w:jc w:val="center"/>
        </w:trPr>
        <w:tc>
          <w:tcPr>
            <w:tcW w:w="1843" w:type="dxa"/>
            <w:tcBorders>
              <w:top w:val="single" w:color="auto" w:sz="12"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名称</w:t>
            </w:r>
          </w:p>
        </w:tc>
        <w:tc>
          <w:tcPr>
            <w:tcW w:w="1840"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位置</w:t>
            </w:r>
          </w:p>
        </w:tc>
        <w:tc>
          <w:tcPr>
            <w:tcW w:w="1271"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建设规模（ha）</w:t>
            </w:r>
          </w:p>
        </w:tc>
        <w:tc>
          <w:tcPr>
            <w:tcW w:w="1928" w:type="dxa"/>
            <w:tcBorders>
              <w:top w:val="single" w:color="auto" w:sz="12" w:space="0"/>
              <w:left w:val="single" w:color="auto" w:sz="8" w:space="0"/>
              <w:bottom w:val="single" w:color="auto" w:sz="12" w:space="0"/>
              <w:right w:val="single" w:color="auto" w:sz="8"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日常保养车辆数（辆）</w:t>
            </w:r>
          </w:p>
        </w:tc>
        <w:tc>
          <w:tcPr>
            <w:tcW w:w="1424" w:type="dxa"/>
            <w:tcBorders>
              <w:top w:val="single" w:color="auto" w:sz="12" w:space="0"/>
              <w:left w:val="single" w:color="auto" w:sz="8" w:space="0"/>
              <w:bottom w:val="single" w:color="auto" w:sz="12" w:space="0"/>
            </w:tcBorders>
            <w:shd w:val="clear" w:color="auto" w:fill="CCC0D9"/>
            <w:vAlign w:val="center"/>
          </w:tcPr>
          <w:p>
            <w:pPr>
              <w:spacing w:line="240" w:lineRule="auto"/>
              <w:ind w:firstLine="0" w:firstLineChars="0"/>
              <w:jc w:val="center"/>
              <w:rPr>
                <w:rFonts w:cs="Times New Roman"/>
                <w:b/>
                <w:sz w:val="21"/>
              </w:rPr>
            </w:pPr>
            <w:r>
              <w:rPr>
                <w:rFonts w:cs="Times New Roman"/>
                <w:b/>
                <w:sz w:val="21"/>
              </w:rPr>
              <w:t>规划年限</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1843" w:type="dxa"/>
            <w:tcBorders>
              <w:top w:val="single" w:color="auto" w:sz="12" w:space="0"/>
              <w:bottom w:val="single" w:color="auto" w:sz="8"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河西公交保养场</w:t>
            </w:r>
          </w:p>
        </w:tc>
        <w:tc>
          <w:tcPr>
            <w:tcW w:w="1840" w:type="dxa"/>
            <w:tcBorders>
              <w:top w:val="single" w:color="auto" w:sz="12" w:space="0"/>
              <w:left w:val="single" w:color="auto" w:sz="8" w:space="0"/>
              <w:bottom w:val="single" w:color="auto" w:sz="8"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书台路骏兴路交叉口西南</w:t>
            </w:r>
          </w:p>
        </w:tc>
        <w:tc>
          <w:tcPr>
            <w:tcW w:w="1271" w:type="dxa"/>
            <w:tcBorders>
              <w:top w:val="single" w:color="auto" w:sz="12" w:space="0"/>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3</w:t>
            </w:r>
          </w:p>
        </w:tc>
        <w:tc>
          <w:tcPr>
            <w:tcW w:w="1928" w:type="dxa"/>
            <w:tcBorders>
              <w:top w:val="single" w:color="auto" w:sz="12" w:space="0"/>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150</w:t>
            </w:r>
          </w:p>
        </w:tc>
        <w:tc>
          <w:tcPr>
            <w:tcW w:w="1424" w:type="dxa"/>
            <w:tcBorders>
              <w:top w:val="single" w:color="auto" w:sz="12" w:space="0"/>
              <w:left w:val="single" w:color="auto" w:sz="8" w:space="0"/>
              <w:bottom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近期</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1843" w:type="dxa"/>
            <w:tcBorders>
              <w:top w:val="single" w:color="auto" w:sz="8" w:space="0"/>
              <w:bottom w:val="single" w:color="auto" w:sz="8"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河东公交保养场</w:t>
            </w:r>
          </w:p>
        </w:tc>
        <w:tc>
          <w:tcPr>
            <w:tcW w:w="1840" w:type="dxa"/>
            <w:tcBorders>
              <w:top w:val="single" w:color="auto" w:sz="8" w:space="0"/>
              <w:left w:val="single" w:color="auto" w:sz="8" w:space="0"/>
              <w:bottom w:val="single" w:color="auto" w:sz="8"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西外环路以西、四海路以北</w:t>
            </w:r>
          </w:p>
        </w:tc>
        <w:tc>
          <w:tcPr>
            <w:tcW w:w="1271" w:type="dxa"/>
            <w:tcBorders>
              <w:top w:val="single" w:color="auto" w:sz="8" w:space="0"/>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4.5</w:t>
            </w:r>
          </w:p>
        </w:tc>
        <w:tc>
          <w:tcPr>
            <w:tcW w:w="1928" w:type="dxa"/>
            <w:tcBorders>
              <w:top w:val="single" w:color="auto" w:sz="8" w:space="0"/>
              <w:left w:val="single" w:color="auto" w:sz="8" w:space="0"/>
              <w:bottom w:val="single" w:color="auto" w:sz="8"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200</w:t>
            </w:r>
          </w:p>
        </w:tc>
        <w:tc>
          <w:tcPr>
            <w:tcW w:w="1424" w:type="dxa"/>
            <w:tcBorders>
              <w:top w:val="single" w:color="auto" w:sz="8" w:space="0"/>
              <w:left w:val="single" w:color="auto" w:sz="8" w:space="0"/>
              <w:bottom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近期</w:t>
            </w:r>
          </w:p>
        </w:tc>
      </w:tr>
      <w:tr>
        <w:tblPrEx>
          <w:tblBorders>
            <w:top w:val="single" w:color="auto" w:sz="12" w:space="0"/>
            <w:left w:val="none" w:color="auto" w:sz="0" w:space="0"/>
            <w:bottom w:val="single" w:color="auto" w:sz="12"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418" w:hRule="atLeast"/>
          <w:jc w:val="center"/>
        </w:trPr>
        <w:tc>
          <w:tcPr>
            <w:tcW w:w="1843" w:type="dxa"/>
            <w:tcBorders>
              <w:top w:val="single" w:color="auto" w:sz="8" w:space="0"/>
              <w:bottom w:val="single" w:color="auto" w:sz="12"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张家坝公交保养场</w:t>
            </w:r>
          </w:p>
        </w:tc>
        <w:tc>
          <w:tcPr>
            <w:tcW w:w="1840" w:type="dxa"/>
            <w:tcBorders>
              <w:top w:val="single" w:color="auto" w:sz="8" w:space="0"/>
              <w:left w:val="single" w:color="auto" w:sz="8" w:space="0"/>
              <w:bottom w:val="single" w:color="auto" w:sz="12" w:space="0"/>
              <w:right w:val="single" w:color="auto" w:sz="8" w:space="0"/>
            </w:tcBorders>
            <w:vAlign w:val="center"/>
          </w:tcPr>
          <w:p>
            <w:pPr>
              <w:spacing w:line="240" w:lineRule="auto"/>
              <w:ind w:firstLine="0" w:firstLineChars="0"/>
              <w:jc w:val="center"/>
              <w:rPr>
                <w:rFonts w:cs="Times New Roman"/>
                <w:sz w:val="21"/>
                <w:szCs w:val="21"/>
              </w:rPr>
            </w:pPr>
            <w:r>
              <w:rPr>
                <w:rFonts w:cs="Times New Roman"/>
                <w:sz w:val="21"/>
                <w:szCs w:val="21"/>
              </w:rPr>
              <w:t>中环路以西，客专线附近</w:t>
            </w:r>
          </w:p>
        </w:tc>
        <w:tc>
          <w:tcPr>
            <w:tcW w:w="1271" w:type="dxa"/>
            <w:tcBorders>
              <w:top w:val="single" w:color="auto" w:sz="8" w:space="0"/>
              <w:left w:val="single" w:color="auto" w:sz="8" w:space="0"/>
              <w:bottom w:val="single" w:color="auto" w:sz="12"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4.5</w:t>
            </w:r>
          </w:p>
        </w:tc>
        <w:tc>
          <w:tcPr>
            <w:tcW w:w="1928" w:type="dxa"/>
            <w:tcBorders>
              <w:top w:val="single" w:color="auto" w:sz="8" w:space="0"/>
              <w:left w:val="single" w:color="auto" w:sz="8" w:space="0"/>
              <w:bottom w:val="single" w:color="auto" w:sz="12" w:space="0"/>
              <w:right w:val="single" w:color="auto" w:sz="8" w:space="0"/>
            </w:tcBorders>
            <w:shd w:val="clear" w:color="auto" w:fill="auto"/>
            <w:vAlign w:val="center"/>
          </w:tcPr>
          <w:p>
            <w:pPr>
              <w:spacing w:line="240" w:lineRule="auto"/>
              <w:ind w:firstLine="0" w:firstLineChars="0"/>
              <w:jc w:val="center"/>
              <w:rPr>
                <w:rFonts w:cs="Times New Roman"/>
                <w:sz w:val="21"/>
                <w:szCs w:val="21"/>
              </w:rPr>
            </w:pPr>
            <w:r>
              <w:rPr>
                <w:rFonts w:cs="Times New Roman"/>
                <w:sz w:val="21"/>
                <w:szCs w:val="21"/>
              </w:rPr>
              <w:t>200</w:t>
            </w:r>
          </w:p>
        </w:tc>
        <w:tc>
          <w:tcPr>
            <w:tcW w:w="1424" w:type="dxa"/>
            <w:tcBorders>
              <w:top w:val="single" w:color="auto" w:sz="8" w:space="0"/>
              <w:left w:val="single" w:color="auto" w:sz="8" w:space="0"/>
              <w:bottom w:val="single" w:color="auto" w:sz="12" w:space="0"/>
            </w:tcBorders>
            <w:vAlign w:val="center"/>
          </w:tcPr>
          <w:p>
            <w:pPr>
              <w:spacing w:line="240" w:lineRule="auto"/>
              <w:ind w:firstLine="0" w:firstLineChars="0"/>
              <w:jc w:val="center"/>
              <w:rPr>
                <w:rFonts w:cs="Times New Roman"/>
                <w:sz w:val="21"/>
                <w:szCs w:val="21"/>
              </w:rPr>
            </w:pPr>
            <w:r>
              <w:rPr>
                <w:rFonts w:cs="Times New Roman"/>
                <w:sz w:val="21"/>
                <w:szCs w:val="21"/>
              </w:rPr>
              <w:t>中远期</w:t>
            </w:r>
          </w:p>
        </w:tc>
      </w:tr>
    </w:tbl>
    <w:p>
      <w:pPr>
        <w:ind w:firstLine="480"/>
        <w:rPr>
          <w:rFonts w:ascii="宋体" w:hAnsi="宋体"/>
        </w:rPr>
      </w:pPr>
      <w:r>
        <w:rPr>
          <w:rFonts w:hint="eastAsia" w:ascii="宋体" w:hAnsi="宋体"/>
        </w:rPr>
        <w:t>由于资阳市公交车辆部分采用绿色新能源电动公交车，充电桩和场地的供给是保障线路正常运营的基本条件，因而充电站也是保养场设施中一个重要的组成部分。考虑到资阳市公交线路长度较长，供电保障至关重要。规划在书台路中心站内及高速路口公交站内建设充电设备。</w:t>
      </w:r>
    </w:p>
    <w:p>
      <w:pPr>
        <w:pStyle w:val="4"/>
      </w:pPr>
      <w:bookmarkStart w:id="159" w:name="_Toc514171304"/>
      <w:r>
        <w:rPr>
          <w:rFonts w:hint="eastAsia"/>
        </w:rPr>
        <w:t>6.</w:t>
      </w:r>
      <w:bookmarkEnd w:id="157"/>
      <w:bookmarkEnd w:id="158"/>
      <w:r>
        <w:t xml:space="preserve">4 </w:t>
      </w:r>
      <w:r>
        <w:rPr>
          <w:rFonts w:hint="eastAsia"/>
        </w:rPr>
        <w:t>公交中途停靠站规划</w:t>
      </w:r>
      <w:bookmarkEnd w:id="159"/>
    </w:p>
    <w:p>
      <w:pPr>
        <w:pStyle w:val="5"/>
        <w:spacing w:before="163" w:after="163"/>
        <w:rPr>
          <w:rFonts w:cs="Times New Roman"/>
        </w:rPr>
      </w:pPr>
      <w:bookmarkStart w:id="160" w:name="_Toc267614035"/>
      <w:bookmarkStart w:id="161" w:name="_Toc267614484"/>
      <w:bookmarkStart w:id="162" w:name="_Toc263605093"/>
      <w:bookmarkStart w:id="163" w:name="_Toc267614662"/>
      <w:bookmarkStart w:id="164" w:name="_Toc268625194"/>
      <w:bookmarkStart w:id="165" w:name="_Toc267837745"/>
      <w:bookmarkStart w:id="166" w:name="_Toc275338853"/>
      <w:bookmarkStart w:id="167" w:name="_Toc372140081"/>
      <w:bookmarkStart w:id="168" w:name="_Toc503152852"/>
      <w:bookmarkStart w:id="169" w:name="_Toc514171305"/>
      <w:r>
        <w:rPr>
          <w:rFonts w:hint="eastAsia" w:cs="Times New Roman"/>
        </w:rPr>
        <w:t>6.</w:t>
      </w:r>
      <w:bookmarkEnd w:id="160"/>
      <w:bookmarkEnd w:id="161"/>
      <w:bookmarkEnd w:id="162"/>
      <w:bookmarkEnd w:id="163"/>
      <w:bookmarkEnd w:id="164"/>
      <w:bookmarkEnd w:id="165"/>
      <w:bookmarkEnd w:id="166"/>
      <w:bookmarkEnd w:id="167"/>
      <w:bookmarkEnd w:id="168"/>
      <w:r>
        <w:rPr>
          <w:rFonts w:hint="eastAsia" w:cs="Times New Roman"/>
        </w:rPr>
        <w:t>4.1 公交中途站设置原则</w:t>
      </w:r>
      <w:bookmarkEnd w:id="169"/>
    </w:p>
    <w:p>
      <w:pPr>
        <w:spacing w:before="163" w:after="163"/>
        <w:ind w:firstLine="480"/>
        <w:rPr>
          <w:szCs w:val="28"/>
        </w:rPr>
      </w:pPr>
      <w:r>
        <w:rPr>
          <w:rFonts w:hint="eastAsia" w:ascii="宋体" w:hAnsi="宋体"/>
        </w:rPr>
        <w:t>公交中途站的合理设置和均衡分布，关系到公交线网的衔接和贯通，关系到乘车转换的便利和公交吸引力，关系到整个道路交通系统的运行效率。公交</w:t>
      </w:r>
      <w:r>
        <w:rPr>
          <w:rFonts w:hint="eastAsia"/>
          <w:szCs w:val="28"/>
        </w:rPr>
        <w:t>中途站的设计应紧密结合公交线网的布局，并充分考虑地块出入口位置，站台对道路通行能力、交通流形态的影响，连同道路横断面、交叉口交通组织做一体化设计。</w:t>
      </w:r>
    </w:p>
    <w:p>
      <w:pPr>
        <w:spacing w:before="163" w:after="163"/>
        <w:ind w:firstLine="480"/>
        <w:rPr>
          <w:szCs w:val="28"/>
        </w:rPr>
      </w:pPr>
      <w:r>
        <w:rPr>
          <w:rFonts w:hint="eastAsia"/>
          <w:szCs w:val="28"/>
        </w:rPr>
        <w:t>中途站规划应按以下原则：</w:t>
      </w:r>
    </w:p>
    <w:p>
      <w:pPr>
        <w:spacing w:before="163" w:after="163"/>
        <w:ind w:firstLine="480"/>
        <w:rPr>
          <w:szCs w:val="28"/>
        </w:rPr>
      </w:pPr>
      <w:r>
        <w:rPr>
          <w:szCs w:val="28"/>
        </w:rPr>
        <w:t>（1）公交站点300米覆盖率不低于城市建设用地的50%，500米覆盖率不低于90%；在城市中心区和集中城市化地区，公交站点300米覆盖率不低于70%，500米覆盖率接近全覆盖。</w:t>
      </w:r>
    </w:p>
    <w:p>
      <w:pPr>
        <w:spacing w:before="163" w:after="163"/>
        <w:ind w:firstLine="480"/>
        <w:rPr>
          <w:szCs w:val="28"/>
        </w:rPr>
      </w:pPr>
      <w:r>
        <w:rPr>
          <w:szCs w:val="28"/>
        </w:rPr>
        <w:t>（2）市区公交路线的站距控制在300～800米，郊区公交线路的站距控制在500～1000米，在城市中心区和居住区内部站距可适当缩短，但不应小于300米。片区间、片区内公交按需设站，以方便市民乘坐为主，但车辆应按站停靠，规范运营，禁止招手上车，随意停靠等严重影响公路运输安全的行为。</w:t>
      </w:r>
    </w:p>
    <w:p>
      <w:pPr>
        <w:spacing w:before="163" w:after="163"/>
        <w:ind w:firstLine="480"/>
        <w:rPr>
          <w:szCs w:val="28"/>
        </w:rPr>
      </w:pPr>
      <w:r>
        <w:rPr>
          <w:szCs w:val="28"/>
        </w:rPr>
        <w:t>（3）路段中的同向换乘距离不宜大于100米。</w:t>
      </w:r>
    </w:p>
    <w:p>
      <w:pPr>
        <w:spacing w:before="163" w:after="163"/>
        <w:ind w:firstLine="480"/>
        <w:rPr>
          <w:szCs w:val="28"/>
        </w:rPr>
      </w:pPr>
      <w:r>
        <w:rPr>
          <w:szCs w:val="28"/>
        </w:rPr>
        <w:t>（4）居住区的公交站点设置应最小化居民步行到站的实际距离，中心区内居住小区居民步行到站的实际距离宜控制在250米以内，外围区域的居住小区居民步行到站的实际距离宜控制在350米以内。</w:t>
      </w:r>
    </w:p>
    <w:p>
      <w:pPr>
        <w:spacing w:before="163" w:after="163"/>
        <w:ind w:firstLine="480"/>
        <w:rPr>
          <w:szCs w:val="28"/>
        </w:rPr>
      </w:pPr>
      <w:r>
        <w:rPr>
          <w:szCs w:val="28"/>
        </w:rPr>
        <w:t>（5）凡新建城市道路应同步规划建</w:t>
      </w:r>
      <w:r>
        <w:rPr>
          <w:rFonts w:hint="eastAsia"/>
          <w:szCs w:val="28"/>
        </w:rPr>
        <w:t>设港湾式停靠站，旧城改造时应把港湾式停靠站纳入道路改造设计同步实施，在不影响人行道、非机动车道正常通行的情况下，应尽量遵循“越拥堵道路越应设置港湾式停靠站”原则。</w:t>
      </w:r>
    </w:p>
    <w:p>
      <w:pPr>
        <w:spacing w:before="163" w:after="163"/>
        <w:ind w:firstLine="480"/>
        <w:rPr>
          <w:szCs w:val="28"/>
        </w:rPr>
      </w:pPr>
      <w:r>
        <w:rPr>
          <w:szCs w:val="28"/>
        </w:rPr>
        <w:t>（</w:t>
      </w:r>
      <w:r>
        <w:rPr>
          <w:rFonts w:hint="eastAsia"/>
          <w:szCs w:val="28"/>
        </w:rPr>
        <w:t>6</w:t>
      </w:r>
      <w:r>
        <w:rPr>
          <w:szCs w:val="28"/>
        </w:rPr>
        <w:t>）</w:t>
      </w:r>
      <w:r>
        <w:rPr>
          <w:rFonts w:hint="eastAsia"/>
          <w:szCs w:val="28"/>
        </w:rPr>
        <w:t>中途站设施规划应符合下表要求</w:t>
      </w:r>
      <w:bookmarkStart w:id="170" w:name="_Toc362543126"/>
      <w:r>
        <w:rPr>
          <w:rFonts w:hint="eastAsia"/>
          <w:szCs w:val="28"/>
        </w:rPr>
        <w:t>：</w:t>
      </w:r>
    </w:p>
    <w:p>
      <w:pPr>
        <w:pStyle w:val="113"/>
        <w:spacing w:before="163" w:after="163"/>
      </w:pPr>
      <w:r>
        <w:rPr>
          <w:rFonts w:hint="eastAsia"/>
        </w:rPr>
        <w:t>表</w:t>
      </w:r>
      <w:r>
        <w:t>6-</w:t>
      </w:r>
      <w:r>
        <w:rPr>
          <w:rFonts w:hint="eastAsia"/>
        </w:rPr>
        <w:t>6</w:t>
      </w:r>
      <w:r>
        <w:t xml:space="preserve">  </w:t>
      </w:r>
      <w:r>
        <w:rPr>
          <w:rFonts w:hint="eastAsia"/>
        </w:rPr>
        <w:t>中途站设施规划指导</w:t>
      </w:r>
      <w:bookmarkEnd w:id="170"/>
    </w:p>
    <w:tbl>
      <w:tblPr>
        <w:tblStyle w:val="94"/>
        <w:tblW w:w="7992"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95"/>
        <w:gridCol w:w="2775"/>
        <w:gridCol w:w="28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5170" w:type="dxa"/>
            <w:gridSpan w:val="2"/>
            <w:tcBorders>
              <w:top w:val="single" w:color="auto" w:sz="12" w:space="0"/>
              <w:left w:val="nil"/>
              <w:bottom w:val="single" w:color="auto" w:sz="12" w:space="0"/>
            </w:tcBorders>
            <w:shd w:val="clear" w:color="auto" w:fill="CCC0D9"/>
            <w:vAlign w:val="center"/>
          </w:tcPr>
          <w:p>
            <w:pPr>
              <w:widowControl w:val="0"/>
              <w:adjustRightInd/>
              <w:snapToGrid/>
              <w:spacing w:line="240" w:lineRule="auto"/>
              <w:ind w:firstLine="0" w:firstLineChars="0"/>
              <w:jc w:val="center"/>
              <w:rPr>
                <w:rFonts w:ascii="宋体" w:hAnsi="宋体" w:cs="Times New Roman"/>
                <w:b/>
                <w:kern w:val="2"/>
                <w:sz w:val="21"/>
                <w:szCs w:val="21"/>
              </w:rPr>
            </w:pPr>
            <w:r>
              <w:rPr>
                <w:rFonts w:hint="eastAsia" w:ascii="宋体" w:hAnsi="宋体" w:cs="Times New Roman"/>
                <w:b/>
                <w:kern w:val="2"/>
                <w:sz w:val="21"/>
                <w:szCs w:val="21"/>
              </w:rPr>
              <w:t>设施</w:t>
            </w:r>
          </w:p>
        </w:tc>
        <w:tc>
          <w:tcPr>
            <w:tcW w:w="2822" w:type="dxa"/>
            <w:tcBorders>
              <w:top w:val="single" w:color="auto" w:sz="12" w:space="0"/>
              <w:bottom w:val="single" w:color="auto" w:sz="12" w:space="0"/>
              <w:right w:val="nil"/>
            </w:tcBorders>
            <w:shd w:val="clear" w:color="auto" w:fill="CCC0D9"/>
            <w:vAlign w:val="center"/>
          </w:tcPr>
          <w:p>
            <w:pPr>
              <w:widowControl w:val="0"/>
              <w:adjustRightInd/>
              <w:snapToGrid/>
              <w:spacing w:line="240" w:lineRule="auto"/>
              <w:ind w:firstLine="0" w:firstLineChars="0"/>
              <w:jc w:val="center"/>
              <w:rPr>
                <w:rFonts w:ascii="宋体" w:hAnsi="宋体" w:cs="Times New Roman"/>
                <w:b/>
                <w:kern w:val="2"/>
                <w:sz w:val="21"/>
                <w:szCs w:val="21"/>
              </w:rPr>
            </w:pPr>
            <w:r>
              <w:rPr>
                <w:rFonts w:hint="eastAsia" w:ascii="宋体" w:hAnsi="宋体" w:cs="Times New Roman"/>
                <w:b/>
                <w:kern w:val="2"/>
                <w:sz w:val="21"/>
                <w:szCs w:val="21"/>
              </w:rPr>
              <w:t>配置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tcBorders>
              <w:top w:val="single" w:color="auto" w:sz="4" w:space="0"/>
              <w:left w:val="nil"/>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信息设施</w:t>
            </w:r>
          </w:p>
        </w:tc>
        <w:tc>
          <w:tcPr>
            <w:tcW w:w="2775" w:type="dxa"/>
            <w:tcBorders>
              <w:top w:val="single" w:color="auto" w:sz="4" w:space="0"/>
              <w:left w:val="single" w:color="auto" w:sz="4" w:space="0"/>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站牌</w:t>
            </w:r>
          </w:p>
        </w:tc>
        <w:tc>
          <w:tcPr>
            <w:tcW w:w="2822" w:type="dxa"/>
            <w:tcBorders>
              <w:top w:val="single" w:color="auto" w:sz="4" w:space="0"/>
              <w:left w:val="single" w:color="auto" w:sz="4" w:space="0"/>
              <w:bottom w:val="single" w:color="auto" w:sz="4"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restart"/>
            <w:tcBorders>
              <w:top w:val="single" w:color="auto" w:sz="4" w:space="0"/>
              <w:left w:val="nil"/>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便利设施</w:t>
            </w:r>
          </w:p>
        </w:tc>
        <w:tc>
          <w:tcPr>
            <w:tcW w:w="2775" w:type="dxa"/>
            <w:tcBorders>
              <w:top w:val="single" w:color="auto" w:sz="4" w:space="0"/>
              <w:left w:val="single" w:color="auto" w:sz="4" w:space="0"/>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无障碍设施</w:t>
            </w:r>
          </w:p>
        </w:tc>
        <w:tc>
          <w:tcPr>
            <w:tcW w:w="2822" w:type="dxa"/>
            <w:tcBorders>
              <w:top w:val="single" w:color="auto" w:sz="4" w:space="0"/>
              <w:left w:val="single" w:color="auto" w:sz="4" w:space="0"/>
              <w:bottom w:val="single" w:color="auto" w:sz="4"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775" w:type="dxa"/>
            <w:tcBorders>
              <w:top w:val="single" w:color="auto" w:sz="4" w:space="0"/>
              <w:left w:val="single" w:color="auto" w:sz="4" w:space="0"/>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候车亭</w:t>
            </w:r>
          </w:p>
        </w:tc>
        <w:tc>
          <w:tcPr>
            <w:tcW w:w="2822" w:type="dxa"/>
            <w:tcBorders>
              <w:top w:val="single" w:color="auto" w:sz="4" w:space="0"/>
              <w:left w:val="single" w:color="auto" w:sz="4" w:space="0"/>
              <w:bottom w:val="single" w:color="auto" w:sz="4"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775" w:type="dxa"/>
            <w:tcBorders>
              <w:top w:val="single" w:color="auto" w:sz="4" w:space="0"/>
              <w:left w:val="single" w:color="auto" w:sz="4" w:space="0"/>
              <w:bottom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站台</w:t>
            </w:r>
          </w:p>
        </w:tc>
        <w:tc>
          <w:tcPr>
            <w:tcW w:w="2822" w:type="dxa"/>
            <w:tcBorders>
              <w:top w:val="single" w:color="auto" w:sz="4" w:space="0"/>
              <w:left w:val="single" w:color="auto" w:sz="4" w:space="0"/>
              <w:bottom w:val="single" w:color="auto" w:sz="4"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340" w:hRule="atLeast"/>
          <w:jc w:val="center"/>
        </w:trPr>
        <w:tc>
          <w:tcPr>
            <w:tcW w:w="2395"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775" w:type="dxa"/>
            <w:tcBorders>
              <w:top w:val="single" w:color="auto" w:sz="4" w:space="0"/>
              <w:left w:val="single" w:color="auto" w:sz="4" w:space="0"/>
              <w:right w:val="single" w:color="auto" w:sz="4" w:space="0"/>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座椅</w:t>
            </w:r>
          </w:p>
        </w:tc>
        <w:tc>
          <w:tcPr>
            <w:tcW w:w="2822" w:type="dxa"/>
            <w:tcBorders>
              <w:top w:val="single" w:color="auto" w:sz="4" w:space="0"/>
              <w:left w:val="single" w:color="auto" w:sz="4"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continue"/>
            <w:tcBorders>
              <w:left w:val="nil"/>
              <w:right w:val="single" w:color="auto" w:sz="4" w:space="0"/>
            </w:tcBorders>
            <w:vAlign w:val="center"/>
          </w:tcPr>
          <w:p>
            <w:pPr>
              <w:autoSpaceDE w:val="0"/>
              <w:autoSpaceDN w:val="0"/>
              <w:spacing w:line="240" w:lineRule="auto"/>
              <w:ind w:firstLine="0" w:firstLineChars="0"/>
              <w:jc w:val="center"/>
              <w:rPr>
                <w:rFonts w:cs="宋体"/>
                <w:sz w:val="21"/>
                <w:szCs w:val="21"/>
              </w:rPr>
            </w:pPr>
          </w:p>
        </w:tc>
        <w:tc>
          <w:tcPr>
            <w:tcW w:w="2775" w:type="dxa"/>
            <w:tcBorders>
              <w:left w:val="single" w:color="auto" w:sz="4" w:space="0"/>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自行车存放</w:t>
            </w:r>
          </w:p>
        </w:tc>
        <w:tc>
          <w:tcPr>
            <w:tcW w:w="2822" w:type="dxa"/>
            <w:tcBorders>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restart"/>
            <w:tcBorders>
              <w:left w:val="nil"/>
            </w:tcBorders>
            <w:vAlign w:val="center"/>
          </w:tcPr>
          <w:p>
            <w:pPr>
              <w:autoSpaceDE w:val="0"/>
              <w:autoSpaceDN w:val="0"/>
              <w:spacing w:line="240" w:lineRule="auto"/>
              <w:ind w:firstLine="0" w:firstLineChars="0"/>
              <w:jc w:val="center"/>
              <w:rPr>
                <w:rFonts w:cs="宋体"/>
                <w:sz w:val="21"/>
                <w:szCs w:val="21"/>
              </w:rPr>
            </w:pPr>
            <w:r>
              <w:rPr>
                <w:rFonts w:hint="eastAsia" w:cs="宋体"/>
                <w:sz w:val="21"/>
                <w:szCs w:val="21"/>
              </w:rPr>
              <w:t>安全设施</w:t>
            </w:r>
          </w:p>
        </w:tc>
        <w:tc>
          <w:tcPr>
            <w:tcW w:w="2775" w:type="dxa"/>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候车廊</w:t>
            </w:r>
          </w:p>
        </w:tc>
        <w:tc>
          <w:tcPr>
            <w:tcW w:w="2822" w:type="dxa"/>
            <w:tcBorders>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340" w:hRule="atLeast"/>
          <w:jc w:val="center"/>
        </w:trPr>
        <w:tc>
          <w:tcPr>
            <w:tcW w:w="2395" w:type="dxa"/>
            <w:vMerge w:val="continue"/>
            <w:tcBorders>
              <w:left w:val="nil"/>
              <w:bottom w:val="single" w:color="auto" w:sz="12" w:space="0"/>
            </w:tcBorders>
            <w:vAlign w:val="center"/>
          </w:tcPr>
          <w:p>
            <w:pPr>
              <w:autoSpaceDE w:val="0"/>
              <w:autoSpaceDN w:val="0"/>
              <w:spacing w:line="240" w:lineRule="auto"/>
              <w:ind w:firstLine="0" w:firstLineChars="0"/>
              <w:jc w:val="center"/>
              <w:rPr>
                <w:rFonts w:cs="宋体"/>
                <w:sz w:val="21"/>
                <w:szCs w:val="21"/>
              </w:rPr>
            </w:pPr>
          </w:p>
        </w:tc>
        <w:tc>
          <w:tcPr>
            <w:tcW w:w="2775" w:type="dxa"/>
            <w:tcBorders>
              <w:bottom w:val="single" w:color="auto" w:sz="12" w:space="0"/>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cs="宋体"/>
                <w:sz w:val="21"/>
                <w:szCs w:val="21"/>
              </w:rPr>
              <w:t>照明</w:t>
            </w:r>
          </w:p>
        </w:tc>
        <w:tc>
          <w:tcPr>
            <w:tcW w:w="2822" w:type="dxa"/>
            <w:tcBorders>
              <w:bottom w:val="single" w:color="auto" w:sz="12" w:space="0"/>
              <w:right w:val="nil"/>
            </w:tcBorders>
            <w:vAlign w:val="center"/>
          </w:tcPr>
          <w:p>
            <w:pPr>
              <w:autoSpaceDE w:val="0"/>
              <w:autoSpaceDN w:val="0"/>
              <w:spacing w:line="240" w:lineRule="auto"/>
              <w:ind w:left="-120" w:leftChars="-50" w:right="-120" w:rightChars="-50" w:firstLine="0" w:firstLineChars="0"/>
              <w:jc w:val="center"/>
              <w:rPr>
                <w:rFonts w:cs="宋体"/>
                <w:sz w:val="21"/>
                <w:szCs w:val="21"/>
              </w:rPr>
            </w:pPr>
            <w:r>
              <w:rPr>
                <w:rFonts w:hint="eastAsia" w:ascii="宋体" w:hAnsi="宋体" w:cs="宋体"/>
                <w:sz w:val="21"/>
                <w:szCs w:val="21"/>
              </w:rPr>
              <w:t>√</w:t>
            </w:r>
          </w:p>
        </w:tc>
      </w:tr>
    </w:tbl>
    <w:p>
      <w:pPr>
        <w:spacing w:before="0"/>
        <w:ind w:firstLine="315" w:firstLineChars="150"/>
        <w:rPr>
          <w:rFonts w:ascii="黑体" w:hAnsi="宋体" w:eastAsia="黑体"/>
        </w:rPr>
      </w:pPr>
      <w:r>
        <w:rPr>
          <w:rFonts w:hint="eastAsia" w:ascii="黑体" w:hAnsi="宋体" w:eastAsia="黑体"/>
          <w:sz w:val="21"/>
          <w:szCs w:val="21"/>
        </w:rPr>
        <w:t>注：</w:t>
      </w:r>
      <w:r>
        <w:rPr>
          <w:rFonts w:hint="eastAsia" w:ascii="黑体" w:hAnsi="宋体" w:eastAsia="黑体"/>
        </w:rPr>
        <w:t>“</w:t>
      </w:r>
      <w:r>
        <w:rPr>
          <w:rFonts w:hint="eastAsia" w:ascii="黑体" w:hAnsi="宋体" w:eastAsia="黑体" w:cs="宋体"/>
          <w:sz w:val="21"/>
          <w:szCs w:val="21"/>
        </w:rPr>
        <w:t>√”表示应有的设施，</w:t>
      </w:r>
      <w:r>
        <w:rPr>
          <w:rFonts w:hint="eastAsia" w:ascii="黑体" w:hAnsi="宋体" w:eastAsia="黑体"/>
        </w:rPr>
        <w:t>“</w:t>
      </w:r>
      <w:r>
        <w:rPr>
          <w:rFonts w:hint="eastAsia" w:ascii="黑体" w:hAnsi="宋体" w:eastAsia="黑体" w:cs="宋体"/>
          <w:sz w:val="21"/>
          <w:szCs w:val="21"/>
        </w:rPr>
        <w:t>○”表示可选择的设施。</w:t>
      </w:r>
    </w:p>
    <w:p>
      <w:pPr>
        <w:pStyle w:val="5"/>
        <w:spacing w:before="163" w:after="163"/>
        <w:rPr>
          <w:rFonts w:cs="Times New Roman"/>
        </w:rPr>
      </w:pPr>
      <w:bookmarkStart w:id="171" w:name="_Toc275338854"/>
      <w:bookmarkStart w:id="172" w:name="_Toc372140082"/>
      <w:bookmarkStart w:id="173" w:name="_Toc267837746"/>
      <w:bookmarkStart w:id="174" w:name="_Toc268625195"/>
      <w:bookmarkStart w:id="175" w:name="_Toc263605094"/>
      <w:bookmarkStart w:id="176" w:name="_Toc267614036"/>
      <w:bookmarkStart w:id="177" w:name="_Toc503152853"/>
      <w:bookmarkStart w:id="178" w:name="_Toc267614485"/>
      <w:bookmarkStart w:id="179" w:name="_Toc267614663"/>
      <w:bookmarkStart w:id="180" w:name="_Toc514171306"/>
      <w:r>
        <w:rPr>
          <w:rFonts w:hint="eastAsia" w:cs="Times New Roman"/>
        </w:rPr>
        <w:t>6.</w:t>
      </w:r>
      <w:bookmarkEnd w:id="171"/>
      <w:bookmarkEnd w:id="172"/>
      <w:bookmarkEnd w:id="173"/>
      <w:bookmarkEnd w:id="174"/>
      <w:bookmarkEnd w:id="175"/>
      <w:bookmarkEnd w:id="176"/>
      <w:bookmarkEnd w:id="177"/>
      <w:bookmarkEnd w:id="178"/>
      <w:bookmarkEnd w:id="179"/>
      <w:r>
        <w:rPr>
          <w:rFonts w:hint="eastAsia" w:cs="Times New Roman"/>
        </w:rPr>
        <w:t>4.2</w:t>
      </w:r>
      <w:r>
        <w:rPr>
          <w:rFonts w:cs="Times New Roman"/>
        </w:rPr>
        <w:t xml:space="preserve"> </w:t>
      </w:r>
      <w:r>
        <w:rPr>
          <w:rFonts w:hint="eastAsia" w:cs="Times New Roman"/>
        </w:rPr>
        <w:t>公交中途站设置方法</w:t>
      </w:r>
      <w:bookmarkEnd w:id="180"/>
    </w:p>
    <w:p>
      <w:pPr>
        <w:spacing w:before="0"/>
        <w:ind w:firstLine="482"/>
        <w:rPr>
          <w:rFonts w:cs="Times New Roman"/>
          <w:b/>
        </w:rPr>
      </w:pPr>
      <w:r>
        <w:rPr>
          <w:rFonts w:hint="eastAsia" w:cs="Times New Roman"/>
          <w:b/>
        </w:rPr>
        <w:t>1、公交中途站选址方法</w:t>
      </w:r>
    </w:p>
    <w:p>
      <w:pPr>
        <w:spacing w:before="0"/>
        <w:ind w:firstLine="480"/>
      </w:pPr>
      <w:r>
        <w:rPr>
          <w:rFonts w:hint="eastAsia"/>
        </w:rPr>
        <w:t>以《城市道路公共交通站、场、厂工程设计规范》（CJJ/T15—2011）、《城市道路交通规划设计规范》（GB 50220—95）等相关规范和标准为基础，同时结合资阳市的具体情况，确立了资阳市公交中途站的具体设置方法和标准。未来新建、改建的公交中途站应参照执行。</w:t>
      </w:r>
    </w:p>
    <w:p>
      <w:pPr>
        <w:spacing w:before="0"/>
        <w:ind w:firstLine="480"/>
      </w:pPr>
      <w:r>
        <w:rPr>
          <w:rFonts w:hAnsi="宋体" w:cs="Times New Roman"/>
        </w:rPr>
        <w:t>（</w:t>
      </w:r>
      <w:r>
        <w:rPr>
          <w:rFonts w:cs="Times New Roman"/>
        </w:rPr>
        <w:t>1</w:t>
      </w:r>
      <w:r>
        <w:rPr>
          <w:rFonts w:hAnsi="宋体" w:cs="Times New Roman"/>
        </w:rPr>
        <w:t>）公交中途站应尽可能设置在道路交叉口，没有条件的，可设置于路段上，但原则上应设置于地块出入口的下游。</w:t>
      </w:r>
      <w:r>
        <w:t>中途站应设置在公共交通线路沿途所经过的各主要客流集散点</w:t>
      </w:r>
      <w:r>
        <w:rPr>
          <w:rFonts w:hint="eastAsia"/>
        </w:rPr>
        <w:t>处，并宜与人行过街设施、其他交通方式衔接</w:t>
      </w:r>
      <w:r>
        <w:t>。城市规划交通管理部门有责任为这些站点的设置提供方便。如所设站点与城市交通管理规则确有矛盾，妨碍交通，应协商调整。</w:t>
      </w:r>
    </w:p>
    <w:p>
      <w:pPr>
        <w:spacing w:before="0" w:after="0"/>
        <w:ind w:firstLine="480"/>
        <w:rPr>
          <w:rFonts w:cs="Times New Roman"/>
        </w:rPr>
      </w:pPr>
      <w:r>
        <w:rPr>
          <w:rFonts w:hAnsi="宋体" w:cs="Times New Roman"/>
        </w:rPr>
        <w:t>（</w:t>
      </w:r>
      <w:r>
        <w:rPr>
          <w:rFonts w:cs="Times New Roman"/>
        </w:rPr>
        <w:t>2</w:t>
      </w:r>
      <w:r>
        <w:rPr>
          <w:rFonts w:hAnsi="宋体" w:cs="Times New Roman"/>
        </w:rPr>
        <w:t>）对于新建交叉口，公交中途站必须设置在交叉口下游。对于改建或治理交叉口，条件受限时，可将直行或右转线路的中途站设置在交叉口上游，左转线路应设置在转入道路出口道延续段上。</w:t>
      </w:r>
    </w:p>
    <w:p>
      <w:pPr>
        <w:spacing w:before="0"/>
        <w:ind w:firstLine="480"/>
      </w:pPr>
      <w:r>
        <w:rPr>
          <w:rFonts w:hAnsi="宋体" w:cs="Times New Roman"/>
        </w:rPr>
        <w:t>（</w:t>
      </w:r>
      <w:r>
        <w:rPr>
          <w:rFonts w:cs="Times New Roman"/>
        </w:rPr>
        <w:t>3</w:t>
      </w:r>
      <w:r>
        <w:rPr>
          <w:rFonts w:hAnsi="宋体" w:cs="Times New Roman"/>
        </w:rPr>
        <w:t>）</w:t>
      </w:r>
      <w:r>
        <w:rPr>
          <w:rFonts w:hint="eastAsia"/>
        </w:rPr>
        <w:t>在道路平面交叉口和立体交叉口上设置的车站，换乘距离不宜大于150m，并不得大于200m。郊区站点与平交口的距离，一级公路宜设在160m以外，二级及以下公路宜设在110m以外。</w:t>
      </w:r>
    </w:p>
    <w:p>
      <w:pPr>
        <w:spacing w:before="0" w:after="0"/>
        <w:ind w:firstLine="480"/>
        <w:rPr>
          <w:rFonts w:cs="Times New Roman"/>
        </w:rPr>
      </w:pPr>
      <w:r>
        <w:rPr>
          <w:rFonts w:hAnsi="宋体" w:cs="Times New Roman"/>
        </w:rPr>
        <w:t>（</w:t>
      </w:r>
      <w:r>
        <w:rPr>
          <w:rFonts w:cs="Times New Roman"/>
        </w:rPr>
        <w:t>4</w:t>
      </w:r>
      <w:r>
        <w:rPr>
          <w:rFonts w:hAnsi="宋体" w:cs="Times New Roman"/>
        </w:rPr>
        <w:t>）</w:t>
      </w:r>
      <w:r>
        <w:rPr>
          <w:rFonts w:cs="Times New Roman"/>
        </w:rPr>
        <w:t>公交中途站候车站台高度宜取20厘米，站台宽度应取2.0米，条件受限时，最小宽度不应小于1.25米。公交候车站台可设置于人行道，但人行道剩余最小宽度不宜小于2.50米，必要时应局部拓宽道路红线</w:t>
      </w:r>
      <w:r>
        <w:rPr>
          <w:rFonts w:hAnsi="宋体" w:cs="Times New Roman"/>
        </w:rPr>
        <w:t>。</w:t>
      </w:r>
    </w:p>
    <w:p>
      <w:pPr>
        <w:spacing w:before="0"/>
        <w:ind w:firstLine="480"/>
      </w:pPr>
      <w:r>
        <w:rPr>
          <w:rFonts w:hAnsi="宋体" w:cs="Times New Roman"/>
        </w:rPr>
        <w:t>（</w:t>
      </w:r>
      <w:r>
        <w:rPr>
          <w:rFonts w:cs="Times New Roman"/>
        </w:rPr>
        <w:t>5</w:t>
      </w:r>
      <w:r>
        <w:rPr>
          <w:rFonts w:hAnsi="宋体" w:cs="Times New Roman"/>
        </w:rPr>
        <w:t>）</w:t>
      </w:r>
      <w:r>
        <w:rPr>
          <w:rFonts w:hint="eastAsia"/>
        </w:rPr>
        <w:t>几条公交线路重复经过同一路段时，其中途站宜合并设置。站的通行能力应与各条线路最大发车频率的总和相适应。中途站共站线路条数不宜超过6条或高峰小时最大通过车数不宜超过80辆，超过该规模时，宜分设车站。分设车站的距离不宜超过50m。</w:t>
      </w:r>
    </w:p>
    <w:p>
      <w:pPr>
        <w:spacing w:before="0"/>
        <w:ind w:firstLine="480"/>
        <w:rPr>
          <w:rFonts w:cs="Times New Roman"/>
        </w:rPr>
      </w:pPr>
      <w:r>
        <w:rPr>
          <w:rFonts w:cs="Times New Roman"/>
        </w:rPr>
        <w:t>（6）公交中途站设置在交叉口下游时，离开停车线距离：下游右侧展宽增加车道情况下，应设在展宽段向前15米处作一体化设计；下游右侧不展宽的情况下，在主、次干道上距离停车线不应小于50米，支路不应小于30米。</w:t>
      </w:r>
    </w:p>
    <w:p>
      <w:pPr>
        <w:spacing w:before="0"/>
        <w:ind w:firstLine="480"/>
        <w:rPr>
          <w:rFonts w:cs="Times New Roman"/>
        </w:rPr>
      </w:pPr>
      <w:r>
        <w:rPr>
          <w:rFonts w:cs="Times New Roman"/>
        </w:rPr>
        <w:t>（7）公交中途站设置在交叉口上游时，离开停车线距离：进口道右侧有展宽增加的车道时，停靠站应设在该车道展宽段之后至少15米处，并将拓宽车道加上公交站台长度后作一体化设计；进口道右侧无展宽增加的车道时，在主干道上距离停车线不应小于80米，在次干道上距离停车线不应小于60米，在支路上距离停车线不应小于40米。</w:t>
      </w:r>
    </w:p>
    <w:p>
      <w:pPr>
        <w:spacing w:before="0"/>
        <w:ind w:firstLine="480"/>
      </w:pPr>
      <w:r>
        <w:rPr>
          <w:rFonts w:hint="eastAsia" w:cs="Times New Roman"/>
        </w:rPr>
        <w:t>（8）</w:t>
      </w:r>
      <w:r>
        <w:rPr>
          <w:rFonts w:hint="eastAsia"/>
        </w:rPr>
        <w:t>中途站宜设停靠区，并应符合下列规定：</w:t>
      </w:r>
    </w:p>
    <w:p>
      <w:pPr>
        <w:spacing w:before="0"/>
        <w:ind w:firstLine="480"/>
      </w:pPr>
      <w:r>
        <w:rPr>
          <w:rFonts w:hint="eastAsia"/>
        </w:rPr>
        <w:t>①在大城市和特大城市，线路行车间隔在3min以上时，停靠区长度宜为30m；线路行车间隔在3min以内时，停靠区长度宜为50m。若多线共站，停靠区长度宜为70m；</w:t>
      </w:r>
    </w:p>
    <w:p>
      <w:pPr>
        <w:spacing w:before="0"/>
        <w:ind w:firstLine="480"/>
        <w:rPr>
          <w:rFonts w:cs="Times New Roman"/>
        </w:rPr>
      </w:pPr>
      <w:r>
        <w:rPr>
          <w:rFonts w:hint="eastAsia" w:cs="Times New Roman"/>
        </w:rPr>
        <w:t>②在中小城市，停靠区的长度可按所停主要车辆类型确定。通过该站的车型在两种以上时，应按最大一种车型的车长加安全间距计算停靠区的长度；</w:t>
      </w:r>
    </w:p>
    <w:p>
      <w:pPr>
        <w:spacing w:before="0"/>
        <w:ind w:firstLine="480"/>
        <w:rPr>
          <w:rFonts w:cs="Times New Roman"/>
        </w:rPr>
      </w:pPr>
      <w:r>
        <w:rPr>
          <w:rFonts w:hint="eastAsia" w:cs="Times New Roman"/>
        </w:rPr>
        <w:t>③停靠区宽度不应小于3m。</w:t>
      </w:r>
    </w:p>
    <w:p>
      <w:pPr>
        <w:spacing w:before="0"/>
        <w:ind w:firstLine="480"/>
      </w:pPr>
      <w:r>
        <w:rPr>
          <w:rFonts w:hint="eastAsia" w:cs="Times New Roman"/>
        </w:rPr>
        <w:t>（9）中途站宜采用港湾式车站，快速路和主干道应采用港湾式车站。港湾式车辆沿路缘向人行道侧呈等腰梯形状的凹进不应小于3m，长度按第（8）条</w:t>
      </w:r>
      <w:r>
        <w:rPr>
          <w:rFonts w:hint="eastAsia"/>
        </w:rPr>
        <w:t>计算，机动车应与非机动车隔离。</w:t>
      </w:r>
    </w:p>
    <w:p>
      <w:pPr>
        <w:ind w:firstLine="480"/>
      </w:pPr>
      <w:r>
        <w:rPr>
          <w:rFonts w:hint="eastAsia"/>
        </w:rPr>
        <w:t>（10）在车行道宽度为10m以下的道路上设置中途站时，宜建避车道。</w:t>
      </w:r>
    </w:p>
    <w:p>
      <w:pPr>
        <w:pStyle w:val="113"/>
        <w:spacing w:before="163" w:after="163"/>
      </w:pPr>
      <w:r>
        <w:rPr>
          <w:rFonts w:hint="eastAsia"/>
        </w:rPr>
        <w:t xml:space="preserve">表6-7 </w:t>
      </w:r>
      <w:r>
        <w:t xml:space="preserve"> </w:t>
      </w:r>
      <w:r>
        <w:rPr>
          <w:rFonts w:hint="eastAsia"/>
        </w:rPr>
        <w:t>公交停靠站选址因素一览表</w:t>
      </w:r>
    </w:p>
    <w:tbl>
      <w:tblPr>
        <w:tblStyle w:val="94"/>
        <w:tblW w:w="8306"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6"/>
        <w:gridCol w:w="60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960" w:hRule="atLeast"/>
          <w:jc w:val="center"/>
        </w:trPr>
        <w:tc>
          <w:tcPr>
            <w:tcW w:w="2226" w:type="dxa"/>
            <w:tcBorders>
              <w:top w:val="single" w:color="auto" w:sz="12" w:space="0"/>
              <w:left w:val="nil"/>
              <w:bottom w:val="single" w:color="auto" w:sz="4" w:space="0"/>
              <w:right w:val="single" w:color="auto" w:sz="12" w:space="0"/>
            </w:tcBorders>
            <w:shd w:val="clear" w:color="auto" w:fill="CCC0D9"/>
            <w:vAlign w:val="center"/>
          </w:tcPr>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b/>
                <w:snapToGrid w:val="0"/>
                <w:kern w:val="2"/>
                <w:sz w:val="21"/>
                <w:szCs w:val="21"/>
              </w:rPr>
            </w:pPr>
            <w:r>
              <w:rPr>
                <w:rFonts w:hint="eastAsia" w:cs="宋体" w:asciiTheme="majorEastAsia" w:hAnsiTheme="majorEastAsia" w:eastAsiaTheme="majorEastAsia"/>
                <w:b/>
                <w:snapToGrid w:val="0"/>
                <w:kern w:val="2"/>
                <w:sz w:val="21"/>
                <w:szCs w:val="21"/>
              </w:rPr>
              <w:t>判断因素</w:t>
            </w:r>
          </w:p>
        </w:tc>
        <w:tc>
          <w:tcPr>
            <w:tcW w:w="6080" w:type="dxa"/>
            <w:tcBorders>
              <w:top w:val="single" w:color="auto" w:sz="12" w:space="0"/>
              <w:left w:val="single" w:color="auto" w:sz="12" w:space="0"/>
              <w:bottom w:val="single" w:color="auto" w:sz="4" w:space="0"/>
              <w:right w:val="nil"/>
            </w:tcBorders>
          </w:tcPr>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周围土地开发利用情况；</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己有和潜在的主要客流发生、吸引地点分布情况；</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道路及交叉口交通负荷情况；</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公交线路的布设情况；</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乘客乘车的方便、舒适和安全性；</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合理体现“公交优先”的思想。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10" w:hRule="atLeast"/>
          <w:jc w:val="center"/>
        </w:trPr>
        <w:tc>
          <w:tcPr>
            <w:tcW w:w="2226" w:type="dxa"/>
            <w:tcBorders>
              <w:left w:val="nil"/>
              <w:bottom w:val="single" w:color="auto" w:sz="12" w:space="0"/>
              <w:right w:val="single" w:color="auto" w:sz="12" w:space="0"/>
            </w:tcBorders>
            <w:shd w:val="clear" w:color="auto" w:fill="CCC0D9"/>
            <w:vAlign w:val="center"/>
          </w:tcPr>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b/>
                <w:snapToGrid w:val="0"/>
                <w:kern w:val="2"/>
                <w:sz w:val="21"/>
                <w:szCs w:val="21"/>
              </w:rPr>
            </w:pPr>
            <w:r>
              <w:rPr>
                <w:rFonts w:hint="eastAsia" w:cs="宋体" w:asciiTheme="majorEastAsia" w:hAnsiTheme="majorEastAsia" w:eastAsiaTheme="majorEastAsia"/>
                <w:b/>
                <w:snapToGrid w:val="0"/>
                <w:kern w:val="2"/>
                <w:sz w:val="21"/>
                <w:szCs w:val="21"/>
              </w:rPr>
              <w:t>制约因素</w:t>
            </w:r>
          </w:p>
        </w:tc>
        <w:tc>
          <w:tcPr>
            <w:tcW w:w="6080" w:type="dxa"/>
            <w:tcBorders>
              <w:left w:val="single" w:color="auto" w:sz="12" w:space="0"/>
              <w:bottom w:val="single" w:color="auto" w:sz="12" w:space="0"/>
              <w:right w:val="nil"/>
            </w:tcBorders>
          </w:tcPr>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道路横断面形式及用地条件；</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交叉口几何形式及用地条件；</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交叉口进口道功能划分及信号控制类型；</w:t>
            </w:r>
          </w:p>
          <w:p>
            <w:pPr>
              <w:widowControl w:val="0"/>
              <w:adjustRightInd/>
              <w:snapToGrid/>
              <w:spacing w:before="156" w:after="156" w:line="240" w:lineRule="auto"/>
              <w:ind w:firstLine="0" w:firstLineChars="0"/>
              <w:jc w:val="center"/>
              <w:textAlignment w:val="center"/>
              <w:rPr>
                <w:rFonts w:cs="宋体" w:asciiTheme="majorEastAsia" w:hAnsiTheme="majorEastAsia" w:eastAsiaTheme="majorEastAsia"/>
                <w:snapToGrid w:val="0"/>
                <w:kern w:val="2"/>
                <w:sz w:val="21"/>
                <w:szCs w:val="21"/>
              </w:rPr>
            </w:pPr>
            <w:r>
              <w:rPr>
                <w:rFonts w:hint="eastAsia" w:cs="宋体" w:asciiTheme="majorEastAsia" w:hAnsiTheme="majorEastAsia" w:eastAsiaTheme="majorEastAsia"/>
                <w:snapToGrid w:val="0"/>
                <w:kern w:val="2"/>
                <w:sz w:val="21"/>
                <w:szCs w:val="21"/>
              </w:rPr>
              <w:t>安全因素。</w:t>
            </w:r>
          </w:p>
        </w:tc>
      </w:tr>
    </w:tbl>
    <w:p>
      <w:pPr>
        <w:spacing w:before="0"/>
        <w:ind w:firstLine="482"/>
        <w:rPr>
          <w:rFonts w:cs="Times New Roman"/>
          <w:b/>
        </w:rPr>
      </w:pPr>
    </w:p>
    <w:p>
      <w:pPr>
        <w:spacing w:before="0"/>
        <w:ind w:firstLine="482"/>
        <w:rPr>
          <w:rFonts w:cs="Times New Roman"/>
          <w:b/>
        </w:rPr>
      </w:pPr>
      <w:r>
        <w:rPr>
          <w:rFonts w:hint="eastAsia" w:cs="Times New Roman"/>
          <w:b/>
        </w:rPr>
        <w:t>2、公交中途站站台形式选择</w:t>
      </w:r>
    </w:p>
    <w:p>
      <w:pPr>
        <w:ind w:firstLine="480"/>
      </w:pPr>
      <w:r>
        <w:t>根据以上原则，对于城区的道路在条件许可的情况下，尽量采用港湾式停靠站</w:t>
      </w:r>
      <w:r>
        <w:rPr>
          <w:rFonts w:hint="eastAsia"/>
        </w:rPr>
        <w:t>，</w:t>
      </w:r>
      <w:r>
        <w:t>且新建的港湾式停靠站尽量长一些</w:t>
      </w:r>
      <w:r>
        <w:rPr>
          <w:rFonts w:hint="eastAsia"/>
        </w:rPr>
        <w:t>，</w:t>
      </w:r>
      <w:r>
        <w:t>停靠线路较多的停靠站至少能同时满足3辆以上大型公交车停靠</w:t>
      </w:r>
      <w:r>
        <w:rPr>
          <w:rFonts w:hint="eastAsia"/>
        </w:rPr>
        <w:t>，</w:t>
      </w:r>
      <w:r>
        <w:t>公交车停靠站至少50米长</w:t>
      </w:r>
      <w:r>
        <w:rPr>
          <w:rFonts w:hint="eastAsia"/>
        </w:rPr>
        <w:t>，</w:t>
      </w:r>
      <w:r>
        <w:t>以免大量公交车排队进站造成道路交通拥堵。根据不同的线路功能和道路条件，港湾式停靠站设置方法如下：</w:t>
      </w:r>
    </w:p>
    <w:p>
      <w:pPr>
        <w:ind w:firstLine="480"/>
      </w:pPr>
      <w:r>
        <w:rPr>
          <w:rFonts w:hint="eastAsia"/>
        </w:rPr>
        <w:t>1）</w:t>
      </w:r>
      <w:r>
        <w:t>对于无机非分割带或机非分割带较窄，且非机动车流量小，人行道宽度大于6.5米的道路，采用图6-</w:t>
      </w:r>
      <w:r>
        <w:rPr>
          <w:rFonts w:hint="eastAsia"/>
        </w:rPr>
        <w:t>8</w:t>
      </w:r>
      <w:r>
        <w:t>方式设置港湾式停靠站</w:t>
      </w:r>
      <w:r>
        <w:rPr>
          <w:rFonts w:hint="eastAsia"/>
        </w:rPr>
        <w:t>。</w:t>
      </w:r>
    </w:p>
    <w:p>
      <w:pPr>
        <w:pStyle w:val="151"/>
        <w:spacing w:before="156" w:after="156"/>
      </w:pPr>
      <w:r>
        <w:object>
          <v:shape id="_x0000_i1033" o:spt="75" type="#_x0000_t75" style="height:81.35pt;width:398pt;" o:ole="t" filled="f" o:preferrelative="t" stroked="f" coordsize="21600,21600">
            <v:path/>
            <v:fill on="f" focussize="0,0"/>
            <v:stroke on="f" joinstyle="miter"/>
            <v:imagedata r:id="rId87" o:title=""/>
            <o:lock v:ext="edit" aspectratio="t"/>
            <w10:wrap type="none"/>
            <w10:anchorlock/>
          </v:shape>
          <o:OLEObject Type="Embed" ProgID="PBrush" ShapeID="_x0000_i1033" DrawAspect="Content" ObjectID="_1468075733" r:id="rId86">
            <o:LockedField>false</o:LockedField>
          </o:OLEObject>
        </w:object>
      </w:r>
    </w:p>
    <w:p>
      <w:pPr>
        <w:pStyle w:val="117"/>
      </w:pPr>
      <w:r>
        <w:t>图6-</w:t>
      </w:r>
      <w:r>
        <w:rPr>
          <w:rFonts w:hint="eastAsia"/>
        </w:rPr>
        <w:t>8</w:t>
      </w:r>
      <w:r>
        <w:t xml:space="preserve">  沿人行道港湾式停靠站的设置方式</w:t>
      </w:r>
    </w:p>
    <w:p>
      <w:pPr>
        <w:ind w:firstLine="480"/>
      </w:pPr>
      <w:r>
        <w:rPr>
          <w:rFonts w:hint="eastAsia"/>
        </w:rPr>
        <w:t>2）</w:t>
      </w:r>
      <w:r>
        <w:t>对于机动车和非机动车流量都比较大，且人行道宽度大于6.5米和机非分割带小于2.0m的道路，采用图6-9的方式设置港湾式停靠站。</w:t>
      </w:r>
    </w:p>
    <w:p>
      <w:pPr>
        <w:ind w:firstLine="0" w:firstLineChars="0"/>
        <w:jc w:val="center"/>
        <w:rPr>
          <w:rStyle w:val="205"/>
          <w:kern w:val="0"/>
          <w:szCs w:val="22"/>
        </w:rPr>
      </w:pPr>
      <w:r>
        <w:rPr>
          <w:rStyle w:val="205"/>
        </w:rPr>
        <w:object>
          <v:shape id="_x0000_i1034" o:spt="75" type="#_x0000_t75" style="height:88pt;width:398pt;" o:ole="t" filled="f" o:preferrelative="t" stroked="f" coordsize="21600,21600">
            <v:path/>
            <v:fill on="f" focussize="0,0"/>
            <v:stroke on="f" joinstyle="miter"/>
            <v:imagedata r:id="rId89" o:title=""/>
            <o:lock v:ext="edit" aspectratio="t"/>
            <w10:wrap type="none"/>
            <w10:anchorlock/>
          </v:shape>
          <o:OLEObject Type="Embed" ProgID="PBrush" ShapeID="_x0000_i1034" DrawAspect="Content" ObjectID="_1468075734" r:id="rId88">
            <o:LockedField>false</o:LockedField>
          </o:OLEObject>
        </w:object>
      </w:r>
    </w:p>
    <w:p>
      <w:pPr>
        <w:pStyle w:val="117"/>
      </w:pPr>
      <w:r>
        <w:t>图6-</w:t>
      </w:r>
      <w:r>
        <w:rPr>
          <w:rFonts w:hint="eastAsia"/>
        </w:rPr>
        <w:t>9</w:t>
      </w:r>
      <w:r>
        <w:t xml:space="preserve">  机非分割带小于2米的港湾式停靠站的设置方式</w:t>
      </w:r>
    </w:p>
    <w:p>
      <w:pPr>
        <w:ind w:firstLine="480"/>
      </w:pPr>
      <w:r>
        <w:rPr>
          <w:rFonts w:hint="eastAsia"/>
        </w:rPr>
        <w:t>3）</w:t>
      </w:r>
      <w:r>
        <w:t>对于三块板道路，若机非分割带大于等于4.0m，港湾式公交停靠站可沿分割带设置，如图6-10所示；若机非分割带大于2.0m且小于4.0m，港湾式公交停靠站可沿机非分割带设置，但要挤压机动车道宽度，如图6-11所示。</w:t>
      </w:r>
    </w:p>
    <w:p>
      <w:pPr>
        <w:pStyle w:val="151"/>
        <w:spacing w:before="156" w:after="156"/>
      </w:pPr>
      <w:r>
        <w:object>
          <v:shape id="_x0000_i1035" o:spt="75" type="#_x0000_t75" style="height:99.35pt;width:398pt;" o:ole="t" filled="f" o:preferrelative="t" stroked="f" coordsize="21600,21600">
            <v:path/>
            <v:fill on="f" focussize="0,0"/>
            <v:stroke on="f" joinstyle="miter"/>
            <v:imagedata r:id="rId91" o:title=""/>
            <o:lock v:ext="edit" aspectratio="t"/>
            <w10:wrap type="none"/>
            <w10:anchorlock/>
          </v:shape>
          <o:OLEObject Type="Embed" ProgID="PBrush" ShapeID="_x0000_i1035" DrawAspect="Content" ObjectID="_1468075735" r:id="rId90">
            <o:LockedField>false</o:LockedField>
          </o:OLEObject>
        </w:object>
      </w:r>
    </w:p>
    <w:p>
      <w:pPr>
        <w:pStyle w:val="117"/>
      </w:pPr>
      <w:r>
        <w:t>图6-</w:t>
      </w:r>
      <w:r>
        <w:rPr>
          <w:rFonts w:hint="eastAsia"/>
        </w:rPr>
        <w:t>10</w:t>
      </w:r>
      <w:r>
        <w:t xml:space="preserve">  机非分割带大于4米的港湾式停靠站的设置方式</w:t>
      </w:r>
    </w:p>
    <w:p>
      <w:pPr>
        <w:pStyle w:val="117"/>
        <w:spacing w:line="276" w:lineRule="auto"/>
        <w:rPr>
          <w:rFonts w:cs="Times New Roman"/>
        </w:rPr>
      </w:pPr>
      <w:r>
        <w:rPr>
          <w:rFonts w:cs="Times New Roman"/>
        </w:rPr>
        <w:object>
          <v:shape id="_x0000_i1036" o:spt="75" type="#_x0000_t75" style="height:92.65pt;width:398pt;" o:ole="t" filled="f" o:preferrelative="t" stroked="f" coordsize="21600,21600">
            <v:path/>
            <v:fill on="f" focussize="0,0"/>
            <v:stroke on="f" joinstyle="miter"/>
            <v:imagedata r:id="rId93" o:title=""/>
            <o:lock v:ext="edit" aspectratio="t"/>
            <w10:wrap type="none"/>
            <w10:anchorlock/>
          </v:shape>
          <o:OLEObject Type="Embed" ProgID="PBrush" ShapeID="_x0000_i1036" DrawAspect="Content" ObjectID="_1468075736" r:id="rId92">
            <o:LockedField>false</o:LockedField>
          </o:OLEObject>
        </w:object>
      </w:r>
    </w:p>
    <w:p>
      <w:pPr>
        <w:pStyle w:val="117"/>
      </w:pPr>
      <w:r>
        <w:t>图6-</w:t>
      </w:r>
      <w:r>
        <w:rPr>
          <w:rFonts w:hint="eastAsia"/>
        </w:rPr>
        <w:t>11</w:t>
      </w:r>
      <w:r>
        <w:t xml:space="preserve">  机非分割带小于4米大于2米的港湾式停靠站的设置方式</w:t>
      </w:r>
    </w:p>
    <w:p>
      <w:pPr>
        <w:pStyle w:val="206"/>
        <w:rPr>
          <w:lang w:eastAsia="zh-CN"/>
        </w:rPr>
      </w:pPr>
      <w:r>
        <w:t>3</w:t>
      </w:r>
      <w:r>
        <w:rPr>
          <w:rFonts w:hint="eastAsia"/>
          <w:lang w:eastAsia="zh-CN"/>
        </w:rPr>
        <w:t>、</w:t>
      </w:r>
      <w:r>
        <w:rPr>
          <w:rFonts w:hint="eastAsia"/>
        </w:rPr>
        <w:t>公交中途站</w:t>
      </w:r>
      <w:r>
        <w:rPr>
          <w:rFonts w:hint="eastAsia"/>
          <w:lang w:eastAsia="zh-CN"/>
        </w:rPr>
        <w:t>站牌形式选择</w:t>
      </w:r>
    </w:p>
    <w:p>
      <w:pPr>
        <w:ind w:firstLine="480"/>
      </w:pPr>
      <w:r>
        <w:rPr>
          <w:rFonts w:hint="eastAsia"/>
        </w:rPr>
        <w:t>公交站牌的形式一般分为以下三种：雨棚式，单牌式和单杆式。雨棚式适合道路条件好，途经线路多，客流集散大，候车时间长的重要中途站修建，单牌式适合道路资源有限，途经线路较多的中途站修建，单杆式适合途经线路少，客流稀少的一般中途站修建。</w:t>
      </w:r>
    </w:p>
    <w:p>
      <w:pPr>
        <w:pStyle w:val="206"/>
        <w:ind w:firstLine="0" w:firstLineChars="0"/>
        <w:jc w:val="center"/>
      </w:pPr>
      <w:r>
        <w:rPr>
          <w:color w:val="000000"/>
          <w:sz w:val="18"/>
          <w:szCs w:val="18"/>
          <w:lang w:val="en-US" w:eastAsia="zh-CN"/>
        </w:rPr>
        <w:drawing>
          <wp:inline distT="0" distB="0" distL="0" distR="0">
            <wp:extent cx="1476375" cy="1069975"/>
            <wp:effectExtent l="0" t="0" r="0" b="0"/>
            <wp:docPr id="55" name="图片 55" descr="https://timgsa.baidu.com/timg?image&amp;quality=80&amp;size=b9999_10000&amp;sec=1476889287037&amp;di=6bf782e0fd520aa38186453d135e6152&amp;imgtype=0&amp;src=http%3A%2F%2Fimg2.qihuiwang.com%2F61D9DBB3B51190C694B5661A4313FBBC_500_0_max_jp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https://timgsa.baidu.com/timg?image&amp;quality=80&amp;size=b9999_10000&amp;sec=1476889287037&amp;di=6bf782e0fd520aa38186453d135e6152&amp;imgtype=0&amp;src=http%3A%2F%2Fimg2.qihuiwang.com%2F61D9DBB3B51190C694B5661A4313FBBC_500_0_max_jpg.jpg"/>
                    <pic:cNvPicPr>
                      <a:picLocks noChangeAspect="1" noChangeArrowheads="1"/>
                    </pic:cNvPicPr>
                  </pic:nvPicPr>
                  <pic:blipFill>
                    <a:blip r:embed="rId94">
                      <a:extLst>
                        <a:ext uri="{28A0092B-C50C-407E-A947-70E740481C1C}">
                          <a14:useLocalDpi xmlns:a14="http://schemas.microsoft.com/office/drawing/2010/main" val="0"/>
                        </a:ext>
                      </a:extLst>
                    </a:blip>
                    <a:srcRect l="13258" t="-1448" r="17941" b="1971"/>
                    <a:stretch>
                      <a:fillRect/>
                    </a:stretch>
                  </pic:blipFill>
                  <pic:spPr>
                    <a:xfrm>
                      <a:off x="0" y="0"/>
                      <a:ext cx="1485037" cy="1076492"/>
                    </a:xfrm>
                    <a:prstGeom prst="rect">
                      <a:avLst/>
                    </a:prstGeom>
                    <a:noFill/>
                    <a:ln>
                      <a:noFill/>
                    </a:ln>
                  </pic:spPr>
                </pic:pic>
              </a:graphicData>
            </a:graphic>
          </wp:inline>
        </w:drawing>
      </w:r>
      <w:r>
        <w:rPr>
          <w:rFonts w:hint="eastAsia"/>
          <w:lang w:eastAsia="zh-CN"/>
        </w:rPr>
        <w:t xml:space="preserve"> </w:t>
      </w:r>
      <w:r>
        <w:rPr>
          <w:lang w:eastAsia="zh-CN"/>
        </w:rPr>
        <w:t xml:space="preserve">       </w:t>
      </w:r>
      <w:r>
        <w:rPr>
          <w:color w:val="000000"/>
          <w:sz w:val="18"/>
          <w:szCs w:val="18"/>
          <w:lang w:val="en-US" w:eastAsia="zh-CN"/>
        </w:rPr>
        <w:drawing>
          <wp:inline distT="0" distB="0" distL="0" distR="0">
            <wp:extent cx="1512570" cy="1123950"/>
            <wp:effectExtent l="0" t="0" r="0" b="0"/>
            <wp:docPr id="54" name="图片 54" descr="https://timgsa.baidu.com/timg?image&amp;quality=80&amp;size=b9999_10000&amp;sec=1476889388893&amp;di=9e644788320f55c42c90911f7363f2de&amp;imgtype=0&amp;src=http%3A%2F%2Fimgs.focus.cn%2Fupload%2Fqhd%2F8697%2Fb_869671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https://timgsa.baidu.com/timg?image&amp;quality=80&amp;size=b9999_10000&amp;sec=1476889388893&amp;di=9e644788320f55c42c90911f7363f2de&amp;imgtype=0&amp;src=http%3A%2F%2Fimgs.focus.cn%2Fupload%2Fqhd%2F8697%2Fb_86967186.jpg"/>
                    <pic:cNvPicPr>
                      <a:picLocks noChangeAspect="1" noChangeArrowheads="1"/>
                    </pic:cNvPicPr>
                  </pic:nvPicPr>
                  <pic:blipFill>
                    <a:blip r:embed="rId95" cstate="print">
                      <a:extLst>
                        <a:ext uri="{28A0092B-C50C-407E-A947-70E740481C1C}">
                          <a14:useLocalDpi xmlns:a14="http://schemas.microsoft.com/office/drawing/2010/main" val="0"/>
                        </a:ext>
                      </a:extLst>
                    </a:blip>
                    <a:srcRect t="13358" r="5298"/>
                    <a:stretch>
                      <a:fillRect/>
                    </a:stretch>
                  </pic:blipFill>
                  <pic:spPr>
                    <a:xfrm>
                      <a:off x="0" y="0"/>
                      <a:ext cx="1522222" cy="1130966"/>
                    </a:xfrm>
                    <a:prstGeom prst="rect">
                      <a:avLst/>
                    </a:prstGeom>
                    <a:noFill/>
                    <a:ln>
                      <a:noFill/>
                    </a:ln>
                  </pic:spPr>
                </pic:pic>
              </a:graphicData>
            </a:graphic>
          </wp:inline>
        </w:drawing>
      </w:r>
    </w:p>
    <w:p>
      <w:pPr>
        <w:ind w:firstLine="0" w:firstLineChars="0"/>
        <w:jc w:val="center"/>
        <w:rPr>
          <w:sz w:val="21"/>
          <w:szCs w:val="21"/>
        </w:rPr>
      </w:pPr>
      <w:r>
        <w:rPr>
          <w:rFonts w:hint="eastAsia"/>
          <w:sz w:val="21"/>
          <w:szCs w:val="21"/>
        </w:rPr>
        <w:t>（a）雨棚式</w:t>
      </w:r>
      <w:r>
        <w:rPr>
          <w:sz w:val="21"/>
          <w:szCs w:val="21"/>
        </w:rPr>
        <w:t xml:space="preserve">                 </w:t>
      </w:r>
      <w:r>
        <w:rPr>
          <w:rFonts w:hint="eastAsia"/>
          <w:sz w:val="21"/>
          <w:szCs w:val="21"/>
        </w:rPr>
        <w:t>（b）单牌式</w:t>
      </w:r>
    </w:p>
    <w:p>
      <w:pPr>
        <w:pStyle w:val="206"/>
        <w:ind w:firstLine="0" w:firstLineChars="0"/>
        <w:jc w:val="center"/>
      </w:pPr>
      <w:r>
        <w:rPr>
          <w:color w:val="000000"/>
          <w:sz w:val="18"/>
          <w:szCs w:val="18"/>
          <w:lang w:val="en-US" w:eastAsia="zh-CN"/>
        </w:rPr>
        <w:drawing>
          <wp:inline distT="0" distB="0" distL="0" distR="0">
            <wp:extent cx="1786255" cy="1428750"/>
            <wp:effectExtent l="0" t="0" r="4445" b="0"/>
            <wp:docPr id="53" name="图片 53" descr="https://timgsa.baidu.com/timg?image&amp;quality=80&amp;size=b9999_10000&amp;sec=1476889771949&amp;di=d5541efd61ec282c928b99c695303645&amp;imgtype=0&amp;src=http%3A%2F%2Fwww.my0832.com%2Fbbs%2Fimg_article%2F201005%2F10052816202621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https://timgsa.baidu.com/timg?image&amp;quality=80&amp;size=b9999_10000&amp;sec=1476889771949&amp;di=d5541efd61ec282c928b99c695303645&amp;imgtype=0&amp;src=http%3A%2F%2Fwww.my0832.com%2Fbbs%2Fimg_article%2F201005%2F10052816202621002.jpg"/>
                    <pic:cNvPicPr>
                      <a:picLocks noChangeAspect="1" noChangeArrowheads="1"/>
                    </pic:cNvPicPr>
                  </pic:nvPicPr>
                  <pic:blipFill>
                    <a:blip r:embed="rId96">
                      <a:extLst>
                        <a:ext uri="{28A0092B-C50C-407E-A947-70E740481C1C}">
                          <a14:useLocalDpi xmlns:a14="http://schemas.microsoft.com/office/drawing/2010/main" val="0"/>
                        </a:ext>
                      </a:extLst>
                    </a:blip>
                    <a:srcRect l="17833" t="26598" r="25339" b="5664"/>
                    <a:stretch>
                      <a:fillRect/>
                    </a:stretch>
                  </pic:blipFill>
                  <pic:spPr>
                    <a:xfrm>
                      <a:off x="0" y="0"/>
                      <a:ext cx="1796248" cy="1436666"/>
                    </a:xfrm>
                    <a:prstGeom prst="rect">
                      <a:avLst/>
                    </a:prstGeom>
                    <a:noFill/>
                    <a:ln>
                      <a:noFill/>
                    </a:ln>
                  </pic:spPr>
                </pic:pic>
              </a:graphicData>
            </a:graphic>
          </wp:inline>
        </w:drawing>
      </w:r>
    </w:p>
    <w:p>
      <w:pPr>
        <w:ind w:firstLine="0" w:firstLineChars="0"/>
        <w:jc w:val="center"/>
        <w:rPr>
          <w:sz w:val="21"/>
          <w:szCs w:val="21"/>
        </w:rPr>
      </w:pPr>
      <w:r>
        <w:rPr>
          <w:rFonts w:hint="eastAsia"/>
          <w:sz w:val="21"/>
          <w:szCs w:val="21"/>
        </w:rPr>
        <w:t>（c）单杆式</w:t>
      </w:r>
    </w:p>
    <w:p>
      <w:pPr>
        <w:pStyle w:val="117"/>
      </w:pPr>
      <w:r>
        <w:t>图6-</w:t>
      </w:r>
      <w:r>
        <w:rPr>
          <w:rFonts w:hint="eastAsia"/>
        </w:rPr>
        <w:t>12</w:t>
      </w:r>
      <w:r>
        <w:t xml:space="preserve">  </w:t>
      </w:r>
      <w:r>
        <w:rPr>
          <w:rFonts w:hint="eastAsia"/>
        </w:rPr>
        <w:t>公交站牌形式</w:t>
      </w:r>
    </w:p>
    <w:p>
      <w:pPr>
        <w:pStyle w:val="5"/>
        <w:spacing w:before="163" w:after="163"/>
        <w:rPr>
          <w:rFonts w:cs="Times New Roman"/>
        </w:rPr>
      </w:pPr>
      <w:bookmarkStart w:id="181" w:name="_Toc263605095"/>
      <w:bookmarkStart w:id="182" w:name="_Toc267614037"/>
      <w:bookmarkStart w:id="183" w:name="_Toc267614486"/>
      <w:bookmarkStart w:id="184" w:name="_Toc267614664"/>
      <w:bookmarkStart w:id="185" w:name="_Toc267837747"/>
      <w:bookmarkStart w:id="186" w:name="_Toc268625196"/>
      <w:bookmarkStart w:id="187" w:name="_Toc275338855"/>
      <w:bookmarkStart w:id="188" w:name="_Toc372140083"/>
      <w:bookmarkStart w:id="189" w:name="_Toc503152854"/>
      <w:bookmarkStart w:id="190" w:name="_Toc514171307"/>
      <w:r>
        <w:rPr>
          <w:rFonts w:hint="eastAsia" w:cs="Times New Roman"/>
        </w:rPr>
        <w:t>6.</w:t>
      </w:r>
      <w:bookmarkEnd w:id="181"/>
      <w:bookmarkEnd w:id="182"/>
      <w:bookmarkEnd w:id="183"/>
      <w:bookmarkEnd w:id="184"/>
      <w:bookmarkEnd w:id="185"/>
      <w:bookmarkEnd w:id="186"/>
      <w:bookmarkEnd w:id="187"/>
      <w:bookmarkEnd w:id="188"/>
      <w:bookmarkEnd w:id="189"/>
      <w:r>
        <w:rPr>
          <w:rFonts w:cs="Times New Roman"/>
        </w:rPr>
        <w:t>4</w:t>
      </w:r>
      <w:r>
        <w:rPr>
          <w:rFonts w:hint="eastAsia" w:cs="Times New Roman"/>
        </w:rPr>
        <w:t>.3</w:t>
      </w:r>
      <w:r>
        <w:rPr>
          <w:rFonts w:cs="Times New Roman"/>
        </w:rPr>
        <w:t xml:space="preserve"> </w:t>
      </w:r>
      <w:r>
        <w:rPr>
          <w:rFonts w:hint="eastAsia" w:cs="Times New Roman"/>
        </w:rPr>
        <w:t>公交中途站布局设置</w:t>
      </w:r>
      <w:bookmarkEnd w:id="190"/>
    </w:p>
    <w:p>
      <w:pPr>
        <w:ind w:firstLine="480"/>
      </w:pPr>
      <w:r>
        <w:t>1</w:t>
      </w:r>
      <w:r>
        <w:rPr>
          <w:rFonts w:hint="eastAsia"/>
        </w:rPr>
        <w:t>．</w:t>
      </w:r>
      <w:r>
        <w:t>由于</w:t>
      </w:r>
      <w:r>
        <w:rPr>
          <w:rFonts w:hint="eastAsia"/>
        </w:rPr>
        <w:t>资阳</w:t>
      </w:r>
      <w:r>
        <w:t>市中心城区人口和建筑较为密集，城区公交原则上在建成区为300～500米设站，在城市郊区为500～1000米设站。</w:t>
      </w:r>
      <w:r>
        <w:rPr>
          <w:rFonts w:hint="eastAsia"/>
        </w:rPr>
        <w:t>资阳</w:t>
      </w:r>
      <w:r>
        <w:t>市的城区道路资源相对缺乏，新建</w:t>
      </w:r>
      <w:r>
        <w:rPr>
          <w:rFonts w:hint="eastAsia"/>
        </w:rPr>
        <w:t>城</w:t>
      </w:r>
      <w:r>
        <w:t>区大部分道路为双向4车道，老城区路段绝大部分为双向2车道，路幅较窄，不适宜设置港湾式公交站台，而应以</w:t>
      </w:r>
      <w:r>
        <w:rPr>
          <w:rFonts w:hint="eastAsia"/>
        </w:rPr>
        <w:t>直线</w:t>
      </w:r>
      <w:r>
        <w:t>式站台为主。</w:t>
      </w:r>
    </w:p>
    <w:p>
      <w:pPr>
        <w:ind w:firstLine="480"/>
      </w:pPr>
      <w:r>
        <w:t>2</w:t>
      </w:r>
      <w:r>
        <w:rPr>
          <w:rFonts w:hint="eastAsia"/>
        </w:rPr>
        <w:t>．</w:t>
      </w:r>
      <w:r>
        <w:t>根据对</w:t>
      </w:r>
      <w:r>
        <w:rPr>
          <w:rFonts w:hint="eastAsia"/>
        </w:rPr>
        <w:t>资阳</w:t>
      </w:r>
      <w:r>
        <w:t>市</w:t>
      </w:r>
      <w:r>
        <w:rPr>
          <w:rFonts w:hint="eastAsia"/>
        </w:rPr>
        <w:t>几</w:t>
      </w:r>
      <w:r>
        <w:t>种不同类型公交站点调查，目前有一定数目站点的设置距离交叉口过近，不仅不符合规范要求，也影响交叉口的交通组织；以及部分站点站间距过小，公交车停发车频繁，影响行车安全稳定。可见站点的设置形式和站间距有待优化。</w:t>
      </w:r>
    </w:p>
    <w:p>
      <w:pPr>
        <w:ind w:firstLine="480"/>
      </w:pPr>
      <w:r>
        <w:t>3</w:t>
      </w:r>
      <w:r>
        <w:rPr>
          <w:rFonts w:hint="eastAsia"/>
        </w:rPr>
        <w:t>．</w:t>
      </w:r>
      <w:r>
        <w:t>路段公交停靠站的选型设置</w:t>
      </w:r>
    </w:p>
    <w:p>
      <w:pPr>
        <w:ind w:firstLine="480"/>
      </w:pPr>
      <w:r>
        <w:t>公交停靠站的选址，造型优化是一项十分复杂和系统的工作，考虑因素众多。</w:t>
      </w:r>
      <w:r>
        <w:rPr>
          <w:rFonts w:hint="eastAsia"/>
        </w:rPr>
        <w:t>资阳</w:t>
      </w:r>
      <w:r>
        <w:t>城区公交站点在具体的</w:t>
      </w:r>
      <w:bookmarkStart w:id="191" w:name="_Toc362543127"/>
      <w:r>
        <w:t>规划过程中可以参考借鉴下面的港湾式停靠站和直线式停靠站选型设置</w:t>
      </w:r>
      <w:r>
        <w:rPr>
          <w:rFonts w:hint="eastAsia"/>
        </w:rPr>
        <w:t>，其中根据资阳公交公司现有最长公交为12.5米，以两个泊车位的站台为例，一般站台长度不得低于30米，港湾式站台长度不得低于65米。</w:t>
      </w:r>
    </w:p>
    <w:bookmarkEnd w:id="191"/>
    <w:p>
      <w:pPr>
        <w:pStyle w:val="5"/>
        <w:spacing w:before="163" w:after="163"/>
        <w:rPr>
          <w:rFonts w:cs="Times New Roman"/>
        </w:rPr>
      </w:pPr>
      <w:bookmarkStart w:id="192" w:name="_Toc267614487"/>
      <w:bookmarkStart w:id="193" w:name="_Toc267614665"/>
      <w:bookmarkStart w:id="194" w:name="_Toc267614038"/>
      <w:bookmarkStart w:id="195" w:name="_Toc267837748"/>
      <w:bookmarkStart w:id="196" w:name="_Toc268625197"/>
      <w:bookmarkStart w:id="197" w:name="_Toc275338856"/>
      <w:bookmarkStart w:id="198" w:name="_Toc372140084"/>
      <w:bookmarkStart w:id="199" w:name="_Toc503152855"/>
      <w:bookmarkStart w:id="200" w:name="_Toc514171308"/>
      <w:r>
        <w:rPr>
          <w:rFonts w:hint="eastAsia" w:cs="Times New Roman"/>
        </w:rPr>
        <w:t>6.</w:t>
      </w:r>
      <w:bookmarkEnd w:id="192"/>
      <w:bookmarkEnd w:id="193"/>
      <w:bookmarkEnd w:id="194"/>
      <w:bookmarkEnd w:id="195"/>
      <w:bookmarkEnd w:id="196"/>
      <w:bookmarkEnd w:id="197"/>
      <w:bookmarkEnd w:id="198"/>
      <w:bookmarkEnd w:id="199"/>
      <w:r>
        <w:rPr>
          <w:rFonts w:cs="Times New Roman"/>
        </w:rPr>
        <w:t>4</w:t>
      </w:r>
      <w:r>
        <w:rPr>
          <w:rFonts w:hint="eastAsia" w:cs="Times New Roman"/>
        </w:rPr>
        <w:t>.4 公交中途站具体规划结果</w:t>
      </w:r>
      <w:bookmarkEnd w:id="200"/>
    </w:p>
    <w:p>
      <w:pPr>
        <w:widowControl w:val="0"/>
        <w:adjustRightInd/>
        <w:snapToGrid/>
        <w:spacing w:before="0" w:after="0"/>
        <w:ind w:firstLine="480"/>
        <w:textAlignment w:val="center"/>
        <w:rPr>
          <w:rFonts w:cs="Times New Roman"/>
        </w:rPr>
      </w:pPr>
      <w:r>
        <w:rPr>
          <w:rFonts w:hint="eastAsia" w:cs="Times New Roman"/>
        </w:rPr>
        <w:t>根据公交中途站的设置原则及方法，结合资阳市的具体实际情况，资阳市的公交中途站具体规划如表6-8所示。</w:t>
      </w:r>
    </w:p>
    <w:p>
      <w:pPr>
        <w:pStyle w:val="113"/>
        <w:spacing w:before="163" w:after="163"/>
      </w:pPr>
      <w:r>
        <w:rPr>
          <w:rFonts w:hint="eastAsia"/>
        </w:rPr>
        <w:t>表</w:t>
      </w:r>
      <w:r>
        <w:t>6-</w:t>
      </w:r>
      <w:r>
        <w:rPr>
          <w:rFonts w:hint="eastAsia"/>
        </w:rPr>
        <w:t>8</w:t>
      </w:r>
      <w:r>
        <w:t xml:space="preserve">  </w:t>
      </w:r>
      <w:r>
        <w:rPr>
          <w:rFonts w:hint="eastAsia"/>
        </w:rPr>
        <w:t>资阳市中心城区公交中途站具体规划表</w:t>
      </w:r>
    </w:p>
    <w:tbl>
      <w:tblPr>
        <w:tblStyle w:val="94"/>
        <w:tblW w:w="8306" w:type="dxa"/>
        <w:jc w:val="center"/>
        <w:tblInd w:w="0" w:type="dxa"/>
        <w:tblLayout w:type="fixed"/>
        <w:tblCellMar>
          <w:top w:w="0" w:type="dxa"/>
          <w:left w:w="108" w:type="dxa"/>
          <w:bottom w:w="0" w:type="dxa"/>
          <w:right w:w="108" w:type="dxa"/>
        </w:tblCellMar>
      </w:tblPr>
      <w:tblGrid>
        <w:gridCol w:w="660"/>
        <w:gridCol w:w="659"/>
        <w:gridCol w:w="1586"/>
        <w:gridCol w:w="1959"/>
        <w:gridCol w:w="1802"/>
        <w:gridCol w:w="1640"/>
      </w:tblGrid>
      <w:tr>
        <w:tblPrEx>
          <w:tblLayout w:type="fixed"/>
          <w:tblCellMar>
            <w:top w:w="0" w:type="dxa"/>
            <w:left w:w="108" w:type="dxa"/>
            <w:bottom w:w="0" w:type="dxa"/>
            <w:right w:w="108" w:type="dxa"/>
          </w:tblCellMar>
        </w:tblPrEx>
        <w:trPr>
          <w:trHeight w:val="270" w:hRule="atLeast"/>
          <w:jc w:val="center"/>
        </w:trPr>
        <w:tc>
          <w:tcPr>
            <w:tcW w:w="660" w:type="dxa"/>
            <w:vMerge w:val="restart"/>
            <w:tcBorders>
              <w:top w:val="single" w:color="auto" w:sz="12" w:space="0"/>
              <w:left w:val="nil"/>
              <w:bottom w:val="single" w:color="auto" w:sz="4"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序号</w:t>
            </w:r>
          </w:p>
        </w:tc>
        <w:tc>
          <w:tcPr>
            <w:tcW w:w="659" w:type="dxa"/>
            <w:tcBorders>
              <w:top w:val="single" w:color="auto" w:sz="12" w:space="0"/>
              <w:left w:val="nil"/>
              <w:bottom w:val="single" w:color="auto" w:sz="4"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路段</w:t>
            </w:r>
          </w:p>
        </w:tc>
        <w:tc>
          <w:tcPr>
            <w:tcW w:w="1586" w:type="dxa"/>
            <w:tcBorders>
              <w:top w:val="single" w:color="auto" w:sz="12" w:space="0"/>
              <w:left w:val="nil"/>
              <w:bottom w:val="single" w:color="auto" w:sz="4"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路段</w:t>
            </w:r>
          </w:p>
        </w:tc>
        <w:tc>
          <w:tcPr>
            <w:tcW w:w="1959" w:type="dxa"/>
            <w:vMerge w:val="restart"/>
            <w:tcBorders>
              <w:top w:val="single" w:color="auto" w:sz="12" w:space="0"/>
              <w:left w:val="single" w:color="auto" w:sz="4" w:space="0"/>
              <w:bottom w:val="single" w:color="auto" w:sz="4"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站点名称</w:t>
            </w:r>
          </w:p>
        </w:tc>
        <w:tc>
          <w:tcPr>
            <w:tcW w:w="1802" w:type="dxa"/>
            <w:tcBorders>
              <w:top w:val="single" w:color="auto" w:sz="12" w:space="0"/>
              <w:left w:val="nil"/>
              <w:bottom w:val="single" w:color="auto" w:sz="4"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现状站台+站牌</w:t>
            </w:r>
          </w:p>
        </w:tc>
        <w:tc>
          <w:tcPr>
            <w:tcW w:w="1640" w:type="dxa"/>
            <w:tcBorders>
              <w:top w:val="single" w:color="auto" w:sz="12" w:space="0"/>
              <w:left w:val="nil"/>
              <w:bottom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规划站台+站牌</w:t>
            </w:r>
          </w:p>
        </w:tc>
      </w:tr>
      <w:tr>
        <w:tblPrEx>
          <w:tblLayout w:type="fixed"/>
          <w:tblCellMar>
            <w:top w:w="0" w:type="dxa"/>
            <w:left w:w="108" w:type="dxa"/>
            <w:bottom w:w="0" w:type="dxa"/>
            <w:right w:w="108" w:type="dxa"/>
          </w:tblCellMar>
        </w:tblPrEx>
        <w:trPr>
          <w:trHeight w:val="270" w:hRule="atLeast"/>
          <w:jc w:val="center"/>
        </w:trPr>
        <w:tc>
          <w:tcPr>
            <w:tcW w:w="660" w:type="dxa"/>
            <w:vMerge w:val="continue"/>
            <w:tcBorders>
              <w:top w:val="single" w:color="auto" w:sz="8" w:space="0"/>
              <w:left w:val="nil"/>
              <w:bottom w:val="single" w:color="auto" w:sz="12"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p>
        </w:tc>
        <w:tc>
          <w:tcPr>
            <w:tcW w:w="659" w:type="dxa"/>
            <w:tcBorders>
              <w:top w:val="nil"/>
              <w:left w:val="nil"/>
              <w:bottom w:val="single" w:color="auto" w:sz="12"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形式</w:t>
            </w:r>
          </w:p>
        </w:tc>
        <w:tc>
          <w:tcPr>
            <w:tcW w:w="1586" w:type="dxa"/>
            <w:tcBorders>
              <w:top w:val="nil"/>
              <w:left w:val="nil"/>
              <w:bottom w:val="single" w:color="auto" w:sz="12"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名称</w:t>
            </w:r>
          </w:p>
        </w:tc>
        <w:tc>
          <w:tcPr>
            <w:tcW w:w="1959" w:type="dxa"/>
            <w:vMerge w:val="continue"/>
            <w:tcBorders>
              <w:top w:val="single" w:color="auto" w:sz="8" w:space="0"/>
              <w:left w:val="single" w:color="auto" w:sz="4" w:space="0"/>
              <w:bottom w:val="single" w:color="auto" w:sz="12"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p>
        </w:tc>
        <w:tc>
          <w:tcPr>
            <w:tcW w:w="1802" w:type="dxa"/>
            <w:tcBorders>
              <w:top w:val="nil"/>
              <w:left w:val="nil"/>
              <w:bottom w:val="single" w:color="auto" w:sz="12" w:space="0"/>
              <w:right w:val="single" w:color="auto" w:sz="4"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形式</w:t>
            </w:r>
          </w:p>
        </w:tc>
        <w:tc>
          <w:tcPr>
            <w:tcW w:w="1640" w:type="dxa"/>
            <w:tcBorders>
              <w:top w:val="nil"/>
              <w:left w:val="nil"/>
              <w:bottom w:val="single" w:color="auto" w:sz="12" w:space="0"/>
            </w:tcBorders>
            <w:shd w:val="clear" w:color="000000" w:fill="CCC0D9"/>
            <w:vAlign w:val="center"/>
          </w:tcPr>
          <w:p>
            <w:pPr>
              <w:adjustRightInd/>
              <w:snapToGrid/>
              <w:spacing w:before="0" w:after="0" w:line="240" w:lineRule="auto"/>
              <w:ind w:firstLine="0" w:firstLineChars="0"/>
              <w:jc w:val="center"/>
              <w:rPr>
                <w:rFonts w:cs="Times New Roman" w:eastAsiaTheme="minorEastAsia"/>
                <w:b/>
                <w:bCs/>
                <w:color w:val="000000"/>
                <w:sz w:val="21"/>
                <w:szCs w:val="21"/>
              </w:rPr>
            </w:pPr>
            <w:r>
              <w:rPr>
                <w:rFonts w:cs="Times New Roman" w:eastAsiaTheme="minorEastAsia"/>
                <w:b/>
                <w:bCs/>
                <w:color w:val="000000"/>
                <w:sz w:val="21"/>
                <w:szCs w:val="21"/>
              </w:rPr>
              <w:t>形式</w:t>
            </w:r>
          </w:p>
        </w:tc>
      </w:tr>
      <w:tr>
        <w:tblPrEx>
          <w:tblLayout w:type="fixed"/>
          <w:tblCellMar>
            <w:top w:w="0" w:type="dxa"/>
            <w:left w:w="108" w:type="dxa"/>
            <w:bottom w:w="0" w:type="dxa"/>
            <w:right w:w="108" w:type="dxa"/>
          </w:tblCellMar>
        </w:tblPrEx>
        <w:trPr>
          <w:trHeight w:val="270" w:hRule="atLeast"/>
          <w:jc w:val="center"/>
        </w:trPr>
        <w:tc>
          <w:tcPr>
            <w:tcW w:w="660" w:type="dxa"/>
            <w:tcBorders>
              <w:top w:val="single" w:color="auto" w:sz="12"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w:t>
            </w:r>
          </w:p>
        </w:tc>
        <w:tc>
          <w:tcPr>
            <w:tcW w:w="659"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single" w:color="auto" w:sz="12" w:space="0"/>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车城大道</w:t>
            </w:r>
          </w:p>
        </w:tc>
        <w:tc>
          <w:tcPr>
            <w:tcW w:w="1959" w:type="dxa"/>
            <w:tcBorders>
              <w:top w:val="single" w:color="auto" w:sz="12"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交警一大队</w:t>
            </w:r>
          </w:p>
        </w:tc>
        <w:tc>
          <w:tcPr>
            <w:tcW w:w="1802" w:type="dxa"/>
            <w:tcBorders>
              <w:top w:val="single" w:color="auto" w:sz="12"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single" w:color="auto" w:sz="12" w:space="0"/>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电信大楼</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四三一总厂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天景花园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天宇市场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市公安局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狮子山</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市人民医院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筏子桥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友谊桥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二分厂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孙家湾</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娇子大道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成渝高速路口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首末站</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首末站</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市交通局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蜀亨大酒店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马鞍路口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市政务服务中心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黄泥巴山</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九曲河广场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娇子大道一段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幸福大道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万达广场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幸福大道二段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幸福大道三段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幸福大道四段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25</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迎宾大道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演艺中心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字库山公园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遂资眉高速路口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钟山村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清巍汽车4S商城</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30</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蜀乡大道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sz w:val="21"/>
                <w:szCs w:val="21"/>
              </w:rPr>
            </w:pPr>
            <w:r>
              <w:rPr>
                <w:rFonts w:cs="Times New Roman" w:eastAsiaTheme="minorEastAsia"/>
                <w:sz w:val="21"/>
                <w:szCs w:val="21"/>
              </w:rPr>
              <w:t>高铁旱桥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导航站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区政务服务中心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豪生大酒店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34</w:t>
            </w:r>
          </w:p>
        </w:tc>
        <w:tc>
          <w:tcPr>
            <w:tcW w:w="659"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城南大道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沱二桥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35</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铁路桥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36</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资阳钢管厂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37</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桐子站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38</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浙粤园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39</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城南工业园区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single" w:color="auto" w:sz="4"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40</w:t>
            </w:r>
          </w:p>
        </w:tc>
        <w:tc>
          <w:tcPr>
            <w:tcW w:w="659"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single" w:color="auto" w:sz="4"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汽车职业学院</w:t>
            </w:r>
          </w:p>
        </w:tc>
        <w:tc>
          <w:tcPr>
            <w:tcW w:w="1802" w:type="dxa"/>
            <w:tcBorders>
              <w:top w:val="single" w:color="auto" w:sz="4" w:space="0"/>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single" w:color="auto" w:sz="4" w:space="0"/>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41</w:t>
            </w:r>
          </w:p>
        </w:tc>
        <w:tc>
          <w:tcPr>
            <w:tcW w:w="659" w:type="dxa"/>
            <w:vMerge w:val="restart"/>
            <w:tcBorders>
              <w:top w:val="nil"/>
              <w:left w:val="single" w:color="auto" w:sz="4" w:space="0"/>
              <w:bottom w:val="single" w:color="000000"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宝台大道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航向九义校</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42</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沱三桥东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43</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宝台政府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44</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半山风情</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45</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锦湾大道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东城大道一段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毛家堰</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中交锦湾</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48</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希望大道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区职教中心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49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李家湾</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黄泥村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城东中医院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52</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南骏大道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天台山村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孙家坝农贸市场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市地税局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55</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滨江大道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沱江新城</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碧水丽都</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青年林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金山名苑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59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滨江游乐场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东福四区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排涝站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江南半岛</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江南花都</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64</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现代大道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现代大道一段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现代大道二段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现代大道三段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现代大道四段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四川现代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69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同合寺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董家湾</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大千大道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体育广场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马鞍九义校</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大千药业</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仁德药业</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泰恒眼科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四海公司</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拉丝厂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电缆厂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79</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百威英博大道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百威啤酒厂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宇良车辆配件园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hint="eastAsia" w:cs="Times New Roman" w:eastAsiaTheme="minorEastAsia"/>
                <w:color w:val="000000"/>
                <w:sz w:val="21"/>
                <w:szCs w:val="21"/>
              </w:rPr>
              <w:t>主</w:t>
            </w:r>
          </w:p>
        </w:tc>
        <w:tc>
          <w:tcPr>
            <w:tcW w:w="1586"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321国道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德圣疗养中心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玉柴公司</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大堰叉路口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清泉</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资阳广播电视大学</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水工医院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高坳</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89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天王水泥厂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教仪厂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外环路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骨科医院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置地城</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凯旋国际</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东风明大机械厂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皇冠制罐</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四海集团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钉乡站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响水站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99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招呼站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外环321路口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建设北路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家乐福</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区医院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建设北路一段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医药公司</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105</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建设南路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中医院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市公交公司</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市一医院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建设南路二段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109</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建设东路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沱江一桥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静苑小区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建东市场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资阳客运站</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113</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建设西路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建设西路口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114</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政府东路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区政府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政府东路口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116</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政府西路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桥亭子</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上西街口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118</w:t>
            </w:r>
          </w:p>
        </w:tc>
        <w:tc>
          <w:tcPr>
            <w:tcW w:w="659"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和平南路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苌弘广场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119</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师范校</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120</w:t>
            </w:r>
          </w:p>
        </w:tc>
        <w:tc>
          <w:tcPr>
            <w:tcW w:w="659"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南门口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121</w:t>
            </w:r>
          </w:p>
        </w:tc>
        <w:tc>
          <w:tcPr>
            <w:tcW w:w="659" w:type="dxa"/>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和平中路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百货大楼</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122</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学苑路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教育园区文慧桥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市委党校</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学苑路口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125</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晨风路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晨风大酒店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文体中心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127</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仁德西路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市新区一医院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市就业培训中心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129</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雁城路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西门市场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130</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滨河西路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车苑小区</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滨河西路</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132</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狮子路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狮子路</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车苑小区</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134</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000000"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三贤路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三号桥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弘乐府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四海国际</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137</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正兴街</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城东区政府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天生花苑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139</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汇兴路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区公安局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140</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雁北路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沱三桥北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城北市场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142</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文明寺路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拱城铺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143</w:t>
            </w:r>
          </w:p>
        </w:tc>
        <w:tc>
          <w:tcPr>
            <w:tcW w:w="659" w:type="dxa"/>
            <w:vMerge w:val="restart"/>
            <w:tcBorders>
              <w:top w:val="nil"/>
              <w:left w:val="single" w:color="auto" w:sz="4" w:space="0"/>
              <w:bottom w:val="single" w:color="000000"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皇龙路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兴龙小区</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144</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皇龙新城</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145</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市林业局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146</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铜车马街</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资溪花园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147</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台阳路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台阳路</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148</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明鑫路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侯家坪</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149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文清汽配厂</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150</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文博路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市档案局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151</w:t>
            </w:r>
          </w:p>
        </w:tc>
        <w:tc>
          <w:tcPr>
            <w:tcW w:w="659"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241乡道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幸福谷</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152</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大堰农场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153</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老鹰岔路口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154</w:t>
            </w:r>
          </w:p>
        </w:tc>
        <w:tc>
          <w:tcPr>
            <w:tcW w:w="659"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群星幼儿园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155</w:t>
            </w:r>
          </w:p>
        </w:tc>
        <w:tc>
          <w:tcPr>
            <w:tcW w:w="659" w:type="dxa"/>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231乡道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玫瑰苑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156</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天台路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松涛政府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侯家坪派出所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158</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康乐北路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港华燃气</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159</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中级法院</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160</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雁家路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三贤公园后门</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161</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外环西路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博雅园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狮子山街道办事处</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无单杆式/单杆式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赛特化工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王河堰</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槐树村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临江味业</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张车堰</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周祠坝</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169</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晶鑫街</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水工局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170</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西门桥街</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西门桥街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171</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西门桥</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西门工商行</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172</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106省道</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雷音花苑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绵阳育才中学</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174</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广场路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市政府</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河堰嘴</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176</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车城广场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177</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凤岭路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凤岭路一段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凤岭路二段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179</w:t>
            </w:r>
          </w:p>
        </w:tc>
        <w:tc>
          <w:tcPr>
            <w:tcW w:w="659"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骏兴路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书台小区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180</w:t>
            </w:r>
          </w:p>
        </w:tc>
        <w:tc>
          <w:tcPr>
            <w:tcW w:w="659"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南骏中联重科</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181</w:t>
            </w:r>
          </w:p>
        </w:tc>
        <w:tc>
          <w:tcPr>
            <w:tcW w:w="659"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spacing w:before="0" w:after="0" w:line="240" w:lineRule="auto"/>
              <w:ind w:firstLine="42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南骏低速重载</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182</w:t>
            </w:r>
          </w:p>
        </w:tc>
        <w:tc>
          <w:tcPr>
            <w:tcW w:w="659"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九曲花园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183</w:t>
            </w:r>
          </w:p>
        </w:tc>
        <w:tc>
          <w:tcPr>
            <w:tcW w:w="659"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主</w:t>
            </w:r>
          </w:p>
        </w:tc>
        <w:tc>
          <w:tcPr>
            <w:tcW w:w="1586" w:type="dxa"/>
            <w:vMerge w:val="restart"/>
            <w:tcBorders>
              <w:top w:val="nil"/>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书台路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中罗家坝</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184</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三心桥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185</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下罗家坝</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186</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铁路涵洞口</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187</w:t>
            </w:r>
          </w:p>
        </w:tc>
        <w:tc>
          <w:tcPr>
            <w:tcW w:w="659"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甘家坪</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188</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南骏产业园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岛式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189</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汽车客运中心</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190</w:t>
            </w:r>
          </w:p>
        </w:tc>
        <w:tc>
          <w:tcPr>
            <w:tcW w:w="659"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恒大城南</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191</w:t>
            </w:r>
          </w:p>
        </w:tc>
        <w:tc>
          <w:tcPr>
            <w:tcW w:w="659" w:type="dxa"/>
            <w:vMerge w:val="continue"/>
            <w:tcBorders>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广子沟</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192</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次</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资资路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文明寺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药业产业园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海天小学</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195</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魏家湾</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196</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育才路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馨合家园</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197</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春天半岛</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198</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教育园区</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199</w:t>
            </w:r>
          </w:p>
        </w:tc>
        <w:tc>
          <w:tcPr>
            <w:tcW w:w="659"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松涛路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松涛路一段</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200</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松涛桥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直线式/单牌式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201</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市房管局</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单牌式/直线式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202</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石灰桥</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203</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交警支队</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204</w:t>
            </w:r>
          </w:p>
        </w:tc>
        <w:tc>
          <w:tcPr>
            <w:tcW w:w="659"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恒大城</w:t>
            </w:r>
          </w:p>
        </w:tc>
        <w:tc>
          <w:tcPr>
            <w:tcW w:w="1802"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单杆式</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205</w:t>
            </w:r>
          </w:p>
        </w:tc>
        <w:tc>
          <w:tcPr>
            <w:tcW w:w="6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大千路南延线</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五显安置小区</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港湾式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206</w:t>
            </w:r>
          </w:p>
        </w:tc>
        <w:tc>
          <w:tcPr>
            <w:tcW w:w="659" w:type="dxa"/>
            <w:vMerge w:val="restart"/>
            <w:tcBorders>
              <w:top w:val="nil"/>
              <w:left w:val="single" w:color="auto" w:sz="4" w:space="0"/>
              <w:bottom w:val="single" w:color="000000"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支</w:t>
            </w:r>
          </w:p>
        </w:tc>
        <w:tc>
          <w:tcPr>
            <w:tcW w:w="1586" w:type="dxa"/>
            <w:vMerge w:val="restart"/>
            <w:tcBorders>
              <w:top w:val="nil"/>
              <w:left w:val="single" w:color="auto" w:sz="4" w:space="0"/>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莲花路</w:t>
            </w: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北门批发市场</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CellMar>
            <w:top w:w="0" w:type="dxa"/>
            <w:left w:w="108" w:type="dxa"/>
            <w:bottom w:w="0" w:type="dxa"/>
            <w:right w:w="108" w:type="dxa"/>
          </w:tblCellMar>
        </w:tblPrEx>
        <w:trPr>
          <w:trHeight w:val="270" w:hRule="atLeast"/>
          <w:jc w:val="center"/>
        </w:trPr>
        <w:tc>
          <w:tcPr>
            <w:tcW w:w="660"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207</w:t>
            </w:r>
          </w:p>
        </w:tc>
        <w:tc>
          <w:tcPr>
            <w:tcW w:w="659" w:type="dxa"/>
            <w:vMerge w:val="continue"/>
            <w:tcBorders>
              <w:top w:val="nil"/>
              <w:left w:val="single" w:color="auto" w:sz="4" w:space="0"/>
              <w:bottom w:val="single" w:color="000000"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4"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4"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铁路岔口</w:t>
            </w:r>
          </w:p>
        </w:tc>
        <w:tc>
          <w:tcPr>
            <w:tcW w:w="1802" w:type="dxa"/>
            <w:tcBorders>
              <w:top w:val="nil"/>
              <w:left w:val="nil"/>
              <w:bottom w:val="single" w:color="auto" w:sz="4"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r>
        <w:tblPrEx>
          <w:tblLayout w:type="fixed"/>
        </w:tblPrEx>
        <w:trPr>
          <w:trHeight w:val="270" w:hRule="atLeast"/>
          <w:jc w:val="center"/>
        </w:trPr>
        <w:tc>
          <w:tcPr>
            <w:tcW w:w="660" w:type="dxa"/>
            <w:tcBorders>
              <w:top w:val="nil"/>
              <w:left w:val="nil"/>
              <w:bottom w:val="single" w:color="auto" w:sz="12"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208</w:t>
            </w:r>
          </w:p>
        </w:tc>
        <w:tc>
          <w:tcPr>
            <w:tcW w:w="659" w:type="dxa"/>
            <w:vMerge w:val="continue"/>
            <w:tcBorders>
              <w:top w:val="nil"/>
              <w:left w:val="single" w:color="auto" w:sz="4" w:space="0"/>
              <w:bottom w:val="single" w:color="auto" w:sz="12"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586" w:type="dxa"/>
            <w:vMerge w:val="continue"/>
            <w:tcBorders>
              <w:top w:val="nil"/>
              <w:left w:val="single" w:color="auto" w:sz="4" w:space="0"/>
              <w:bottom w:val="single" w:color="auto" w:sz="12" w:space="0"/>
              <w:right w:val="single" w:color="auto" w:sz="4" w:space="0"/>
            </w:tcBorders>
            <w:vAlign w:val="center"/>
          </w:tcPr>
          <w:p>
            <w:pPr>
              <w:adjustRightInd/>
              <w:snapToGrid/>
              <w:spacing w:before="0" w:after="0" w:line="240" w:lineRule="auto"/>
              <w:ind w:firstLine="0" w:firstLineChars="0"/>
              <w:jc w:val="center"/>
              <w:rPr>
                <w:rFonts w:cs="Times New Roman" w:eastAsiaTheme="minorEastAsia"/>
                <w:color w:val="000000"/>
                <w:sz w:val="21"/>
                <w:szCs w:val="21"/>
              </w:rPr>
            </w:pPr>
          </w:p>
        </w:tc>
        <w:tc>
          <w:tcPr>
            <w:tcW w:w="1959" w:type="dxa"/>
            <w:tcBorders>
              <w:top w:val="nil"/>
              <w:left w:val="nil"/>
              <w:bottom w:val="single" w:color="auto" w:sz="12" w:space="0"/>
              <w:right w:val="single" w:color="auto" w:sz="4"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莲花办事处</w:t>
            </w:r>
          </w:p>
        </w:tc>
        <w:tc>
          <w:tcPr>
            <w:tcW w:w="1802" w:type="dxa"/>
            <w:tcBorders>
              <w:top w:val="nil"/>
              <w:left w:val="nil"/>
              <w:bottom w:val="single" w:color="auto" w:sz="12" w:space="0"/>
              <w:right w:val="single" w:color="auto" w:sz="4" w:space="0"/>
            </w:tcBorders>
            <w:shd w:val="clear" w:color="auto" w:fill="auto"/>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无</w:t>
            </w:r>
          </w:p>
        </w:tc>
        <w:tc>
          <w:tcPr>
            <w:tcW w:w="1640" w:type="dxa"/>
            <w:tcBorders>
              <w:top w:val="nil"/>
              <w:left w:val="nil"/>
              <w:bottom w:val="single" w:color="auto" w:sz="12" w:space="0"/>
            </w:tcBorders>
            <w:shd w:val="clear" w:color="auto" w:fill="auto"/>
            <w:vAlign w:val="center"/>
          </w:tcPr>
          <w:p>
            <w:pPr>
              <w:adjustRightInd/>
              <w:snapToGrid/>
              <w:spacing w:before="0" w:after="0" w:line="240" w:lineRule="auto"/>
              <w:ind w:firstLine="0" w:firstLineChars="0"/>
              <w:jc w:val="center"/>
              <w:rPr>
                <w:rFonts w:cs="Times New Roman" w:eastAsiaTheme="minorEastAsia"/>
                <w:color w:val="000000"/>
                <w:sz w:val="21"/>
                <w:szCs w:val="21"/>
              </w:rPr>
            </w:pPr>
            <w:r>
              <w:rPr>
                <w:rFonts w:cs="Times New Roman" w:eastAsiaTheme="minorEastAsia"/>
                <w:color w:val="000000"/>
                <w:sz w:val="21"/>
                <w:szCs w:val="21"/>
              </w:rPr>
              <w:t>单牌式</w:t>
            </w:r>
          </w:p>
        </w:tc>
      </w:tr>
    </w:tbl>
    <w:p>
      <w:pPr>
        <w:ind w:firstLine="482"/>
        <w:rPr>
          <w:b/>
        </w:rPr>
      </w:pPr>
      <w:r>
        <w:rPr>
          <w:rFonts w:hint="eastAsia"/>
          <w:b/>
        </w:rPr>
        <w:t>2.新建公交停靠站选型规划</w:t>
      </w:r>
    </w:p>
    <w:p>
      <w:pPr>
        <w:ind w:firstLine="480"/>
      </w:pPr>
      <w:r>
        <w:rPr>
          <w:rFonts w:hint="eastAsia"/>
        </w:rPr>
        <w:t>新建公交停靠站应保证都为雨棚式的站廊，同时在道路条件允许的前提线，尽可能设置港湾式公交停靠站，以减小公交车辆对社会交通的影响。但近期新增的中途站都位于城市支路上，考虑道路条件限制，将其规划为直线式+单牌式。中远期规划的站点具体位置及站名无法明确。因而新建公交停靠站的规划根据新规划线路途经的道路情况进行规划，站点具体名称待定。新建中途停靠站规划详情如下表所示。</w:t>
      </w:r>
    </w:p>
    <w:p>
      <w:pPr>
        <w:pStyle w:val="113"/>
        <w:spacing w:before="163" w:after="163"/>
      </w:pPr>
      <w:r>
        <w:rPr>
          <w:rFonts w:hint="eastAsia"/>
        </w:rPr>
        <w:t xml:space="preserve">表6-9 </w:t>
      </w:r>
      <w:r>
        <w:t xml:space="preserve"> </w:t>
      </w:r>
      <w:r>
        <w:rPr>
          <w:rFonts w:hint="eastAsia"/>
        </w:rPr>
        <w:t>规划新建公交中途停靠站一览表</w:t>
      </w:r>
    </w:p>
    <w:tbl>
      <w:tblPr>
        <w:tblStyle w:val="94"/>
        <w:tblW w:w="8306" w:type="dxa"/>
        <w:jc w:val="center"/>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001"/>
        <w:gridCol w:w="2000"/>
        <w:gridCol w:w="1435"/>
        <w:gridCol w:w="1435"/>
        <w:gridCol w:w="1435"/>
      </w:tblGrid>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12" w:space="0"/>
              <w:bottom w:val="single" w:color="000000" w:sz="12" w:space="0"/>
            </w:tcBorders>
            <w:shd w:val="clear" w:color="auto" w:fill="CCC0D9"/>
            <w:vAlign w:val="center"/>
          </w:tcPr>
          <w:p>
            <w:pPr>
              <w:spacing w:line="240" w:lineRule="auto"/>
              <w:ind w:firstLine="0" w:firstLineChars="0"/>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站点名称</w:t>
            </w:r>
          </w:p>
        </w:tc>
        <w:tc>
          <w:tcPr>
            <w:tcW w:w="2000" w:type="dxa"/>
            <w:tcBorders>
              <w:top w:val="single" w:color="000000" w:sz="12" w:space="0"/>
              <w:bottom w:val="single" w:color="000000" w:sz="12" w:space="0"/>
              <w:right w:val="single" w:color="auto" w:sz="8" w:space="0"/>
            </w:tcBorders>
            <w:shd w:val="clear" w:color="auto" w:fill="CCC0D9"/>
            <w:vAlign w:val="center"/>
          </w:tcPr>
          <w:p>
            <w:pPr>
              <w:spacing w:line="240" w:lineRule="auto"/>
              <w:ind w:firstLine="0" w:firstLineChars="0"/>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途经道路</w:t>
            </w:r>
          </w:p>
        </w:tc>
        <w:tc>
          <w:tcPr>
            <w:tcW w:w="1435" w:type="dxa"/>
            <w:tcBorders>
              <w:top w:val="single" w:color="000000" w:sz="12" w:space="0"/>
              <w:left w:val="single" w:color="auto" w:sz="8" w:space="0"/>
              <w:bottom w:val="single" w:color="000000" w:sz="12" w:space="0"/>
              <w:right w:val="single" w:color="auto" w:sz="8" w:space="0"/>
            </w:tcBorders>
            <w:shd w:val="clear" w:color="auto" w:fill="CCC0D9"/>
          </w:tcPr>
          <w:p>
            <w:pPr>
              <w:spacing w:line="240" w:lineRule="auto"/>
              <w:ind w:firstLine="0" w:firstLineChars="0"/>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规划年限</w:t>
            </w:r>
          </w:p>
        </w:tc>
        <w:tc>
          <w:tcPr>
            <w:tcW w:w="1435" w:type="dxa"/>
            <w:tcBorders>
              <w:top w:val="single" w:color="000000" w:sz="12" w:space="0"/>
              <w:left w:val="single" w:color="auto" w:sz="8" w:space="0"/>
              <w:bottom w:val="single" w:color="000000" w:sz="12" w:space="0"/>
            </w:tcBorders>
            <w:shd w:val="clear" w:color="auto" w:fill="CCC0D9"/>
            <w:vAlign w:val="center"/>
          </w:tcPr>
          <w:p>
            <w:pPr>
              <w:spacing w:line="240" w:lineRule="auto"/>
              <w:ind w:firstLine="0" w:firstLineChars="0"/>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站台形式</w:t>
            </w:r>
          </w:p>
        </w:tc>
        <w:tc>
          <w:tcPr>
            <w:tcW w:w="1435" w:type="dxa"/>
            <w:tcBorders>
              <w:top w:val="single" w:color="000000" w:sz="12" w:space="0"/>
              <w:bottom w:val="single" w:color="000000" w:sz="12" w:space="0"/>
            </w:tcBorders>
            <w:shd w:val="clear" w:color="auto" w:fill="CCC0D9"/>
            <w:vAlign w:val="center"/>
          </w:tcPr>
          <w:p>
            <w:pPr>
              <w:spacing w:line="240" w:lineRule="auto"/>
              <w:ind w:firstLine="0" w:firstLineChars="0"/>
              <w:jc w:val="center"/>
              <w:rPr>
                <w:rFonts w:cs="宋体" w:asciiTheme="minorEastAsia" w:hAnsiTheme="minorEastAsia" w:eastAsiaTheme="minorEastAsia"/>
                <w:b/>
                <w:color w:val="000000"/>
                <w:sz w:val="21"/>
                <w:szCs w:val="21"/>
              </w:rPr>
            </w:pPr>
            <w:r>
              <w:rPr>
                <w:rFonts w:hint="eastAsia" w:cs="宋体" w:asciiTheme="minorEastAsia" w:hAnsiTheme="minorEastAsia" w:eastAsiaTheme="minorEastAsia"/>
                <w:b/>
                <w:color w:val="000000"/>
                <w:sz w:val="21"/>
                <w:szCs w:val="21"/>
              </w:rPr>
              <w:t>站牌形式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12"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车城广场</w:t>
            </w:r>
          </w:p>
        </w:tc>
        <w:tc>
          <w:tcPr>
            <w:tcW w:w="2000" w:type="dxa"/>
            <w:tcBorders>
              <w:top w:val="single" w:color="000000" w:sz="12"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广场路</w:t>
            </w:r>
          </w:p>
        </w:tc>
        <w:tc>
          <w:tcPr>
            <w:tcW w:w="1435" w:type="dxa"/>
            <w:tcBorders>
              <w:top w:val="single" w:color="000000" w:sz="12"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12"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12"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狮子路</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狮子路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车苑小区</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滨河西路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文体中心</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晨风路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晨风大酒店</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晨风路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滨河西路</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滨河西路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五显安置小区</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大千路南延线</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港湾式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雨棚式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兴龙小区</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皇龙路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皇龙新城</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皇龙路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北门批发市场</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莲花路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铁路岔口</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莲花路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莲花办事处</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莲花路</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直线式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单牌式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钟山村</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迎宾大道</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港湾式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雨棚式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同合寺</w:t>
            </w:r>
          </w:p>
        </w:tc>
        <w:tc>
          <w:tcPr>
            <w:tcW w:w="2000"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现代大道</w:t>
            </w:r>
          </w:p>
        </w:tc>
        <w:tc>
          <w:tcPr>
            <w:tcW w:w="1435" w:type="dxa"/>
            <w:tcBorders>
              <w:top w:val="single" w:color="000000" w:sz="8" w:space="0"/>
              <w:left w:val="single" w:color="auto" w:sz="8" w:space="0"/>
              <w:bottom w:val="single" w:color="000000" w:sz="8"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8"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港湾式</w:t>
            </w:r>
          </w:p>
        </w:tc>
        <w:tc>
          <w:tcPr>
            <w:tcW w:w="1435" w:type="dxa"/>
            <w:tcBorders>
              <w:top w:val="single" w:color="000000" w:sz="8" w:space="0"/>
              <w:left w:val="single" w:color="auto" w:sz="8" w:space="0"/>
              <w:bottom w:val="single" w:color="000000" w:sz="8"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雨棚式</w:t>
            </w:r>
          </w:p>
        </w:tc>
      </w:tr>
      <w:tr>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1" w:hRule="atLeast"/>
          <w:jc w:val="center"/>
        </w:trPr>
        <w:tc>
          <w:tcPr>
            <w:tcW w:w="2001" w:type="dxa"/>
            <w:tcBorders>
              <w:top w:val="single" w:color="000000" w:sz="8" w:space="0"/>
              <w:bottom w:val="single" w:color="000000" w:sz="12"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董家湾</w:t>
            </w:r>
          </w:p>
        </w:tc>
        <w:tc>
          <w:tcPr>
            <w:tcW w:w="2000" w:type="dxa"/>
            <w:tcBorders>
              <w:top w:val="single" w:color="000000" w:sz="8" w:space="0"/>
              <w:left w:val="single" w:color="auto" w:sz="8" w:space="0"/>
              <w:bottom w:val="single" w:color="000000" w:sz="12"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现代大道</w:t>
            </w:r>
          </w:p>
        </w:tc>
        <w:tc>
          <w:tcPr>
            <w:tcW w:w="1435" w:type="dxa"/>
            <w:tcBorders>
              <w:top w:val="single" w:color="000000" w:sz="8" w:space="0"/>
              <w:left w:val="single" w:color="auto" w:sz="8" w:space="0"/>
              <w:bottom w:val="single" w:color="000000" w:sz="12" w:space="0"/>
              <w:right w:val="single" w:color="auto" w:sz="8" w:space="0"/>
            </w:tcBorders>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近期</w:t>
            </w:r>
          </w:p>
        </w:tc>
        <w:tc>
          <w:tcPr>
            <w:tcW w:w="1435" w:type="dxa"/>
            <w:tcBorders>
              <w:top w:val="single" w:color="000000" w:sz="8" w:space="0"/>
              <w:left w:val="single" w:color="auto" w:sz="8" w:space="0"/>
              <w:bottom w:val="single" w:color="000000" w:sz="12" w:space="0"/>
              <w:right w:val="single" w:color="auto" w:sz="8" w:space="0"/>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港湾式</w:t>
            </w:r>
          </w:p>
        </w:tc>
        <w:tc>
          <w:tcPr>
            <w:tcW w:w="1435" w:type="dxa"/>
            <w:tcBorders>
              <w:top w:val="single" w:color="000000" w:sz="8" w:space="0"/>
              <w:left w:val="single" w:color="auto" w:sz="8" w:space="0"/>
              <w:bottom w:val="single" w:color="000000" w:sz="12" w:space="0"/>
              <w:right w:val="nil"/>
            </w:tcBorders>
            <w:vAlign w:val="center"/>
          </w:tcPr>
          <w:p>
            <w:pPr>
              <w:spacing w:line="240" w:lineRule="auto"/>
              <w:ind w:firstLine="0" w:firstLineChars="0"/>
              <w:jc w:val="center"/>
              <w:rPr>
                <w:rFonts w:cs="宋体" w:asciiTheme="minorEastAsia" w:hAnsiTheme="minorEastAsia" w:eastAsiaTheme="minorEastAsia"/>
                <w:color w:val="000000"/>
                <w:sz w:val="21"/>
                <w:szCs w:val="21"/>
              </w:rPr>
            </w:pPr>
            <w:r>
              <w:rPr>
                <w:rFonts w:hint="eastAsia" w:cs="宋体" w:asciiTheme="minorEastAsia" w:hAnsiTheme="minorEastAsia" w:eastAsiaTheme="minorEastAsia"/>
                <w:color w:val="000000"/>
                <w:sz w:val="21"/>
                <w:szCs w:val="21"/>
              </w:rPr>
              <w:t>雨棚式</w:t>
            </w:r>
          </w:p>
        </w:tc>
      </w:tr>
    </w:tbl>
    <w:p>
      <w:pPr>
        <w:ind w:firstLine="480"/>
        <w:sectPr>
          <w:pgSz w:w="11906" w:h="16838"/>
          <w:pgMar w:top="1440" w:right="1800" w:bottom="1440" w:left="1800" w:header="851" w:footer="992" w:gutter="0"/>
          <w:cols w:space="720" w:num="1"/>
          <w:docGrid w:type="lines" w:linePitch="326" w:charSpace="0"/>
        </w:sectPr>
      </w:pPr>
    </w:p>
    <w:p>
      <w:pPr>
        <w:pStyle w:val="2"/>
        <w:spacing w:before="163" w:after="163"/>
      </w:pPr>
      <w:r>
        <w:rPr>
          <w:rFonts w:hint="eastAsia"/>
        </w:rPr>
        <w:t>第7章  公交专用道发展规划</w:t>
      </w:r>
      <w:bookmarkEnd w:id="115"/>
      <w:bookmarkEnd w:id="116"/>
    </w:p>
    <w:p>
      <w:pPr>
        <w:ind w:firstLine="480"/>
      </w:pPr>
      <w:r>
        <w:t>根据前期实地调研情况，资阳中心城区车流及客流主要集中于连接各个组团的干道，公交车辆与社会车辆混行，公交服务水平低下。根据国内外众多成功经验，设置公交专用车道是体现公交优先、缓解城市拥堵和提高公交服务水平最直接、有利的措施，因此，设置公交专用道刻不容缓。</w:t>
      </w:r>
    </w:p>
    <w:p>
      <w:pPr>
        <w:pStyle w:val="4"/>
        <w:spacing w:before="163" w:after="163"/>
      </w:pPr>
      <w:bookmarkStart w:id="201" w:name="_Toc518573707"/>
      <w:bookmarkStart w:id="202" w:name="_Toc26839"/>
      <w:r>
        <w:rPr>
          <w:rFonts w:hint="eastAsia"/>
        </w:rPr>
        <w:t>7.1</w:t>
      </w:r>
      <w:r>
        <w:t xml:space="preserve"> </w:t>
      </w:r>
      <w:r>
        <w:rPr>
          <w:rFonts w:hint="eastAsia"/>
        </w:rPr>
        <w:t>公交专用道规划目标与原则</w:t>
      </w:r>
      <w:bookmarkEnd w:id="201"/>
      <w:bookmarkEnd w:id="202"/>
    </w:p>
    <w:p>
      <w:pPr>
        <w:pStyle w:val="5"/>
        <w:spacing w:before="163" w:after="163"/>
      </w:pPr>
      <w:bookmarkStart w:id="203" w:name="_Toc31059"/>
      <w:bookmarkStart w:id="204" w:name="_Toc518573708"/>
      <w:r>
        <w:rPr>
          <w:rFonts w:hint="eastAsia"/>
        </w:rPr>
        <w:t>7.1.1</w:t>
      </w:r>
      <w:r>
        <w:t xml:space="preserve"> </w:t>
      </w:r>
      <w:r>
        <w:rPr>
          <w:rFonts w:hint="eastAsia"/>
        </w:rPr>
        <w:t>公交专用道规划目标</w:t>
      </w:r>
      <w:bookmarkEnd w:id="203"/>
      <w:bookmarkEnd w:id="204"/>
    </w:p>
    <w:p>
      <w:pPr>
        <w:spacing w:before="0"/>
        <w:ind w:firstLine="480"/>
      </w:pPr>
      <w:r>
        <w:rPr>
          <w:rFonts w:hint="eastAsia"/>
        </w:rPr>
        <w:t>（1）通过合理的公交专用道系统规划保障公共交通对道路资源的专用或使用，使公交运行速度提高</w:t>
      </w:r>
      <w:r>
        <w:rPr>
          <w:rFonts w:cs="Times New Roman"/>
        </w:rPr>
        <w:t>25</w:t>
      </w:r>
      <w:r>
        <w:rPr>
          <w:rFonts w:hint="eastAsia" w:cs="Times New Roman"/>
        </w:rPr>
        <w:t>%</w:t>
      </w:r>
      <w:r>
        <w:rPr>
          <w:rFonts w:cs="Times New Roman"/>
        </w:rPr>
        <w:t>－35</w:t>
      </w:r>
      <w:r>
        <w:rPr>
          <w:rFonts w:hint="eastAsia" w:cs="Times New Roman"/>
        </w:rPr>
        <w:t>%</w:t>
      </w:r>
      <w:r>
        <w:rPr>
          <w:rFonts w:hint="eastAsia"/>
        </w:rPr>
        <w:t>；</w:t>
      </w:r>
    </w:p>
    <w:p>
      <w:pPr>
        <w:spacing w:before="0"/>
        <w:ind w:firstLine="480"/>
      </w:pPr>
      <w:r>
        <w:rPr>
          <w:rFonts w:hint="eastAsia"/>
        </w:rPr>
        <w:t>（2）通过公交专用道的规划和建设，使道路客流运送能力提高20%以上；</w:t>
      </w:r>
    </w:p>
    <w:p>
      <w:pPr>
        <w:spacing w:before="0"/>
        <w:ind w:firstLine="480"/>
      </w:pPr>
      <w:r>
        <w:rPr>
          <w:rFonts w:hint="eastAsia"/>
        </w:rPr>
        <w:t>（3）通过公交专用道的规划和建设，减少其他车辆对公交车辆的行车影响，保证公交车辆的运行速度，提高公交车辆的准点率；</w:t>
      </w:r>
    </w:p>
    <w:p>
      <w:pPr>
        <w:spacing w:before="0"/>
        <w:ind w:firstLine="480"/>
      </w:pPr>
      <w:r>
        <w:rPr>
          <w:rFonts w:hint="eastAsia"/>
        </w:rPr>
        <w:t>（4）通过公交专用道的规划和建设，大幅度地提高公交车辆的服务水平。</w:t>
      </w:r>
    </w:p>
    <w:p>
      <w:pPr>
        <w:pStyle w:val="5"/>
        <w:spacing w:before="163" w:after="163"/>
      </w:pPr>
      <w:bookmarkStart w:id="205" w:name="_Toc518573709"/>
      <w:bookmarkStart w:id="206" w:name="_Toc9780"/>
      <w:r>
        <w:rPr>
          <w:rFonts w:hint="eastAsia"/>
        </w:rPr>
        <w:t>7.1.2</w:t>
      </w:r>
      <w:r>
        <w:t xml:space="preserve"> </w:t>
      </w:r>
      <w:r>
        <w:rPr>
          <w:rFonts w:hint="eastAsia"/>
        </w:rPr>
        <w:t>公交专用道规划原则</w:t>
      </w:r>
      <w:bookmarkEnd w:id="205"/>
      <w:bookmarkEnd w:id="206"/>
    </w:p>
    <w:p>
      <w:pPr>
        <w:spacing w:before="0"/>
        <w:ind w:firstLine="480"/>
      </w:pPr>
      <w:r>
        <w:rPr>
          <w:rFonts w:hint="eastAsia"/>
        </w:rPr>
        <w:t>（1）中心城区一级及二级客运走廊道路，条件较好、双向六车道及以上的具备设置条件的道路设置全时段的公交专用道或公交优先道；</w:t>
      </w:r>
    </w:p>
    <w:p>
      <w:pPr>
        <w:spacing w:before="0"/>
        <w:ind w:firstLine="480"/>
      </w:pPr>
      <w:r>
        <w:rPr>
          <w:rFonts w:hint="eastAsia"/>
        </w:rPr>
        <w:t>（2）高峰时段通勤、通学交通量较大的道路，对具备条件的设置公交优先道；</w:t>
      </w:r>
    </w:p>
    <w:p>
      <w:pPr>
        <w:spacing w:before="0"/>
        <w:ind w:firstLine="480"/>
      </w:pPr>
      <w:r>
        <w:rPr>
          <w:rFonts w:hint="eastAsia"/>
        </w:rPr>
        <w:t>（3）充分利用现有公交场站设施；</w:t>
      </w:r>
    </w:p>
    <w:p>
      <w:pPr>
        <w:spacing w:before="0"/>
        <w:ind w:firstLine="480"/>
      </w:pPr>
      <w:r>
        <w:rPr>
          <w:rFonts w:hint="eastAsia"/>
        </w:rPr>
        <w:t>（4）与轨道交通等上层次公共交通系统相协调；</w:t>
      </w:r>
    </w:p>
    <w:p>
      <w:pPr>
        <w:spacing w:before="0"/>
        <w:ind w:firstLine="480"/>
      </w:pPr>
      <w:r>
        <w:rPr>
          <w:rFonts w:hint="eastAsia"/>
        </w:rPr>
        <w:t>（5）公交专用道系统应系统化、网络化。以近期的道路交通网络条件和需求为约束，实行“分期建设，逐步成网”的方针。</w:t>
      </w:r>
    </w:p>
    <w:bookmarkEnd w:id="117"/>
    <w:bookmarkEnd w:id="118"/>
    <w:bookmarkEnd w:id="119"/>
    <w:bookmarkEnd w:id="120"/>
    <w:p>
      <w:pPr>
        <w:pStyle w:val="4"/>
        <w:spacing w:before="163" w:after="163"/>
      </w:pPr>
      <w:bookmarkStart w:id="207" w:name="_Toc495262212"/>
      <w:bookmarkStart w:id="208" w:name="_Toc503152887"/>
      <w:bookmarkStart w:id="209" w:name="_Toc518573710"/>
      <w:r>
        <w:t>7.2 公交专用道设置条件</w:t>
      </w:r>
      <w:bookmarkEnd w:id="207"/>
      <w:bookmarkEnd w:id="208"/>
      <w:bookmarkEnd w:id="209"/>
    </w:p>
    <w:p>
      <w:pPr>
        <w:ind w:firstLine="480"/>
      </w:pPr>
      <w:r>
        <w:t>设置公交专用道应具备一定的条件，只有在满足主要条件的前提下公交专用道的设置才能起到积极的作用。其主要设置条件如下：</w:t>
      </w:r>
    </w:p>
    <w:p>
      <w:pPr>
        <w:ind w:firstLine="480"/>
      </w:pPr>
      <w:r>
        <w:rPr>
          <w:rFonts w:hint="eastAsia"/>
        </w:rPr>
        <w:t>（1）</w:t>
      </w:r>
      <w:r>
        <w:t>道路的几何条件</w:t>
      </w:r>
    </w:p>
    <w:p>
      <w:pPr>
        <w:ind w:firstLine="480"/>
      </w:pPr>
      <w:r>
        <w:t>道路必须具有双向四车道及以上的条件，但从专用道实施后的可靠性和可操作性来看，最好在双向六车道及以上道路上才设置公交专用道。</w:t>
      </w:r>
    </w:p>
    <w:p>
      <w:pPr>
        <w:ind w:firstLine="480"/>
      </w:pPr>
      <w:r>
        <w:rPr>
          <w:rFonts w:hint="eastAsia"/>
        </w:rPr>
        <w:t>（2）</w:t>
      </w:r>
      <w:r>
        <w:t>断面的公交客流量</w:t>
      </w:r>
    </w:p>
    <w:p>
      <w:pPr>
        <w:ind w:firstLine="480"/>
      </w:pPr>
      <w:r>
        <w:t>在选择实施公交专用道的时候，应优先考虑客流量大的地段。</w:t>
      </w:r>
    </w:p>
    <w:p>
      <w:pPr>
        <w:ind w:firstLine="480"/>
      </w:pPr>
      <w:r>
        <w:rPr>
          <w:rFonts w:hint="eastAsia"/>
        </w:rPr>
        <w:t>（3）</w:t>
      </w:r>
      <w:r>
        <w:t>社会车辆占总流量的比例</w:t>
      </w:r>
    </w:p>
    <w:p>
      <w:pPr>
        <w:ind w:firstLine="480"/>
      </w:pPr>
      <w:r>
        <w:t>在设置公交专用道时，应考虑社会车辆在路段交通流中所占的比例</w:t>
      </w:r>
      <w:r>
        <w:rPr>
          <w:rFonts w:hint="eastAsia"/>
        </w:rPr>
        <w:t>，</w:t>
      </w:r>
      <w:r>
        <w:t>避免因车道不足而导致社会车辆出行饱和度过大甚至堵车的现象。</w:t>
      </w:r>
    </w:p>
    <w:p>
      <w:pPr>
        <w:ind w:firstLine="480"/>
      </w:pPr>
      <w:r>
        <w:rPr>
          <w:rFonts w:hint="eastAsia"/>
        </w:rPr>
        <w:t>（4）</w:t>
      </w:r>
      <w:r>
        <w:t>公交车行程车速</w:t>
      </w:r>
    </w:p>
    <w:p>
      <w:pPr>
        <w:ind w:firstLine="480"/>
      </w:pPr>
      <w:r>
        <w:t>判断现状道路是否要实行公交优先措施，还可以选择公交车辆的行程速度作为指标之一。有关经验表明，公交车时速低于18km/h时应考虑设置公交专用道。</w:t>
      </w:r>
    </w:p>
    <w:p>
      <w:pPr>
        <w:pStyle w:val="4"/>
        <w:spacing w:before="163" w:after="163"/>
      </w:pPr>
      <w:bookmarkStart w:id="210" w:name="_Toc518573711"/>
      <w:bookmarkStart w:id="211" w:name="_Toc32504"/>
      <w:bookmarkStart w:id="212" w:name="_Toc503152888"/>
      <w:bookmarkStart w:id="213" w:name="_Toc495262213"/>
      <w:r>
        <w:rPr>
          <w:rFonts w:hint="eastAsia"/>
        </w:rPr>
        <w:t>7.3 公交专用道设置位置</w:t>
      </w:r>
      <w:bookmarkEnd w:id="210"/>
      <w:bookmarkEnd w:id="211"/>
    </w:p>
    <w:p>
      <w:pPr>
        <w:spacing w:before="0"/>
        <w:ind w:firstLine="480"/>
      </w:pPr>
      <w:r>
        <w:rPr>
          <w:rFonts w:hint="eastAsia"/>
        </w:rPr>
        <w:t>公交专用道在道路断面上的布设位置主要有以下几种形式：路边型（最外侧车道）、路中型（中央车道）和次路边型（次外侧车道）。</w:t>
      </w:r>
    </w:p>
    <w:p>
      <w:pPr>
        <w:spacing w:before="0"/>
        <w:ind w:firstLine="480"/>
      </w:pPr>
      <w:r>
        <w:rPr>
          <w:rFonts w:hint="eastAsia"/>
        </w:rPr>
        <w:t>微观仿真分析表明，随着公交专用道内公交车及支路穿越交通流流量的变化，路边型公交专用道的交通效益发生急剧的变化。在考虑未来公交流量发展的前提下，当公交车流量较小（≤150veh/h）时，公交专用道的位置可以根据实际条件进行选择；而在公交车流量较大（&gt;150veh/h）时，为了减少公交车在路段的干扰，选择路中型公交专用道方案最优。</w:t>
      </w:r>
    </w:p>
    <w:p>
      <w:pPr>
        <w:spacing w:before="0"/>
        <w:ind w:firstLine="480"/>
      </w:pPr>
    </w:p>
    <w:p>
      <w:pPr>
        <w:spacing w:before="0"/>
        <w:ind w:firstLine="480"/>
      </w:pPr>
    </w:p>
    <w:p>
      <w:pPr>
        <w:pStyle w:val="113"/>
        <w:spacing w:before="163" w:after="163"/>
      </w:pPr>
      <w:r>
        <w:rPr>
          <w:rFonts w:hint="eastAsia"/>
        </w:rPr>
        <w:t>表7</w:t>
      </w:r>
      <w:r>
        <w:t>-</w:t>
      </w:r>
      <w:r>
        <w:rPr>
          <w:rFonts w:hint="eastAsia"/>
        </w:rPr>
        <w:t>1</w:t>
      </w:r>
      <w:r>
        <w:t xml:space="preserve">  </w:t>
      </w:r>
      <w:r>
        <w:rPr>
          <w:rFonts w:hint="eastAsia"/>
        </w:rPr>
        <w:t>公交专用道设置形式</w:t>
      </w:r>
    </w:p>
    <w:tbl>
      <w:tblPr>
        <w:tblStyle w:val="94"/>
        <w:tblW w:w="8522" w:type="dxa"/>
        <w:tblInd w:w="0" w:type="dxa"/>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108" w:type="dxa"/>
          <w:bottom w:w="0" w:type="dxa"/>
          <w:right w:w="108" w:type="dxa"/>
        </w:tblCellMar>
      </w:tblPr>
      <w:tblGrid>
        <w:gridCol w:w="873"/>
        <w:gridCol w:w="2689"/>
        <w:gridCol w:w="2603"/>
        <w:gridCol w:w="2357"/>
      </w:tblGrid>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108" w:type="dxa"/>
            <w:bottom w:w="0" w:type="dxa"/>
            <w:right w:w="108" w:type="dxa"/>
          </w:tblCellMar>
        </w:tblPrEx>
        <w:trPr>
          <w:trHeight w:val="540" w:hRule="atLeast"/>
        </w:trPr>
        <w:tc>
          <w:tcPr>
            <w:tcW w:w="873" w:type="dxa"/>
            <w:tcBorders>
              <w:top w:val="single" w:color="auto" w:sz="12" w:space="0"/>
              <w:left w:val="nil"/>
              <w:bottom w:val="single" w:color="auto" w:sz="12" w:space="0"/>
              <w:right w:val="single" w:color="auto" w:sz="2" w:space="0"/>
            </w:tcBorders>
            <w:shd w:val="clear" w:color="auto" w:fill="CCC0D9"/>
            <w:vAlign w:val="center"/>
          </w:tcPr>
          <w:p>
            <w:pPr>
              <w:pStyle w:val="151"/>
              <w:widowControl/>
              <w:spacing w:before="0" w:line="240" w:lineRule="auto"/>
              <w:rPr>
                <w:b/>
              </w:rPr>
            </w:pPr>
            <w:r>
              <w:rPr>
                <w:rFonts w:hint="eastAsia"/>
                <w:b/>
              </w:rPr>
              <w:t>形式</w:t>
            </w:r>
          </w:p>
        </w:tc>
        <w:tc>
          <w:tcPr>
            <w:tcW w:w="2689" w:type="dxa"/>
            <w:tcBorders>
              <w:top w:val="single" w:color="auto" w:sz="12" w:space="0"/>
              <w:left w:val="single" w:color="auto" w:sz="2" w:space="0"/>
              <w:bottom w:val="single" w:color="auto" w:sz="12" w:space="0"/>
            </w:tcBorders>
            <w:shd w:val="clear" w:color="auto" w:fill="CCC0D9"/>
            <w:vAlign w:val="center"/>
          </w:tcPr>
          <w:p>
            <w:pPr>
              <w:pStyle w:val="151"/>
              <w:widowControl/>
              <w:spacing w:before="0" w:line="240" w:lineRule="auto"/>
              <w:rPr>
                <w:b/>
              </w:rPr>
            </w:pPr>
            <w:r>
              <w:rPr>
                <w:rFonts w:hint="eastAsia"/>
                <w:b/>
              </w:rPr>
              <w:t>优点</w:t>
            </w:r>
          </w:p>
        </w:tc>
        <w:tc>
          <w:tcPr>
            <w:tcW w:w="2603" w:type="dxa"/>
            <w:tcBorders>
              <w:top w:val="single" w:color="auto" w:sz="12" w:space="0"/>
              <w:bottom w:val="single" w:color="auto" w:sz="12" w:space="0"/>
            </w:tcBorders>
            <w:shd w:val="clear" w:color="auto" w:fill="CCC0D9"/>
            <w:vAlign w:val="center"/>
          </w:tcPr>
          <w:p>
            <w:pPr>
              <w:pStyle w:val="151"/>
              <w:widowControl/>
              <w:spacing w:before="0" w:line="240" w:lineRule="auto"/>
              <w:rPr>
                <w:b/>
              </w:rPr>
            </w:pPr>
            <w:r>
              <w:rPr>
                <w:rFonts w:hint="eastAsia"/>
                <w:b/>
              </w:rPr>
              <w:t>缺点</w:t>
            </w:r>
          </w:p>
        </w:tc>
        <w:tc>
          <w:tcPr>
            <w:tcW w:w="2357" w:type="dxa"/>
            <w:tcBorders>
              <w:top w:val="single" w:color="auto" w:sz="12" w:space="0"/>
              <w:bottom w:val="single" w:color="auto" w:sz="12" w:space="0"/>
              <w:right w:val="nil"/>
            </w:tcBorders>
            <w:shd w:val="clear" w:color="auto" w:fill="CCC0D9"/>
            <w:vAlign w:val="center"/>
          </w:tcPr>
          <w:p>
            <w:pPr>
              <w:pStyle w:val="151"/>
              <w:widowControl/>
              <w:spacing w:before="0" w:line="240" w:lineRule="auto"/>
              <w:rPr>
                <w:b/>
              </w:rPr>
            </w:pPr>
            <w:r>
              <w:rPr>
                <w:rFonts w:hint="eastAsia"/>
                <w:b/>
              </w:rPr>
              <w:t>应用情况</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1349" w:hRule="atLeast"/>
        </w:trPr>
        <w:tc>
          <w:tcPr>
            <w:tcW w:w="873" w:type="dxa"/>
            <w:tcBorders>
              <w:top w:val="single" w:color="auto" w:sz="12" w:space="0"/>
              <w:left w:val="nil"/>
              <w:right w:val="single" w:color="auto" w:sz="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路边型</w:t>
            </w:r>
          </w:p>
        </w:tc>
        <w:tc>
          <w:tcPr>
            <w:tcW w:w="2689" w:type="dxa"/>
            <w:tcBorders>
              <w:top w:val="single" w:color="auto" w:sz="12" w:space="0"/>
              <w:left w:val="single" w:color="auto" w:sz="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公交车辆沿路边行驶，符合乘客的乘车习惯。且投资较少，改建容易。</w:t>
            </w:r>
          </w:p>
        </w:tc>
        <w:tc>
          <w:tcPr>
            <w:tcW w:w="2603" w:type="dxa"/>
            <w:tcBorders>
              <w:top w:val="single" w:color="auto" w:sz="1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公交车沿专用道行驶受到频繁进出交通流的干扰。同时在交叉口进口道与右转车流间也存在相互影响，行驶不流畅。</w:t>
            </w:r>
          </w:p>
        </w:tc>
        <w:tc>
          <w:tcPr>
            <w:tcW w:w="2357" w:type="dxa"/>
            <w:tcBorders>
              <w:top w:val="single" w:color="auto" w:sz="12" w:space="0"/>
              <w:right w:val="nil"/>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我国城市中所设置的公交专用道多为路边型。</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1134" w:hRule="atLeast"/>
        </w:trPr>
        <w:tc>
          <w:tcPr>
            <w:tcW w:w="873" w:type="dxa"/>
            <w:tcBorders>
              <w:left w:val="nil"/>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路中型</w:t>
            </w:r>
          </w:p>
        </w:tc>
        <w:tc>
          <w:tcPr>
            <w:tcW w:w="2689" w:type="dxa"/>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减少不同车流间相互的干扰，从而提高公共汽车在路段的行驶车速，同时保证了公交车在交叉口通行空间上的优先。</w:t>
            </w:r>
          </w:p>
        </w:tc>
        <w:tc>
          <w:tcPr>
            <w:tcW w:w="2603" w:type="dxa"/>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为解决公交车开门与路中型专用道的矛盾，需要对公交站点进行改造，投资相对增加。</w:t>
            </w:r>
          </w:p>
        </w:tc>
        <w:tc>
          <w:tcPr>
            <w:tcW w:w="2357" w:type="dxa"/>
            <w:tcBorders>
              <w:right w:val="nil"/>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在日本的名古屋市和我国的昆明、石家庄、台北皆有应用。</w:t>
            </w:r>
          </w:p>
        </w:tc>
      </w:tr>
      <w:tr>
        <w:tblPrEx>
          <w:tblBorders>
            <w:top w:val="single" w:color="000000" w:sz="8" w:space="0"/>
            <w:left w:val="single" w:color="000000" w:sz="8" w:space="0"/>
            <w:bottom w:val="single" w:color="000000" w:sz="8" w:space="0"/>
            <w:right w:val="single" w:color="000000" w:sz="8" w:space="0"/>
            <w:insideH w:val="single" w:color="000000" w:sz="6" w:space="0"/>
            <w:insideV w:val="single" w:color="000000" w:sz="6" w:space="0"/>
          </w:tblBorders>
          <w:tblLayout w:type="fixed"/>
          <w:tblCellMar>
            <w:top w:w="0" w:type="dxa"/>
            <w:left w:w="108" w:type="dxa"/>
            <w:bottom w:w="0" w:type="dxa"/>
            <w:right w:w="108" w:type="dxa"/>
          </w:tblCellMar>
        </w:tblPrEx>
        <w:trPr>
          <w:cantSplit/>
          <w:trHeight w:val="1134" w:hRule="atLeast"/>
        </w:trPr>
        <w:tc>
          <w:tcPr>
            <w:tcW w:w="873" w:type="dxa"/>
            <w:tcBorders>
              <w:left w:val="nil"/>
              <w:bottom w:val="single" w:color="auto" w:sz="1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次路边型</w:t>
            </w:r>
          </w:p>
        </w:tc>
        <w:tc>
          <w:tcPr>
            <w:tcW w:w="2689" w:type="dxa"/>
            <w:tcBorders>
              <w:bottom w:val="single" w:color="auto" w:sz="1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既减少沿线进出交通流对公交车辆行驶的影响，又将道路投资改造控制在一定范围内。</w:t>
            </w:r>
          </w:p>
        </w:tc>
        <w:tc>
          <w:tcPr>
            <w:tcW w:w="2603" w:type="dxa"/>
            <w:tcBorders>
              <w:bottom w:val="single" w:color="auto" w:sz="12" w:space="0"/>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公交车辆进出停靠站需要跨越外侧车道内车流，同时外侧车道车流驶入主线也需要跨越公交专用道，最外侧车道利用率低下。</w:t>
            </w:r>
          </w:p>
        </w:tc>
        <w:tc>
          <w:tcPr>
            <w:tcW w:w="2357" w:type="dxa"/>
            <w:tcBorders>
              <w:bottom w:val="single" w:color="auto" w:sz="12" w:space="0"/>
              <w:right w:val="nil"/>
            </w:tcBorders>
            <w:vAlign w:val="center"/>
          </w:tcPr>
          <w:p>
            <w:pPr>
              <w:adjustRightInd/>
              <w:snapToGrid/>
              <w:spacing w:after="0"/>
              <w:ind w:firstLine="0" w:firstLineChars="0"/>
              <w:jc w:val="center"/>
              <w:rPr>
                <w:rFonts w:ascii="宋体" w:hAnsi="宋体"/>
                <w:sz w:val="21"/>
                <w:szCs w:val="21"/>
              </w:rPr>
            </w:pPr>
            <w:r>
              <w:rPr>
                <w:rFonts w:hint="eastAsia" w:ascii="宋体" w:hAnsi="宋体"/>
                <w:sz w:val="21"/>
                <w:szCs w:val="21"/>
              </w:rPr>
              <w:t>道路资源充分时，即道路单向大于等于</w:t>
            </w:r>
            <w:r>
              <w:rPr>
                <w:rFonts w:cs="Times New Roman"/>
                <w:sz w:val="21"/>
                <w:szCs w:val="21"/>
              </w:rPr>
              <w:t>4</w:t>
            </w:r>
            <w:r>
              <w:rPr>
                <w:rFonts w:hint="eastAsia" w:ascii="宋体" w:hAnsi="宋体"/>
                <w:sz w:val="21"/>
                <w:szCs w:val="21"/>
              </w:rPr>
              <w:t>车道，可将公交专用道布设在次外侧车道，最外侧车道作为进出交通流的通行辅道。目前缺乏实际应用。</w:t>
            </w:r>
          </w:p>
        </w:tc>
      </w:tr>
    </w:tbl>
    <w:p>
      <w:pPr>
        <w:pStyle w:val="151"/>
      </w:pPr>
      <w:r>
        <w:rPr>
          <w:b/>
        </w:rPr>
        <w:drawing>
          <wp:inline distT="0" distB="0" distL="0" distR="0">
            <wp:extent cx="5015865" cy="2818130"/>
            <wp:effectExtent l="19050" t="19050" r="13335" b="2032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97">
                      <a:lum contrast="-2000"/>
                      <a:extLst>
                        <a:ext uri="{28A0092B-C50C-407E-A947-70E740481C1C}">
                          <a14:useLocalDpi xmlns:a14="http://schemas.microsoft.com/office/drawing/2010/main" val="0"/>
                        </a:ext>
                      </a:extLst>
                    </a:blip>
                    <a:srcRect/>
                    <a:stretch>
                      <a:fillRect/>
                    </a:stretch>
                  </pic:blipFill>
                  <pic:spPr>
                    <a:xfrm>
                      <a:off x="0" y="0"/>
                      <a:ext cx="5015865" cy="2818130"/>
                    </a:xfrm>
                    <a:prstGeom prst="rect">
                      <a:avLst/>
                    </a:prstGeom>
                    <a:noFill/>
                    <a:ln w="6350" cmpd="sng">
                      <a:solidFill>
                        <a:srgbClr val="000000"/>
                      </a:solidFill>
                      <a:miter lim="800000"/>
                      <a:headEnd/>
                      <a:tailEnd/>
                    </a:ln>
                    <a:effectLst/>
                  </pic:spPr>
                </pic:pic>
              </a:graphicData>
            </a:graphic>
          </wp:inline>
        </w:drawing>
      </w:r>
    </w:p>
    <w:p>
      <w:pPr>
        <w:pStyle w:val="117"/>
      </w:pPr>
      <w:r>
        <w:rPr>
          <w:rFonts w:hint="eastAsia"/>
        </w:rPr>
        <w:t>图7-1</w:t>
      </w:r>
      <w:r>
        <w:t xml:space="preserve"> </w:t>
      </w:r>
      <w:r>
        <w:rPr>
          <w:rFonts w:hint="eastAsia"/>
        </w:rPr>
        <w:t xml:space="preserve"> 双向6车道断面设置</w:t>
      </w:r>
    </w:p>
    <w:p>
      <w:pPr>
        <w:pStyle w:val="4"/>
        <w:spacing w:before="163" w:after="163"/>
      </w:pPr>
      <w:bookmarkStart w:id="214" w:name="_Toc518573712"/>
      <w:r>
        <w:t>7.4 公交专用道规划方案</w:t>
      </w:r>
      <w:bookmarkEnd w:id="212"/>
      <w:bookmarkEnd w:id="213"/>
      <w:bookmarkEnd w:id="214"/>
    </w:p>
    <w:p>
      <w:pPr>
        <w:ind w:firstLine="480"/>
      </w:pPr>
      <w:r>
        <w:t>根据实际调研，</w:t>
      </w:r>
      <w:r>
        <w:rPr>
          <w:rFonts w:hint="eastAsia"/>
        </w:rPr>
        <w:t>资阳</w:t>
      </w:r>
      <w:r>
        <w:t>市中心城区最拥堵路段就是主干道，根据公交专用车道的设置条件及成都市实施公交专用道的成功经验，设置公交专用车道是体现公交优先和缓解城市拥堵的最直接、有利的措施。根据</w:t>
      </w:r>
      <w:r>
        <w:rPr>
          <w:rFonts w:hint="eastAsia"/>
        </w:rPr>
        <w:t>资阳</w:t>
      </w:r>
      <w:r>
        <w:t>市的实际情况，初步拟定于在规划期内在以下路网上开辟公交专用道。</w:t>
      </w:r>
      <w:r>
        <w:rPr>
          <w:rFonts w:hint="eastAsia"/>
        </w:rPr>
        <w:t>表7-</w:t>
      </w:r>
      <w:r>
        <w:t>2和图</w:t>
      </w:r>
      <w:r>
        <w:rPr>
          <w:rFonts w:hint="eastAsia"/>
        </w:rPr>
        <w:t>7-</w:t>
      </w:r>
      <w:r>
        <w:t>2为公交专用道规划方案图。</w:t>
      </w:r>
    </w:p>
    <w:p>
      <w:pPr>
        <w:pStyle w:val="113"/>
        <w:spacing w:before="163" w:after="163"/>
      </w:pPr>
      <w:r>
        <w:rPr>
          <w:rFonts w:hint="eastAsia"/>
        </w:rPr>
        <w:t>表7</w:t>
      </w:r>
      <w:r>
        <w:t xml:space="preserve">-2  </w:t>
      </w:r>
      <w:r>
        <w:rPr>
          <w:rFonts w:hint="eastAsia"/>
        </w:rPr>
        <w:t>公交专用道设置方案</w:t>
      </w:r>
    </w:p>
    <w:tbl>
      <w:tblPr>
        <w:tblStyle w:val="94"/>
        <w:tblW w:w="7843"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547"/>
        <w:gridCol w:w="1830"/>
        <w:gridCol w:w="2412"/>
        <w:gridCol w:w="2054"/>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bottom w:val="single" w:color="auto" w:sz="12" w:space="0"/>
              <w:tl2br w:val="nil"/>
              <w:tr2bl w:val="nil"/>
            </w:tcBorders>
            <w:shd w:val="clear" w:color="auto" w:fill="CCC0D9"/>
            <w:vAlign w:val="center"/>
          </w:tcPr>
          <w:p>
            <w:pPr>
              <w:pStyle w:val="151"/>
              <w:rPr>
                <w:b/>
              </w:rPr>
            </w:pPr>
            <w:r>
              <w:rPr>
                <w:rFonts w:hint="eastAsia"/>
                <w:b/>
              </w:rPr>
              <w:t>道路</w:t>
            </w:r>
          </w:p>
        </w:tc>
        <w:tc>
          <w:tcPr>
            <w:tcW w:w="1830" w:type="dxa"/>
            <w:tcBorders>
              <w:bottom w:val="single" w:color="auto" w:sz="12" w:space="0"/>
              <w:tl2br w:val="nil"/>
              <w:tr2bl w:val="nil"/>
            </w:tcBorders>
            <w:shd w:val="clear" w:color="auto" w:fill="CCC0D9"/>
            <w:vAlign w:val="center"/>
          </w:tcPr>
          <w:p>
            <w:pPr>
              <w:pStyle w:val="151"/>
              <w:rPr>
                <w:b/>
              </w:rPr>
            </w:pPr>
            <w:r>
              <w:rPr>
                <w:rFonts w:hint="eastAsia"/>
                <w:b/>
              </w:rPr>
              <w:t>类型</w:t>
            </w:r>
          </w:p>
        </w:tc>
        <w:tc>
          <w:tcPr>
            <w:tcW w:w="2412" w:type="dxa"/>
            <w:tcBorders>
              <w:bottom w:val="single" w:color="auto" w:sz="12" w:space="0"/>
              <w:tl2br w:val="nil"/>
              <w:tr2bl w:val="nil"/>
            </w:tcBorders>
            <w:shd w:val="clear" w:color="auto" w:fill="CCC0D9"/>
            <w:vAlign w:val="center"/>
          </w:tcPr>
          <w:p>
            <w:pPr>
              <w:pStyle w:val="151"/>
              <w:rPr>
                <w:b/>
              </w:rPr>
            </w:pPr>
            <w:r>
              <w:rPr>
                <w:rFonts w:hint="eastAsia"/>
                <w:b/>
              </w:rPr>
              <w:t>长度（km）</w:t>
            </w:r>
          </w:p>
        </w:tc>
        <w:tc>
          <w:tcPr>
            <w:tcW w:w="2054" w:type="dxa"/>
            <w:tcBorders>
              <w:bottom w:val="single" w:color="auto" w:sz="12" w:space="0"/>
              <w:tl2br w:val="nil"/>
              <w:tr2bl w:val="nil"/>
            </w:tcBorders>
            <w:shd w:val="clear" w:color="auto" w:fill="CCC0D9"/>
            <w:vAlign w:val="center"/>
          </w:tcPr>
          <w:p>
            <w:pPr>
              <w:pStyle w:val="151"/>
              <w:rPr>
                <w:b/>
              </w:rPr>
            </w:pPr>
            <w:r>
              <w:rPr>
                <w:rFonts w:hint="eastAsia"/>
                <w:b/>
              </w:rPr>
              <w:t>车道数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502" w:hRule="atLeast"/>
          <w:jc w:val="center"/>
        </w:trPr>
        <w:tc>
          <w:tcPr>
            <w:tcW w:w="1547" w:type="dxa"/>
            <w:tcBorders>
              <w:top w:val="single" w:color="auto" w:sz="12" w:space="0"/>
              <w:tl2br w:val="nil"/>
              <w:tr2bl w:val="nil"/>
            </w:tcBorders>
            <w:vAlign w:val="center"/>
          </w:tcPr>
          <w:p>
            <w:pPr>
              <w:pStyle w:val="151"/>
              <w:rPr>
                <w:bCs w:val="0"/>
              </w:rPr>
            </w:pPr>
            <w:r>
              <w:rPr>
                <w:rFonts w:hint="eastAsia"/>
                <w:bCs w:val="0"/>
              </w:rPr>
              <w:t>车城大道</w:t>
            </w:r>
          </w:p>
        </w:tc>
        <w:tc>
          <w:tcPr>
            <w:tcW w:w="1830" w:type="dxa"/>
            <w:tcBorders>
              <w:top w:val="single" w:color="auto" w:sz="12" w:space="0"/>
              <w:tl2br w:val="nil"/>
              <w:tr2bl w:val="nil"/>
            </w:tcBorders>
            <w:vAlign w:val="center"/>
          </w:tcPr>
          <w:p>
            <w:pPr>
              <w:pStyle w:val="151"/>
              <w:rPr>
                <w:bCs w:val="0"/>
              </w:rPr>
            </w:pPr>
            <w:r>
              <w:rPr>
                <w:rFonts w:hint="eastAsia"/>
                <w:bCs w:val="0"/>
              </w:rPr>
              <w:t>公交专用道</w:t>
            </w:r>
          </w:p>
        </w:tc>
        <w:tc>
          <w:tcPr>
            <w:tcW w:w="2412" w:type="dxa"/>
            <w:tcBorders>
              <w:top w:val="single" w:color="auto" w:sz="12" w:space="0"/>
              <w:tl2br w:val="nil"/>
              <w:tr2bl w:val="nil"/>
            </w:tcBorders>
            <w:vAlign w:val="center"/>
          </w:tcPr>
          <w:p>
            <w:pPr>
              <w:pStyle w:val="151"/>
              <w:rPr>
                <w:bCs w:val="0"/>
              </w:rPr>
            </w:pPr>
            <w:r>
              <w:rPr>
                <w:rFonts w:hint="eastAsia"/>
                <w:bCs w:val="0"/>
              </w:rPr>
              <w:t>4.26</w:t>
            </w:r>
          </w:p>
        </w:tc>
        <w:tc>
          <w:tcPr>
            <w:tcW w:w="2054" w:type="dxa"/>
            <w:tcBorders>
              <w:top w:val="single" w:color="auto" w:sz="12" w:space="0"/>
              <w:tl2br w:val="nil"/>
              <w:tr2bl w:val="nil"/>
            </w:tcBorders>
            <w:vAlign w:val="center"/>
          </w:tcPr>
          <w:p>
            <w:pPr>
              <w:pStyle w:val="151"/>
              <w:rPr>
                <w:bCs w:val="0"/>
              </w:rPr>
            </w:pPr>
            <w:r>
              <w:rPr>
                <w:rFonts w:hint="eastAsia"/>
                <w:bCs w:val="0"/>
              </w:rPr>
              <w:t>双向8车道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tl2br w:val="nil"/>
              <w:tr2bl w:val="nil"/>
            </w:tcBorders>
            <w:vAlign w:val="center"/>
          </w:tcPr>
          <w:p>
            <w:pPr>
              <w:pStyle w:val="151"/>
              <w:rPr>
                <w:bCs w:val="0"/>
              </w:rPr>
            </w:pPr>
            <w:r>
              <w:rPr>
                <w:bCs w:val="0"/>
              </w:rPr>
              <w:t>娇子大道</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rFonts w:hint="eastAsia"/>
                <w:bCs w:val="0"/>
              </w:rPr>
              <w:t>3.36</w:t>
            </w:r>
          </w:p>
        </w:tc>
        <w:tc>
          <w:tcPr>
            <w:tcW w:w="2054" w:type="dxa"/>
            <w:tcBorders>
              <w:tl2br w:val="nil"/>
              <w:tr2bl w:val="nil"/>
            </w:tcBorders>
            <w:vAlign w:val="center"/>
          </w:tcPr>
          <w:p>
            <w:pPr>
              <w:pStyle w:val="151"/>
              <w:rPr>
                <w:bCs w:val="0"/>
              </w:rPr>
            </w:pPr>
            <w:r>
              <w:rPr>
                <w:rFonts w:hint="eastAsia"/>
                <w:bCs w:val="0"/>
              </w:rPr>
              <w:t>双向8车道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tl2br w:val="nil"/>
              <w:tr2bl w:val="nil"/>
            </w:tcBorders>
            <w:vAlign w:val="center"/>
          </w:tcPr>
          <w:p>
            <w:pPr>
              <w:pStyle w:val="151"/>
              <w:rPr>
                <w:bCs w:val="0"/>
              </w:rPr>
            </w:pPr>
            <w:r>
              <w:rPr>
                <w:bCs w:val="0"/>
              </w:rPr>
              <w:t>迎宾大道</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bCs w:val="0"/>
              </w:rPr>
              <w:t>2.</w:t>
            </w:r>
            <w:r>
              <w:rPr>
                <w:rFonts w:hint="eastAsia"/>
                <w:bCs w:val="0"/>
              </w:rPr>
              <w:t>36</w:t>
            </w:r>
          </w:p>
        </w:tc>
        <w:tc>
          <w:tcPr>
            <w:tcW w:w="2054" w:type="dxa"/>
            <w:tcBorders>
              <w:tl2br w:val="nil"/>
              <w:tr2bl w:val="nil"/>
            </w:tcBorders>
            <w:vAlign w:val="center"/>
          </w:tcPr>
          <w:p>
            <w:pPr>
              <w:pStyle w:val="151"/>
              <w:rPr>
                <w:bCs w:val="0"/>
              </w:rPr>
            </w:pPr>
            <w:r>
              <w:rPr>
                <w:rFonts w:hint="eastAsia"/>
                <w:bCs w:val="0"/>
              </w:rPr>
              <w:t>双向</w:t>
            </w:r>
            <w:r>
              <w:rPr>
                <w:bCs w:val="0"/>
              </w:rPr>
              <w:t>10</w:t>
            </w:r>
            <w:r>
              <w:rPr>
                <w:rFonts w:hint="eastAsia"/>
                <w:bCs w:val="0"/>
              </w:rPr>
              <w:t>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tl2br w:val="nil"/>
              <w:tr2bl w:val="nil"/>
            </w:tcBorders>
            <w:vAlign w:val="center"/>
          </w:tcPr>
          <w:p>
            <w:pPr>
              <w:pStyle w:val="151"/>
              <w:rPr>
                <w:bCs w:val="0"/>
              </w:rPr>
            </w:pPr>
            <w:r>
              <w:rPr>
                <w:rFonts w:hint="eastAsia"/>
                <w:bCs w:val="0"/>
              </w:rPr>
              <w:t>蜀乡大道（含沱二桥）</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rFonts w:hint="eastAsia"/>
                <w:bCs w:val="0"/>
              </w:rPr>
              <w:t>4.86</w:t>
            </w:r>
          </w:p>
        </w:tc>
        <w:tc>
          <w:tcPr>
            <w:tcW w:w="2054" w:type="dxa"/>
            <w:tcBorders>
              <w:tl2br w:val="nil"/>
              <w:tr2bl w:val="nil"/>
            </w:tcBorders>
            <w:vAlign w:val="center"/>
          </w:tcPr>
          <w:p>
            <w:pPr>
              <w:pStyle w:val="151"/>
              <w:rPr>
                <w:bCs w:val="0"/>
              </w:rPr>
            </w:pPr>
            <w:r>
              <w:rPr>
                <w:rFonts w:hint="eastAsia"/>
                <w:bCs w:val="0"/>
              </w:rPr>
              <w:t>双向</w:t>
            </w:r>
            <w:r>
              <w:rPr>
                <w:bCs w:val="0"/>
              </w:rPr>
              <w:t>10</w:t>
            </w:r>
            <w:r>
              <w:rPr>
                <w:rFonts w:hint="eastAsia"/>
                <w:bCs w:val="0"/>
              </w:rPr>
              <w:t>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25" w:hRule="atLeast"/>
          <w:jc w:val="center"/>
        </w:trPr>
        <w:tc>
          <w:tcPr>
            <w:tcW w:w="1547" w:type="dxa"/>
            <w:tcBorders>
              <w:tl2br w:val="nil"/>
              <w:tr2bl w:val="nil"/>
            </w:tcBorders>
            <w:vAlign w:val="center"/>
          </w:tcPr>
          <w:p>
            <w:pPr>
              <w:pStyle w:val="151"/>
              <w:rPr>
                <w:bCs w:val="0"/>
              </w:rPr>
            </w:pPr>
            <w:r>
              <w:rPr>
                <w:rFonts w:hint="eastAsia"/>
                <w:bCs w:val="0"/>
              </w:rPr>
              <w:t>城南大道</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rFonts w:hint="eastAsia"/>
                <w:bCs w:val="0"/>
              </w:rPr>
              <w:t>5.77</w:t>
            </w:r>
          </w:p>
        </w:tc>
        <w:tc>
          <w:tcPr>
            <w:tcW w:w="2054" w:type="dxa"/>
            <w:tcBorders>
              <w:tl2br w:val="nil"/>
              <w:tr2bl w:val="nil"/>
            </w:tcBorders>
            <w:vAlign w:val="center"/>
          </w:tcPr>
          <w:p>
            <w:pPr>
              <w:pStyle w:val="151"/>
              <w:rPr>
                <w:bCs w:val="0"/>
              </w:rPr>
            </w:pPr>
            <w:r>
              <w:rPr>
                <w:rFonts w:hint="eastAsia"/>
                <w:bCs w:val="0"/>
              </w:rPr>
              <w:t>双向</w:t>
            </w:r>
            <w:r>
              <w:rPr>
                <w:bCs w:val="0"/>
              </w:rPr>
              <w:t>6</w:t>
            </w:r>
            <w:r>
              <w:rPr>
                <w:rFonts w:hint="eastAsia"/>
                <w:bCs w:val="0"/>
              </w:rPr>
              <w:t>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tl2br w:val="nil"/>
              <w:tr2bl w:val="nil"/>
            </w:tcBorders>
            <w:vAlign w:val="center"/>
          </w:tcPr>
          <w:p>
            <w:pPr>
              <w:pStyle w:val="151"/>
              <w:rPr>
                <w:bCs w:val="0"/>
              </w:rPr>
            </w:pPr>
            <w:r>
              <w:rPr>
                <w:rFonts w:hint="eastAsia"/>
                <w:bCs w:val="0"/>
              </w:rPr>
              <w:t>锦湾大道</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rFonts w:hint="eastAsia"/>
                <w:bCs w:val="0"/>
              </w:rPr>
              <w:t>2.66</w:t>
            </w:r>
          </w:p>
        </w:tc>
        <w:tc>
          <w:tcPr>
            <w:tcW w:w="2054" w:type="dxa"/>
            <w:tcBorders>
              <w:tl2br w:val="nil"/>
              <w:tr2bl w:val="nil"/>
            </w:tcBorders>
            <w:vAlign w:val="center"/>
          </w:tcPr>
          <w:p>
            <w:pPr>
              <w:pStyle w:val="151"/>
              <w:rPr>
                <w:bCs w:val="0"/>
              </w:rPr>
            </w:pPr>
            <w:r>
              <w:rPr>
                <w:rFonts w:hint="eastAsia"/>
                <w:bCs w:val="0"/>
              </w:rPr>
              <w:t>双向</w:t>
            </w:r>
            <w:r>
              <w:rPr>
                <w:bCs w:val="0"/>
              </w:rPr>
              <w:t>6</w:t>
            </w:r>
            <w:r>
              <w:rPr>
                <w:rFonts w:hint="eastAsia"/>
                <w:bCs w:val="0"/>
              </w:rPr>
              <w:t>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547" w:type="dxa"/>
            <w:tcBorders>
              <w:tl2br w:val="nil"/>
              <w:tr2bl w:val="nil"/>
            </w:tcBorders>
            <w:vAlign w:val="center"/>
          </w:tcPr>
          <w:p>
            <w:pPr>
              <w:pStyle w:val="151"/>
              <w:rPr>
                <w:bCs w:val="0"/>
              </w:rPr>
            </w:pPr>
            <w:r>
              <w:rPr>
                <w:bCs w:val="0"/>
              </w:rPr>
              <w:t>沱四桥和二环路北三段</w:t>
            </w:r>
            <w:r>
              <w:rPr>
                <w:rFonts w:hint="eastAsia"/>
                <w:bCs w:val="0"/>
              </w:rPr>
              <w:t>（中远期）</w:t>
            </w:r>
          </w:p>
        </w:tc>
        <w:tc>
          <w:tcPr>
            <w:tcW w:w="1830" w:type="dxa"/>
            <w:tcBorders>
              <w:tl2br w:val="nil"/>
              <w:tr2bl w:val="nil"/>
            </w:tcBorders>
            <w:vAlign w:val="center"/>
          </w:tcPr>
          <w:p>
            <w:pPr>
              <w:pStyle w:val="151"/>
              <w:rPr>
                <w:bCs w:val="0"/>
              </w:rPr>
            </w:pPr>
            <w:r>
              <w:rPr>
                <w:rFonts w:hint="eastAsia"/>
                <w:bCs w:val="0"/>
              </w:rPr>
              <w:t>公交专用道</w:t>
            </w:r>
          </w:p>
        </w:tc>
        <w:tc>
          <w:tcPr>
            <w:tcW w:w="2412" w:type="dxa"/>
            <w:tcBorders>
              <w:tl2br w:val="nil"/>
              <w:tr2bl w:val="nil"/>
            </w:tcBorders>
            <w:vAlign w:val="center"/>
          </w:tcPr>
          <w:p>
            <w:pPr>
              <w:pStyle w:val="151"/>
              <w:rPr>
                <w:bCs w:val="0"/>
              </w:rPr>
            </w:pPr>
            <w:r>
              <w:rPr>
                <w:rFonts w:hint="eastAsia"/>
                <w:bCs w:val="0"/>
              </w:rPr>
              <w:t>8.43</w:t>
            </w:r>
          </w:p>
        </w:tc>
        <w:tc>
          <w:tcPr>
            <w:tcW w:w="2054" w:type="dxa"/>
            <w:tcBorders>
              <w:tl2br w:val="nil"/>
              <w:tr2bl w:val="nil"/>
            </w:tcBorders>
            <w:vAlign w:val="center"/>
          </w:tcPr>
          <w:p>
            <w:pPr>
              <w:pStyle w:val="151"/>
              <w:rPr>
                <w:bCs w:val="0"/>
              </w:rPr>
            </w:pPr>
            <w:r>
              <w:rPr>
                <w:rFonts w:hint="eastAsia"/>
                <w:bCs w:val="0"/>
              </w:rPr>
              <w:t>双向</w:t>
            </w:r>
            <w:r>
              <w:rPr>
                <w:bCs w:val="0"/>
              </w:rPr>
              <w:t>10</w:t>
            </w:r>
            <w:r>
              <w:rPr>
                <w:rFonts w:hint="eastAsia"/>
                <w:bCs w:val="0"/>
              </w:rPr>
              <w:t>车道</w:t>
            </w:r>
          </w:p>
        </w:tc>
      </w:tr>
    </w:tbl>
    <w:p>
      <w:pPr>
        <w:ind w:firstLine="0" w:firstLineChars="0"/>
        <w:jc w:val="center"/>
      </w:pPr>
      <w:r>
        <w:drawing>
          <wp:inline distT="0" distB="0" distL="0" distR="0">
            <wp:extent cx="3178810" cy="3267710"/>
            <wp:effectExtent l="19050" t="19050" r="21590" b="279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97"/>
                    <a:srcRect l="21947" t="29357" r="7511" b="21655"/>
                    <a:stretch>
                      <a:fillRect/>
                    </a:stretch>
                  </pic:blipFill>
                  <pic:spPr>
                    <a:xfrm>
                      <a:off x="0" y="0"/>
                      <a:ext cx="3180546" cy="3269618"/>
                    </a:xfrm>
                    <a:prstGeom prst="rect">
                      <a:avLst/>
                    </a:prstGeom>
                    <a:ln w="6350">
                      <a:solidFill>
                        <a:schemeClr val="tx1"/>
                      </a:solidFill>
                    </a:ln>
                  </pic:spPr>
                </pic:pic>
              </a:graphicData>
            </a:graphic>
          </wp:inline>
        </w:drawing>
      </w:r>
    </w:p>
    <w:p>
      <w:pPr>
        <w:pStyle w:val="117"/>
      </w:pPr>
      <w:r>
        <w:rPr>
          <w:rFonts w:hint="eastAsia"/>
        </w:rPr>
        <w:t>图7-</w:t>
      </w:r>
      <w:r>
        <w:t>2</w:t>
      </w:r>
      <w:r>
        <w:rPr>
          <w:rFonts w:hint="eastAsia"/>
        </w:rPr>
        <w:t xml:space="preserve">  </w:t>
      </w:r>
      <w:r>
        <w:t>公交专用道规划方案图</w:t>
      </w:r>
      <w:r>
        <w:rPr>
          <w:rFonts w:hint="eastAsia"/>
        </w:rPr>
        <w:t>（虚线为在建道路）</w:t>
      </w:r>
    </w:p>
    <w:p>
      <w:pPr>
        <w:pStyle w:val="4"/>
        <w:spacing w:before="163" w:after="163"/>
      </w:pPr>
      <w:bookmarkStart w:id="215" w:name="_Toc4004"/>
      <w:bookmarkStart w:id="216" w:name="_Toc518573713"/>
      <w:r>
        <w:rPr>
          <w:rFonts w:hint="eastAsia"/>
        </w:rPr>
        <w:t>7.</w:t>
      </w:r>
      <w:r>
        <w:t>5</w:t>
      </w:r>
      <w:r>
        <w:rPr>
          <w:rFonts w:hint="eastAsia"/>
        </w:rPr>
        <w:t xml:space="preserve"> 实施建议</w:t>
      </w:r>
      <w:bookmarkEnd w:id="215"/>
      <w:bookmarkEnd w:id="216"/>
    </w:p>
    <w:p>
      <w:pPr>
        <w:ind w:firstLine="480"/>
      </w:pPr>
      <w:r>
        <w:rPr>
          <w:rFonts w:hint="eastAsia"/>
        </w:rPr>
        <w:t>（1）增设公交专用道标识，地面以黄实线和虚线加以表示，或将车道颜色加以填充进行区分；</w:t>
      </w:r>
    </w:p>
    <w:p>
      <w:pPr>
        <w:ind w:firstLine="480"/>
      </w:pPr>
      <w:r>
        <w:rPr>
          <w:rFonts w:hint="eastAsia"/>
        </w:rPr>
        <w:t>（2）公交专用道站台的布设形式应与道路断面型式相适应，尽可能采用港湾式停靠站；</w:t>
      </w:r>
    </w:p>
    <w:p>
      <w:pPr>
        <w:ind w:firstLine="480"/>
        <w:sectPr>
          <w:pgSz w:w="11906" w:h="16838"/>
          <w:pgMar w:top="1440" w:right="1800" w:bottom="1440" w:left="1800" w:header="851" w:footer="992" w:gutter="0"/>
          <w:cols w:space="720" w:num="1"/>
          <w:docGrid w:type="lines" w:linePitch="326" w:charSpace="0"/>
        </w:sectPr>
      </w:pPr>
      <w:r>
        <w:rPr>
          <w:rFonts w:hint="eastAsia"/>
        </w:rPr>
        <w:t>（3）在中心城区部分客流量大，但道路条件难以满足公交专用道设置的路段，建议采用交叉口公交优先的模式，如调整信号周期、使用公交车辆感应信号、增设公交专用相位等。</w:t>
      </w:r>
    </w:p>
    <w:p>
      <w:pPr>
        <w:pStyle w:val="2"/>
        <w:spacing w:before="163" w:after="163"/>
      </w:pPr>
      <w:bookmarkStart w:id="217" w:name="_Toc353059427"/>
      <w:bookmarkStart w:id="218" w:name="_Toc518573714"/>
      <w:bookmarkStart w:id="219" w:name="_Toc503152856"/>
      <w:bookmarkStart w:id="220" w:name="_Toc357850378"/>
      <w:bookmarkStart w:id="221" w:name="_Toc503152863"/>
      <w:bookmarkStart w:id="222" w:name="_Toc347948436"/>
      <w:bookmarkStart w:id="223" w:name="_Toc344561089"/>
      <w:r>
        <w:rPr>
          <w:rFonts w:hint="eastAsia"/>
        </w:rPr>
        <w:t>第</w:t>
      </w:r>
      <w:r>
        <w:t>8</w:t>
      </w:r>
      <w:r>
        <w:rPr>
          <w:rFonts w:hint="eastAsia"/>
        </w:rPr>
        <w:t>章  城市公交运力发展规划</w:t>
      </w:r>
      <w:bookmarkEnd w:id="217"/>
      <w:bookmarkEnd w:id="218"/>
      <w:bookmarkEnd w:id="219"/>
    </w:p>
    <w:p>
      <w:pPr>
        <w:spacing w:before="180" w:after="180"/>
        <w:ind w:firstLine="480"/>
      </w:pPr>
      <w:bookmarkStart w:id="224" w:name="_Toc503152858"/>
      <w:r>
        <w:rPr>
          <w:rFonts w:hint="eastAsia"/>
        </w:rPr>
        <w:t>公交车辆是承担城市公交运输任务的主体，城市公交车辆总规模和各条线路配车数的确定、各线路车型的选择和配备，直接关系到规划公交线网运能的发挥和线路的运输效率以及经济效益，也是公交规划场、站、厂以及企业规模确定的依据。</w:t>
      </w:r>
    </w:p>
    <w:p>
      <w:pPr>
        <w:pStyle w:val="4"/>
        <w:spacing w:before="163" w:after="163"/>
      </w:pPr>
      <w:bookmarkStart w:id="225" w:name="_Toc518573715"/>
      <w:r>
        <w:t>8</w:t>
      </w:r>
      <w:r>
        <w:rPr>
          <w:rFonts w:hint="eastAsia"/>
        </w:rPr>
        <w:t>.1</w:t>
      </w:r>
      <w:r>
        <w:t xml:space="preserve"> </w:t>
      </w:r>
      <w:r>
        <w:rPr>
          <w:rFonts w:hint="eastAsia"/>
        </w:rPr>
        <w:t>车辆规模指标要求</w:t>
      </w:r>
      <w:bookmarkEnd w:id="224"/>
      <w:bookmarkEnd w:id="225"/>
    </w:p>
    <w:p>
      <w:pPr>
        <w:spacing w:before="180" w:after="180"/>
        <w:ind w:firstLine="480"/>
      </w:pPr>
      <w:bookmarkStart w:id="226" w:name="_Toc503152859"/>
      <w:r>
        <w:rPr>
          <w:rFonts w:hint="eastAsia"/>
        </w:rPr>
        <w:t>根据我国《城市道路交通规划设计规范》（GB50220—95）中规定，城市公共汽车和电车的规模拥有量，大城市应为每800～1000人一辆标准车，中、小城市应为每1200～1500人一辆标准车（即7～8标台</w:t>
      </w:r>
      <w:r>
        <w:t>/</w:t>
      </w:r>
      <w:r>
        <w:rPr>
          <w:rFonts w:hint="eastAsia"/>
        </w:rPr>
        <w:t>万人）。此外，《四川省城市公交发展规划纲要》针对中、小规模城市提出公交车辆发展规划目标分别为10～12标台/万人和8～10标台/万人。</w:t>
      </w:r>
    </w:p>
    <w:bookmarkEnd w:id="226"/>
    <w:p>
      <w:pPr>
        <w:pStyle w:val="4"/>
        <w:spacing w:before="163" w:after="163"/>
      </w:pPr>
      <w:bookmarkStart w:id="227" w:name="_Toc514171319"/>
      <w:r>
        <w:t>8</w:t>
      </w:r>
      <w:r>
        <w:rPr>
          <w:rFonts w:hint="eastAsia"/>
        </w:rPr>
        <w:t>.2</w:t>
      </w:r>
      <w:r>
        <w:t xml:space="preserve"> </w:t>
      </w:r>
      <w:r>
        <w:rPr>
          <w:rFonts w:hint="eastAsia"/>
        </w:rPr>
        <w:t>车辆规模发展规划</w:t>
      </w:r>
      <w:bookmarkEnd w:id="227"/>
    </w:p>
    <w:p>
      <w:pPr>
        <w:spacing w:before="180" w:after="180"/>
        <w:ind w:firstLine="480"/>
      </w:pPr>
      <w:r>
        <w:rPr>
          <w:rFonts w:hint="eastAsia"/>
        </w:rPr>
        <w:t>截至2017年底，资阳市中心城区现有营运公交车辆</w:t>
      </w:r>
      <w:r>
        <w:t>206</w:t>
      </w:r>
      <w:r>
        <w:rPr>
          <w:rFonts w:hint="eastAsia"/>
        </w:rPr>
        <w:t>辆，折合</w:t>
      </w:r>
      <w:r>
        <w:t>267.8</w:t>
      </w:r>
      <w:r>
        <w:rPr>
          <w:rFonts w:hint="eastAsia"/>
        </w:rPr>
        <w:t>标台，按中心城区（雁江区）人口</w:t>
      </w:r>
      <w:r>
        <w:t>35.0</w:t>
      </w:r>
      <w:r>
        <w:rPr>
          <w:rFonts w:hint="eastAsia"/>
        </w:rPr>
        <w:t>万人计，则中心城区公交车拥有量水平为</w:t>
      </w:r>
      <w:r>
        <w:t>7.7标台</w:t>
      </w:r>
      <w:r>
        <w:rPr>
          <w:rFonts w:hint="eastAsia"/>
        </w:rPr>
        <w:t>/万人，不符合</w:t>
      </w:r>
      <w:r>
        <w:t xml:space="preserve">国家标准规范。 </w:t>
      </w:r>
    </w:p>
    <w:p>
      <w:pPr>
        <w:spacing w:before="180" w:after="180"/>
        <w:ind w:firstLine="480"/>
      </w:pPr>
      <w:r>
        <w:rPr>
          <w:rFonts w:hint="eastAsia"/>
        </w:rPr>
        <w:t>预计2020年中心城区总人口预计达到</w:t>
      </w:r>
      <w:r>
        <w:t>51</w:t>
      </w:r>
      <w:r>
        <w:rPr>
          <w:rFonts w:hint="eastAsia"/>
        </w:rPr>
        <w:t>万人，2030年为</w:t>
      </w:r>
      <w:r>
        <w:t>87</w:t>
      </w:r>
      <w:r>
        <w:rPr>
          <w:rFonts w:hint="eastAsia"/>
        </w:rPr>
        <w:t>万人。根据相关规划和规范，同时依据实际调研的客流情况，结合规划的各条公交线路运营里程、发车频率和道路情况，最终确定各条线路各阶段的车辆台数，运力具体配置如表</w:t>
      </w:r>
      <w:r>
        <w:t>8</w:t>
      </w:r>
      <w:r>
        <w:rPr>
          <w:rFonts w:hint="eastAsia"/>
        </w:rPr>
        <w:t>-1所示。</w:t>
      </w:r>
    </w:p>
    <w:p>
      <w:pPr>
        <w:spacing w:before="180" w:after="180"/>
        <w:ind w:firstLine="480"/>
      </w:pPr>
      <w:r>
        <w:rPr>
          <w:rFonts w:hint="eastAsia"/>
        </w:rPr>
        <w:t>近期资阳市中心城区公交车辆总数达</w:t>
      </w:r>
      <w:r>
        <w:t>440</w:t>
      </w:r>
      <w:r>
        <w:rPr>
          <w:rFonts w:hint="eastAsia"/>
        </w:rPr>
        <w:t>辆，折合</w:t>
      </w:r>
      <w:r>
        <w:t>536</w:t>
      </w:r>
      <w:r>
        <w:rPr>
          <w:rFonts w:hint="eastAsia"/>
        </w:rPr>
        <w:t>标台，中心城区公交车辆万人拥有量为</w:t>
      </w:r>
      <w:r>
        <w:t>11.2</w:t>
      </w:r>
      <w:r>
        <w:rPr>
          <w:rFonts w:hint="eastAsia"/>
        </w:rPr>
        <w:t>标台/万人；中远期资阳市中心城区公交车辆总数达</w:t>
      </w:r>
      <w:r>
        <w:t>785</w:t>
      </w:r>
      <w:r>
        <w:rPr>
          <w:rFonts w:hint="eastAsia"/>
        </w:rPr>
        <w:t>辆，折合</w:t>
      </w:r>
      <w:r>
        <w:t>1001</w:t>
      </w:r>
      <w:r>
        <w:rPr>
          <w:rFonts w:hint="eastAsia"/>
        </w:rPr>
        <w:t>标台，中心城区公交车辆万人拥有量为</w:t>
      </w:r>
      <w:r>
        <w:t>11.7</w:t>
      </w:r>
      <w:r>
        <w:rPr>
          <w:rFonts w:hint="eastAsia"/>
        </w:rPr>
        <w:t>标台/万人，符合国家相关标准。</w:t>
      </w:r>
    </w:p>
    <w:p>
      <w:pPr>
        <w:ind w:firstLine="480"/>
      </w:pPr>
    </w:p>
    <w:p>
      <w:pPr>
        <w:ind w:firstLine="480"/>
      </w:pPr>
    </w:p>
    <w:p>
      <w:pPr>
        <w:pStyle w:val="113"/>
        <w:spacing w:before="163" w:after="163"/>
      </w:pPr>
      <w:r>
        <w:rPr>
          <w:rFonts w:hint="eastAsia"/>
        </w:rPr>
        <w:t>表</w:t>
      </w:r>
      <w:r>
        <w:t>8</w:t>
      </w:r>
      <w:r>
        <w:rPr>
          <w:rFonts w:hint="eastAsia"/>
        </w:rPr>
        <w:t>-</w:t>
      </w:r>
      <w:r>
        <w:t>1</w:t>
      </w:r>
      <w:r>
        <w:rPr>
          <w:rFonts w:hint="eastAsia"/>
        </w:rPr>
        <w:t xml:space="preserve"> </w:t>
      </w:r>
      <w:r>
        <w:t xml:space="preserve"> </w:t>
      </w:r>
      <w:r>
        <w:rPr>
          <w:rFonts w:hint="eastAsia"/>
        </w:rPr>
        <w:t>资阳市城区规划公交线路车辆规模配置表</w:t>
      </w:r>
    </w:p>
    <w:tbl>
      <w:tblPr>
        <w:tblStyle w:val="94"/>
        <w:tblW w:w="8640"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080"/>
        <w:gridCol w:w="1080"/>
        <w:gridCol w:w="1080"/>
        <w:gridCol w:w="1080"/>
        <w:gridCol w:w="1080"/>
        <w:gridCol w:w="1080"/>
        <w:gridCol w:w="1080"/>
        <w:gridCol w:w="108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780" w:hRule="atLeast"/>
        </w:trPr>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线路类型</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线路编号</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阶段</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线路长度（公里）</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车辆</w:t>
            </w:r>
            <w:r>
              <w:rPr>
                <w:rFonts w:cs="Times New Roman"/>
                <w:b/>
                <w:bCs/>
                <w:color w:val="000000"/>
                <w:sz w:val="21"/>
                <w:szCs w:val="21"/>
              </w:rPr>
              <w:t>(</w:t>
            </w:r>
            <w:r>
              <w:rPr>
                <w:rFonts w:hint="eastAsia" w:ascii="宋体" w:hAnsi="宋体" w:cs="宋体"/>
                <w:b/>
                <w:bCs/>
                <w:color w:val="000000"/>
                <w:sz w:val="21"/>
                <w:szCs w:val="21"/>
              </w:rPr>
              <w:t>辆</w:t>
            </w:r>
            <w:r>
              <w:rPr>
                <w:rFonts w:cs="Times New Roman"/>
                <w:b/>
                <w:bCs/>
                <w:color w:val="000000"/>
                <w:sz w:val="21"/>
                <w:szCs w:val="21"/>
              </w:rPr>
              <w:t>)</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运营速度（公里</w:t>
            </w:r>
            <w:r>
              <w:rPr>
                <w:rFonts w:cs="Times New Roman"/>
                <w:b/>
                <w:bCs/>
                <w:color w:val="000000"/>
                <w:sz w:val="21"/>
                <w:szCs w:val="21"/>
              </w:rPr>
              <w:t>/</w:t>
            </w:r>
            <w:r>
              <w:rPr>
                <w:rFonts w:hint="eastAsia" w:ascii="宋体" w:hAnsi="宋体" w:cs="宋体"/>
                <w:b/>
                <w:bCs/>
                <w:color w:val="000000"/>
                <w:sz w:val="21"/>
                <w:szCs w:val="21"/>
              </w:rPr>
              <w:t>小时）</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休息时间（分钟）</w:t>
            </w:r>
          </w:p>
        </w:tc>
        <w:tc>
          <w:tcPr>
            <w:tcW w:w="1080" w:type="dxa"/>
            <w:vMerge w:val="restart"/>
            <w:shd w:val="clear" w:color="000000" w:fill="CCC0D9"/>
            <w:vAlign w:val="center"/>
          </w:tcPr>
          <w:p>
            <w:pPr>
              <w:adjustRightInd/>
              <w:snapToGrid/>
              <w:spacing w:before="0" w:after="0" w:line="240" w:lineRule="auto"/>
              <w:ind w:firstLine="0" w:firstLineChars="0"/>
              <w:jc w:val="center"/>
              <w:rPr>
                <w:rFonts w:ascii="宋体" w:hAnsi="宋体" w:cs="宋体"/>
                <w:b/>
                <w:bCs/>
                <w:color w:val="000000"/>
                <w:sz w:val="21"/>
                <w:szCs w:val="21"/>
              </w:rPr>
            </w:pPr>
            <w:r>
              <w:rPr>
                <w:rFonts w:hint="eastAsia" w:ascii="宋体" w:hAnsi="宋体" w:cs="宋体"/>
                <w:b/>
                <w:bCs/>
                <w:color w:val="000000"/>
                <w:sz w:val="21"/>
                <w:szCs w:val="21"/>
              </w:rPr>
              <w:t>高峰发车间隔（分钟）</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2"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ascii="宋体" w:hAnsi="宋体" w:cs="宋体"/>
                <w:b/>
                <w:bCs/>
                <w:color w:val="000000"/>
                <w:sz w:val="21"/>
                <w:szCs w:val="21"/>
              </w:rPr>
            </w:pP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00" w:hRule="atLeast"/>
        </w:trPr>
        <w:tc>
          <w:tcPr>
            <w:tcW w:w="1080" w:type="dxa"/>
            <w:vMerge w:val="restart"/>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快线</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K1</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9.58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13.43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K2</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9.23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8.86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K3</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12.03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K4</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18.46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22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restart"/>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干线</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12.15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19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13</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23</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27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3</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10.03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13</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23</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16.50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35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6</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13.95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22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13</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23</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30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17.16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26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13</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23</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18.12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38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restart"/>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支线</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17.11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33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46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4</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15.99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31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43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15.08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29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41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8</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10.09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21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13.33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37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9</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17.45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33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47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15.44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hint="eastAsia" w:cs="Times New Roman"/>
                <w:color w:val="000000"/>
                <w:sz w:val="21"/>
                <w:szCs w:val="21"/>
              </w:rPr>
              <w:t xml:space="preserve">30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hint="eastAsia" w:cs="Times New Roman"/>
                <w:color w:val="000000"/>
                <w:sz w:val="21"/>
                <w:szCs w:val="21"/>
              </w:rPr>
              <w:t xml:space="preserve">42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11</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16.40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32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17.27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46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12</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6.36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14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20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14</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15.63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30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43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15</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20.39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54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16</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13.26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26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16.05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44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17</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2"/>
              </w:rPr>
            </w:pPr>
            <w:r>
              <w:rPr>
                <w:rFonts w:hint="eastAsia" w:ascii="宋体" w:hAnsi="宋体" w:cs="宋体"/>
                <w:color w:val="000000"/>
                <w:sz w:val="22"/>
              </w:rPr>
              <w:t xml:space="preserve">9.30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20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14.15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39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18</w:t>
            </w:r>
            <w:r>
              <w:rPr>
                <w:rFonts w:hint="eastAsia" w:ascii="宋体" w:hAnsi="宋体" w:cs="Times New Roman"/>
                <w:color w:val="000000"/>
                <w:sz w:val="21"/>
                <w:szCs w:val="21"/>
              </w:rPr>
              <w:t>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16.15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31 </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44 </w:t>
            </w: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restart"/>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19路</w:t>
            </w: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近期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85" w:hRule="atLeast"/>
        </w:trPr>
        <w:tc>
          <w:tcPr>
            <w:tcW w:w="1080" w:type="dxa"/>
            <w:vMerge w:val="continue"/>
            <w:vAlign w:val="center"/>
          </w:tcPr>
          <w:p>
            <w:pPr>
              <w:adjustRightInd/>
              <w:snapToGrid/>
              <w:spacing w:before="0" w:after="0" w:line="240" w:lineRule="auto"/>
              <w:ind w:firstLine="0" w:firstLineChars="0"/>
              <w:jc w:val="left"/>
              <w:rPr>
                <w:rFonts w:ascii="宋体" w:hAnsi="宋体" w:cs="宋体"/>
                <w:color w:val="000000"/>
                <w:sz w:val="21"/>
                <w:szCs w:val="21"/>
              </w:rPr>
            </w:pPr>
          </w:p>
        </w:tc>
        <w:tc>
          <w:tcPr>
            <w:tcW w:w="1080" w:type="dxa"/>
            <w:vMerge w:val="continue"/>
            <w:vAlign w:val="center"/>
          </w:tcPr>
          <w:p>
            <w:pPr>
              <w:adjustRightInd/>
              <w:snapToGrid/>
              <w:spacing w:before="0" w:after="0" w:line="240" w:lineRule="auto"/>
              <w:ind w:firstLine="0" w:firstLineChars="0"/>
              <w:jc w:val="left"/>
              <w:rPr>
                <w:rFonts w:cs="Times New Roman"/>
                <w:color w:val="000000"/>
                <w:sz w:val="21"/>
                <w:szCs w:val="21"/>
              </w:rPr>
            </w:pPr>
          </w:p>
        </w:tc>
        <w:tc>
          <w:tcPr>
            <w:tcW w:w="1080" w:type="dxa"/>
            <w:shd w:val="clear" w:color="auto" w:fill="auto"/>
            <w:vAlign w:val="center"/>
          </w:tcPr>
          <w:p>
            <w:pPr>
              <w:adjustRightInd/>
              <w:snapToGrid/>
              <w:spacing w:before="0" w:after="0" w:line="240" w:lineRule="auto"/>
              <w:ind w:firstLine="0" w:firstLineChars="0"/>
              <w:jc w:val="center"/>
              <w:rPr>
                <w:rFonts w:ascii="宋体" w:hAnsi="宋体" w:cs="宋体"/>
                <w:color w:val="000000"/>
                <w:sz w:val="21"/>
                <w:szCs w:val="21"/>
              </w:rPr>
            </w:pPr>
            <w:r>
              <w:rPr>
                <w:rFonts w:hint="eastAsia" w:ascii="宋体" w:hAnsi="宋体" w:cs="宋体"/>
                <w:color w:val="000000"/>
                <w:sz w:val="21"/>
                <w:szCs w:val="21"/>
              </w:rPr>
              <w:t>中远期</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15.07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 xml:space="preserve">41 </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10</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25</w:t>
            </w:r>
          </w:p>
        </w:tc>
        <w:tc>
          <w:tcPr>
            <w:tcW w:w="1080" w:type="dxa"/>
            <w:shd w:val="clear" w:color="auto" w:fill="auto"/>
            <w:vAlign w:val="center"/>
          </w:tcPr>
          <w:p>
            <w:pPr>
              <w:adjustRightInd/>
              <w:snapToGrid/>
              <w:spacing w:before="0" w:after="0" w:line="240" w:lineRule="auto"/>
              <w:ind w:firstLine="0" w:firstLineChars="0"/>
              <w:jc w:val="center"/>
              <w:rPr>
                <w:rFonts w:cs="Times New Roman"/>
                <w:color w:val="000000"/>
                <w:sz w:val="21"/>
                <w:szCs w:val="21"/>
              </w:rPr>
            </w:pPr>
            <w:r>
              <w:rPr>
                <w:rFonts w:cs="Times New Roman"/>
                <w:color w:val="000000"/>
                <w:sz w:val="21"/>
                <w:szCs w:val="21"/>
              </w:rPr>
              <w:t>5</w:t>
            </w:r>
          </w:p>
        </w:tc>
      </w:tr>
    </w:tbl>
    <w:p>
      <w:pPr>
        <w:spacing w:before="156" w:after="156"/>
        <w:ind w:firstLine="0" w:firstLineChars="0"/>
        <w:sectPr>
          <w:footerReference r:id="rId13" w:type="first"/>
          <w:footerReference r:id="rId11" w:type="default"/>
          <w:headerReference r:id="rId10" w:type="even"/>
          <w:footerReference r:id="rId12" w:type="even"/>
          <w:pgSz w:w="11906" w:h="16838"/>
          <w:pgMar w:top="1440" w:right="1800" w:bottom="1440" w:left="1800" w:header="737" w:footer="708" w:gutter="0"/>
          <w:cols w:space="708" w:num="1"/>
          <w:docGrid w:type="lines" w:linePitch="360" w:charSpace="0"/>
        </w:sectPr>
      </w:pPr>
    </w:p>
    <w:p>
      <w:pPr>
        <w:pStyle w:val="2"/>
        <w:spacing w:before="163" w:after="163"/>
      </w:pPr>
      <w:bookmarkStart w:id="228" w:name="_Toc514171320"/>
      <w:bookmarkStart w:id="229" w:name="_Toc518573717"/>
      <w:r>
        <w:t>第9章  城市公交信息化规划</w:t>
      </w:r>
      <w:bookmarkEnd w:id="228"/>
    </w:p>
    <w:p>
      <w:pPr>
        <w:pStyle w:val="4"/>
        <w:rPr>
          <w:rFonts w:cs="Times New Roman"/>
        </w:rPr>
      </w:pPr>
      <w:r>
        <w:rPr>
          <w:rFonts w:cs="Times New Roman"/>
        </w:rPr>
        <w:t>9.1 发展现状</w:t>
      </w:r>
    </w:p>
    <w:p>
      <w:pPr>
        <w:spacing w:before="180" w:after="180"/>
        <w:ind w:firstLine="480"/>
        <w:rPr>
          <w:rFonts w:cs="Times New Roman"/>
        </w:rPr>
      </w:pPr>
      <w:r>
        <w:rPr>
          <w:rFonts w:cs="Times New Roman"/>
        </w:rPr>
        <w:t>通过调研发现，资阳市公交信息化建设尚处于起步发展阶段，初步完成了IC卡电子收费系统等，大大提高了公交运营效率，提升了公交服务水平及车辆维修等方面的管理能力，可基本实现以GPS调度系统为中心的涉及运营生产管理、安全监控及维修、物资管理的智能公交系统。</w:t>
      </w:r>
    </w:p>
    <w:p>
      <w:pPr>
        <w:spacing w:before="180" w:after="180"/>
        <w:ind w:firstLine="480"/>
        <w:rPr>
          <w:rFonts w:cs="Times New Roman"/>
        </w:rPr>
      </w:pPr>
      <w:r>
        <w:rPr>
          <w:rFonts w:cs="Times New Roman"/>
        </w:rPr>
        <w:t>与此同时，资阳市的公交信息化水平仍需进一步完善。中心城区尚未建设电子站牌，公交车内无电子报站显示屏，部分公交车内无语音报站设施，信息化现状未能有效满足乘客出行需求，人性化服务水平有待进一步提高。资阳市公共交通系统在未来的发展建设中，应紧跟信息技术的发展脚步，更加完善和优化公共交通的信息化建设，实现公共交通系统智能化、信息化、现代化的发展。</w:t>
      </w:r>
    </w:p>
    <w:p>
      <w:pPr>
        <w:pStyle w:val="4"/>
        <w:rPr>
          <w:rFonts w:cs="Times New Roman"/>
        </w:rPr>
      </w:pPr>
      <w:r>
        <w:rPr>
          <w:rFonts w:cs="Times New Roman"/>
        </w:rPr>
        <w:t>9</w:t>
      </w:r>
      <w:r>
        <w:rPr>
          <w:rFonts w:hint="eastAsia" w:cs="Times New Roman"/>
        </w:rPr>
        <w:t>.</w:t>
      </w:r>
      <w:r>
        <w:rPr>
          <w:rFonts w:cs="Times New Roman"/>
        </w:rPr>
        <w:t>2 规划内容</w:t>
      </w:r>
    </w:p>
    <w:p>
      <w:pPr>
        <w:spacing w:before="180" w:after="180"/>
        <w:ind w:firstLine="480"/>
        <w:rPr>
          <w:rFonts w:cs="Times New Roman"/>
        </w:rPr>
      </w:pPr>
      <w:r>
        <w:rPr>
          <w:rFonts w:cs="Times New Roman"/>
        </w:rPr>
        <w:t>在公交信息化建设方面，本规划将分为以下三个阶段进行实施。</w:t>
      </w:r>
    </w:p>
    <w:p>
      <w:pPr>
        <w:spacing w:before="180" w:after="180"/>
        <w:ind w:firstLine="480"/>
        <w:rPr>
          <w:rFonts w:cs="Times New Roman"/>
        </w:rPr>
      </w:pPr>
      <w:r>
        <w:rPr>
          <w:rFonts w:cs="Times New Roman"/>
        </w:rPr>
        <w:t>第一阶段：进一步拓展完善现有的IC卡系统，实现IC卡系统消费数据无线实时上传和黑名单的无线实时下载，同时进行公交调度指挥中心、电子站牌、车内LED电子信息显示系统的同步完善建设。</w:t>
      </w:r>
      <w:r>
        <w:rPr>
          <w:rFonts w:hint="eastAsia" w:cs="Times New Roman"/>
        </w:rPr>
        <w:t>并借鉴四川省各市（州）的公交优惠政策，实施I</w:t>
      </w:r>
      <w:r>
        <w:rPr>
          <w:rFonts w:cs="Times New Roman"/>
        </w:rPr>
        <w:t>C</w:t>
      </w:r>
      <w:r>
        <w:rPr>
          <w:rFonts w:hint="eastAsia" w:cs="Times New Roman"/>
        </w:rPr>
        <w:t>卡乘坐公交适当优惠，并在此基础上对学生卡、老年卡等用户进行进一步优惠。</w:t>
      </w:r>
      <w:r>
        <w:rPr>
          <w:rFonts w:cs="Times New Roman"/>
        </w:rPr>
        <w:t>截止2020年，实现市域范围内各大调度中心的互通通信通道的建设，进一步实现公交线网及车辆的综合调度与指挥</w:t>
      </w:r>
      <w:r>
        <w:rPr>
          <w:rFonts w:hint="eastAsia" w:cs="Times New Roman"/>
        </w:rPr>
        <w:t>，公交卡实行学生卡老年卡5折、普通市民卡8折，并同步实施城市公交一小时内免费第二次换乘优惠政策。</w:t>
      </w:r>
    </w:p>
    <w:p>
      <w:pPr>
        <w:spacing w:before="180" w:after="180"/>
        <w:ind w:firstLine="480"/>
        <w:rPr>
          <w:rFonts w:cs="Times New Roman"/>
        </w:rPr>
      </w:pPr>
      <w:r>
        <w:rPr>
          <w:rFonts w:cs="Times New Roman"/>
        </w:rPr>
        <w:t>第二阶段：在第一阶段的建设成果基础上，建设城市综合调度指挥中心，进一步完善智能调度系统、图像信息管理系统，重点建立出行信息发布系统中的信息查询子系统，如完善公司网页建设，推出公交信息查询的手机APP，为出行者提供各种相关公共交通信息和服务信息，方便人们利用公交出行。截止2020年底，</w:t>
      </w:r>
      <w:r>
        <w:rPr>
          <w:rFonts w:hint="eastAsia" w:cs="Times New Roman"/>
        </w:rPr>
        <w:t>公交信息化实现人、车、线全覆盖，投入使用公交运营智能调度系统和手机APP系统，实现城市核心区港湾式电子公交站台的全覆盖，建成公交ERP综合信息系统。搭建资阳城市公交APP系统和微信公众服务信息平台，实现市民利用手机实时查询公交线路、公交车辆运行轨迹等公交出行信息，准确掌握公交车到站时间。</w:t>
      </w:r>
      <w:r>
        <w:rPr>
          <w:rFonts w:cs="Times New Roman"/>
        </w:rPr>
        <w:t>进一步实现车辆运行位置的可视化、车辆调度的科学化、营运数据统计的自动化、车速监控的全程化、公交服务的标准化，全面提高公交运营的管理水平，为乘客提供更加智能化、人性化的服务。</w:t>
      </w:r>
    </w:p>
    <w:p>
      <w:pPr>
        <w:spacing w:before="180" w:after="180"/>
        <w:ind w:firstLine="480"/>
        <w:rPr>
          <w:rFonts w:cs="Times New Roman"/>
        </w:rPr>
      </w:pPr>
      <w:r>
        <w:rPr>
          <w:rFonts w:cs="Times New Roman"/>
        </w:rPr>
        <w:t>第三阶段：在逐步完善前面两阶段建设成果的基础上，实现主要公交场站现代化视频监控中心的建设，完善3G视频监控，建立覆盖全面的视频监控网络，全面提升车辆及场站公共安全管理水平；同时打造公交信号优先系统，通过无线射频技术将公交车辆运行信息发送给无线射频识别器，识别器在收到信息后将处理的车辆信息发送给信号控制中心，由信号控制中心判断是否有必要采用公交优先信号，并确定信号优先控制方案，从而为公交车辆提供优先通行权利，确保公交优先落到实处，提高公交车辆准点率和吸引力。截至2030年底，全面实现公交调度的实时智能，运营的科学高效，出行的舒适快捷。</w:t>
      </w:r>
    </w:p>
    <w:p>
      <w:pPr>
        <w:pStyle w:val="134"/>
        <w:spacing w:beforeLines="0"/>
        <w:rPr>
          <w:rFonts w:ascii="Times New Roman" w:hAnsi="Times New Roman"/>
        </w:rPr>
      </w:pPr>
      <w:r>
        <w:rPr>
          <w:rFonts w:ascii="Times New Roman" w:hAnsi="Times New Roman"/>
        </w:rPr>
        <w:drawing>
          <wp:inline distT="0" distB="0" distL="0" distR="0">
            <wp:extent cx="4200525" cy="2125980"/>
            <wp:effectExtent l="19050" t="19050" r="9525" b="2667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98" cstate="print">
                      <a:extLst>
                        <a:ext uri="{28A0092B-C50C-407E-A947-70E740481C1C}">
                          <a14:useLocalDpi xmlns:a14="http://schemas.microsoft.com/office/drawing/2010/main" val="0"/>
                        </a:ext>
                      </a:extLst>
                    </a:blip>
                    <a:srcRect t="8881"/>
                    <a:stretch>
                      <a:fillRect/>
                    </a:stretch>
                  </pic:blipFill>
                  <pic:spPr>
                    <a:xfrm>
                      <a:off x="0" y="0"/>
                      <a:ext cx="4207670" cy="2130171"/>
                    </a:xfrm>
                    <a:prstGeom prst="rect">
                      <a:avLst/>
                    </a:prstGeom>
                    <a:noFill/>
                    <a:ln w="9525" cap="flat" cmpd="sng" algn="ctr">
                      <a:solidFill>
                        <a:sysClr val="windowText" lastClr="000000"/>
                      </a:solidFill>
                      <a:prstDash val="solid"/>
                      <a:round/>
                      <a:headEnd type="none" w="med" len="med"/>
                      <a:tailEnd type="none" w="med" len="med"/>
                    </a:ln>
                  </pic:spPr>
                </pic:pic>
              </a:graphicData>
            </a:graphic>
          </wp:inline>
        </w:drawing>
      </w:r>
    </w:p>
    <w:p>
      <w:pPr>
        <w:pStyle w:val="117"/>
      </w:pPr>
      <w:r>
        <w:t>图9</w:t>
      </w:r>
      <w:r>
        <w:rPr>
          <w:rFonts w:hint="eastAsia"/>
        </w:rPr>
        <w:t>-</w:t>
      </w:r>
      <w:r>
        <w:t>1  公交信号优先控制系统图</w:t>
      </w:r>
    </w:p>
    <w:p>
      <w:pPr>
        <w:pStyle w:val="117"/>
        <w:sectPr>
          <w:footerReference r:id="rId17" w:type="first"/>
          <w:footerReference r:id="rId15" w:type="default"/>
          <w:headerReference r:id="rId14" w:type="even"/>
          <w:footerReference r:id="rId16" w:type="even"/>
          <w:pgSz w:w="11906" w:h="16838"/>
          <w:pgMar w:top="1440" w:right="1800" w:bottom="1440" w:left="1800" w:header="737" w:footer="708" w:gutter="0"/>
          <w:cols w:space="708" w:num="1"/>
          <w:docGrid w:type="lines" w:linePitch="360" w:charSpace="0"/>
        </w:sectPr>
      </w:pPr>
    </w:p>
    <w:bookmarkEnd w:id="220"/>
    <w:bookmarkEnd w:id="221"/>
    <w:bookmarkEnd w:id="222"/>
    <w:bookmarkEnd w:id="223"/>
    <w:bookmarkEnd w:id="229"/>
    <w:p>
      <w:pPr>
        <w:pStyle w:val="2"/>
        <w:spacing w:before="156" w:after="156"/>
      </w:pPr>
      <w:bookmarkStart w:id="230" w:name="_Toc503152866"/>
      <w:bookmarkStart w:id="231" w:name="_Toc518573720"/>
      <w:r>
        <w:rPr>
          <w:rFonts w:hint="eastAsia"/>
        </w:rPr>
        <w:t>第</w:t>
      </w:r>
      <w:r>
        <w:t>10</w:t>
      </w:r>
      <w:r>
        <w:rPr>
          <w:rFonts w:hint="eastAsia"/>
        </w:rPr>
        <w:t>章  规划效果</w:t>
      </w:r>
      <w:r>
        <w:t>评价</w:t>
      </w:r>
      <w:bookmarkEnd w:id="230"/>
      <w:bookmarkEnd w:id="231"/>
    </w:p>
    <w:p>
      <w:pPr>
        <w:pStyle w:val="4"/>
      </w:pPr>
      <w:bookmarkStart w:id="232" w:name="_Toc518573721"/>
      <w:bookmarkStart w:id="233" w:name="_Toc503152867"/>
      <w:r>
        <w:t>10</w:t>
      </w:r>
      <w:r>
        <w:rPr>
          <w:rFonts w:hint="eastAsia"/>
        </w:rPr>
        <w:t>.1</w:t>
      </w:r>
      <w:r>
        <w:t xml:space="preserve"> </w:t>
      </w:r>
      <w:r>
        <w:rPr>
          <w:rFonts w:hint="eastAsia"/>
        </w:rPr>
        <w:t>公交线网规划效果评价</w:t>
      </w:r>
      <w:bookmarkEnd w:id="232"/>
      <w:bookmarkEnd w:id="233"/>
    </w:p>
    <w:p>
      <w:pPr>
        <w:ind w:firstLine="482"/>
        <w:rPr>
          <w:b/>
        </w:rPr>
      </w:pPr>
      <w:r>
        <w:rPr>
          <w:rFonts w:hint="eastAsia"/>
          <w:b/>
        </w:rPr>
        <w:t>（1）公交线网条数指标比较</w:t>
      </w:r>
    </w:p>
    <w:p>
      <w:pPr>
        <w:spacing w:before="180" w:after="180"/>
        <w:ind w:firstLine="480"/>
      </w:pPr>
      <w:r>
        <w:rPr>
          <w:rFonts w:hint="eastAsia"/>
        </w:rPr>
        <w:t>公交线路的条数应与公交线网的覆盖程度相适应，公交条数过多，会造成部分线路重复系数过高，资源无法达到优化配置；公交线路条数过少，则会造成单条线路过长或线网覆盖不全。因而应根据城市道路交通实际状况，合理配置公交线路条数，确保公交线路条数的有序增长。</w:t>
      </w:r>
    </w:p>
    <w:p>
      <w:pPr>
        <w:spacing w:before="180" w:after="180"/>
        <w:ind w:firstLine="480"/>
      </w:pPr>
      <w:r>
        <w:rPr>
          <w:rFonts w:hint="eastAsia"/>
        </w:rPr>
        <w:t>资阳市中心城区公交线路有</w:t>
      </w:r>
      <w:r>
        <w:t>17</w:t>
      </w:r>
      <w:r>
        <w:rPr>
          <w:rFonts w:hint="eastAsia"/>
        </w:rPr>
        <w:t>条，线路绕行严重，部分线路重复系数偏大。规划至2020年，资阳市中心城区公交线路调整为</w:t>
      </w:r>
      <w:r>
        <w:t>18</w:t>
      </w:r>
      <w:r>
        <w:rPr>
          <w:rFonts w:hint="eastAsia"/>
        </w:rPr>
        <w:t>条，同时为满足公交出行增长的需求，规划至20</w:t>
      </w:r>
      <w:r>
        <w:t>30</w:t>
      </w:r>
      <w:r>
        <w:rPr>
          <w:rFonts w:hint="eastAsia"/>
        </w:rPr>
        <w:t>年，公交线路条数达到</w:t>
      </w:r>
      <w:r>
        <w:t>22</w:t>
      </w:r>
      <w:r>
        <w:rPr>
          <w:rFonts w:hint="eastAsia"/>
        </w:rPr>
        <w:t>。线路条数指标对比如图</w:t>
      </w:r>
      <w:r>
        <w:t>10</w:t>
      </w:r>
      <w:r>
        <w:rPr>
          <w:rFonts w:hint="eastAsia"/>
        </w:rPr>
        <w:t>-1所示。</w:t>
      </w:r>
    </w:p>
    <w:p>
      <w:pPr>
        <w:spacing w:before="156" w:after="156"/>
        <w:ind w:firstLine="0" w:firstLineChars="0"/>
        <w:jc w:val="center"/>
      </w:pPr>
      <w:r>
        <w:drawing>
          <wp:inline distT="0" distB="0" distL="0" distR="0">
            <wp:extent cx="4746625" cy="2689225"/>
            <wp:effectExtent l="0" t="0" r="15875" b="15875"/>
            <wp:docPr id="42" name="图表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pPr>
        <w:pStyle w:val="117"/>
      </w:pPr>
      <w:r>
        <w:rPr>
          <w:rFonts w:hint="eastAsia"/>
        </w:rPr>
        <w:t>图</w:t>
      </w:r>
      <w:r>
        <w:t>1</w:t>
      </w:r>
      <w:r>
        <w:rPr>
          <w:rFonts w:hint="eastAsia"/>
        </w:rPr>
        <w:t xml:space="preserve">0-1 </w:t>
      </w:r>
      <w:r>
        <w:t xml:space="preserve"> </w:t>
      </w:r>
      <w:r>
        <w:rPr>
          <w:rFonts w:hint="eastAsia"/>
        </w:rPr>
        <w:t>资阳市中心城区公交线网条数指标对比图</w:t>
      </w:r>
    </w:p>
    <w:p>
      <w:pPr>
        <w:ind w:firstLine="482"/>
        <w:rPr>
          <w:b/>
        </w:rPr>
      </w:pPr>
      <w:r>
        <w:rPr>
          <w:rFonts w:hint="eastAsia"/>
          <w:b/>
        </w:rPr>
        <w:t>（</w:t>
      </w:r>
      <w:r>
        <w:rPr>
          <w:b/>
        </w:rPr>
        <w:t>2</w:t>
      </w:r>
      <w:r>
        <w:rPr>
          <w:rFonts w:hint="eastAsia"/>
          <w:b/>
        </w:rPr>
        <w:t>）公交线网里程指标对比</w:t>
      </w:r>
    </w:p>
    <w:p>
      <w:pPr>
        <w:spacing w:before="180" w:after="180"/>
        <w:ind w:firstLine="480"/>
      </w:pPr>
      <w:r>
        <w:rPr>
          <w:rFonts w:hint="eastAsia"/>
        </w:rPr>
        <w:t>公交线路的长度因地而异，根据城市地形地貌特征及道路建设情况有一定的幅度变化。线路过短，会使乘客换乘次数过多而造成不便，增加换乘成本。反之，线路过长，沿线客流分布不均匀，且经过道路交通咽喉地段较多，交通情况复杂，造成车辆运行可靠性降低，准点率下降。</w:t>
      </w:r>
    </w:p>
    <w:p>
      <w:pPr>
        <w:spacing w:before="180" w:after="180"/>
        <w:ind w:firstLine="480"/>
      </w:pPr>
      <w:r>
        <w:rPr>
          <w:rFonts w:hint="eastAsia"/>
        </w:rPr>
        <w:t>资阳属于组团式城市，山地河流的城市地貌造成部分公交线路受城市主干道走向以及城区桥梁架设的影响较大，部分线路呈现过长的情况，本次规划对部分线路做了优化调整，对新辟线路基本按照国标执行。现状线路总里程</w:t>
      </w:r>
      <w:r>
        <w:t>239.8km</w:t>
      </w:r>
      <w:r>
        <w:rPr>
          <w:rFonts w:hint="eastAsia"/>
        </w:rPr>
        <w:t>，近期线路总里程</w:t>
      </w:r>
      <w:r>
        <w:t>240.36km</w:t>
      </w:r>
      <w:r>
        <w:rPr>
          <w:rFonts w:hint="eastAsia"/>
        </w:rPr>
        <w:t>，中</w:t>
      </w:r>
      <w:r>
        <w:t>远期线路总里程311.22</w:t>
      </w:r>
      <w:r>
        <w:rPr>
          <w:rFonts w:hint="eastAsia"/>
        </w:rPr>
        <w:t>km。线路总里程指标对比如图10</w:t>
      </w:r>
      <w:r>
        <w:t>-2</w:t>
      </w:r>
      <w:r>
        <w:rPr>
          <w:rFonts w:hint="eastAsia"/>
        </w:rPr>
        <w:t>所示。</w:t>
      </w:r>
    </w:p>
    <w:p>
      <w:pPr>
        <w:spacing w:before="180" w:after="180"/>
        <w:ind w:firstLine="0" w:firstLineChars="0"/>
        <w:jc w:val="center"/>
      </w:pPr>
      <w:r>
        <w:drawing>
          <wp:inline distT="0" distB="0" distL="0" distR="0">
            <wp:extent cx="4210050" cy="2393950"/>
            <wp:effectExtent l="0" t="0" r="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pPr>
        <w:pStyle w:val="117"/>
      </w:pPr>
      <w:r>
        <w:rPr>
          <w:rFonts w:hint="eastAsia"/>
        </w:rPr>
        <w:t>图</w:t>
      </w:r>
      <w:r>
        <w:t xml:space="preserve">10-2  </w:t>
      </w:r>
      <w:r>
        <w:rPr>
          <w:rFonts w:hint="eastAsia"/>
        </w:rPr>
        <w:t>资阳市中心城区公交线网总里程指标对比图（</w:t>
      </w:r>
      <w:r>
        <w:t>km</w:t>
      </w:r>
      <w:r>
        <w:rPr>
          <w:rFonts w:hint="eastAsia"/>
        </w:rPr>
        <w:t>）</w:t>
      </w:r>
    </w:p>
    <w:p>
      <w:pPr>
        <w:ind w:firstLine="482"/>
        <w:rPr>
          <w:b/>
        </w:rPr>
      </w:pPr>
      <w:r>
        <w:rPr>
          <w:rFonts w:hint="eastAsia"/>
          <w:b/>
        </w:rPr>
        <w:t>（</w:t>
      </w:r>
      <w:r>
        <w:rPr>
          <w:b/>
        </w:rPr>
        <w:t>3</w:t>
      </w:r>
      <w:r>
        <w:rPr>
          <w:rFonts w:hint="eastAsia"/>
          <w:b/>
        </w:rPr>
        <w:t>）公交线网密度指标对比</w:t>
      </w:r>
    </w:p>
    <w:p>
      <w:pPr>
        <w:spacing w:before="180" w:after="180"/>
        <w:ind w:firstLine="480"/>
      </w:pPr>
      <w:r>
        <w:rPr>
          <w:rFonts w:hint="eastAsia"/>
        </w:rPr>
        <w:t>公交线网密度大小是反映公交可达性的重要指标。本次规划在现状线网密度</w:t>
      </w:r>
      <w:r>
        <w:t>1.88km/km</w:t>
      </w:r>
      <w:r>
        <w:rPr>
          <w:vertAlign w:val="superscript"/>
        </w:rPr>
        <w:t>2</w:t>
      </w:r>
      <w:r>
        <w:rPr>
          <w:rFonts w:hint="eastAsia"/>
        </w:rPr>
        <w:t>的基础上，进一步提升线网密度，更加方便居民乘坐公交车出行。近期线网密度达到2.80</w:t>
      </w:r>
      <w:r>
        <w:t>km/km</w:t>
      </w:r>
      <w:r>
        <w:rPr>
          <w:vertAlign w:val="superscript"/>
        </w:rPr>
        <w:t>2</w:t>
      </w:r>
      <w:r>
        <w:rPr>
          <w:rFonts w:hint="eastAsia"/>
        </w:rPr>
        <w:t>；中远期线网密度达到</w:t>
      </w:r>
      <w:r>
        <w:t>3.38km/km</w:t>
      </w:r>
      <w:r>
        <w:rPr>
          <w:vertAlign w:val="superscript"/>
        </w:rPr>
        <w:t>2</w:t>
      </w:r>
      <w:r>
        <w:t>。</w:t>
      </w:r>
      <w:r>
        <w:rPr>
          <w:rFonts w:hint="eastAsia"/>
        </w:rPr>
        <w:t>通过线网规划，资阳城区公交线网布局得到较大程度的改善，线网密度增加；同时将资阳市中心城区各个片区很好地联系在一起，任意两个片区之间均有公交线路相连，形成了覆盖较为全面的公交线网，加强城乡之间的沟通和联系，为居民的出行带来了极大的便利。线网密度对比如图</w:t>
      </w:r>
      <w:r>
        <w:t>10-3</w:t>
      </w:r>
      <w:r>
        <w:rPr>
          <w:rFonts w:hint="eastAsia"/>
        </w:rPr>
        <w:t>所示。</w:t>
      </w:r>
    </w:p>
    <w:p>
      <w:pPr>
        <w:widowControl w:val="0"/>
        <w:adjustRightInd/>
        <w:snapToGrid/>
        <w:spacing w:before="0" w:after="0"/>
        <w:ind w:firstLine="0" w:firstLineChars="0"/>
        <w:jc w:val="center"/>
        <w:rPr>
          <w:rFonts w:cs="仿宋_GB2312"/>
          <w:snapToGrid w:val="0"/>
          <w:kern w:val="2"/>
          <w:sz w:val="21"/>
        </w:rPr>
      </w:pPr>
      <w:r>
        <w:t xml:space="preserve"> </w:t>
      </w:r>
      <w:r>
        <w:drawing>
          <wp:inline distT="0" distB="0" distL="0" distR="0">
            <wp:extent cx="4286250" cy="2266950"/>
            <wp:effectExtent l="0" t="0" r="0" b="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pPr>
        <w:pStyle w:val="117"/>
      </w:pPr>
      <w:r>
        <w:rPr>
          <w:rFonts w:hint="eastAsia"/>
        </w:rPr>
        <w:t>图</w:t>
      </w:r>
      <w:r>
        <w:t>1</w:t>
      </w:r>
      <w:r>
        <w:rPr>
          <w:rFonts w:hint="eastAsia"/>
        </w:rPr>
        <w:t>0</w:t>
      </w:r>
      <w:r>
        <w:t xml:space="preserve">-3  </w:t>
      </w:r>
      <w:r>
        <w:rPr>
          <w:rFonts w:hint="eastAsia"/>
        </w:rPr>
        <w:t>资阳市中心城区公交线网密度指标对比图</w:t>
      </w:r>
    </w:p>
    <w:p>
      <w:pPr>
        <w:widowControl w:val="0"/>
        <w:adjustRightInd/>
        <w:snapToGrid/>
        <w:spacing w:before="0" w:after="0"/>
        <w:ind w:firstLine="482"/>
        <w:rPr>
          <w:rFonts w:cs="仿宋_GB2312"/>
          <w:b/>
          <w:kern w:val="2"/>
        </w:rPr>
      </w:pPr>
      <w:r>
        <w:rPr>
          <w:rFonts w:hint="eastAsia" w:cs="仿宋_GB2312"/>
          <w:b/>
          <w:kern w:val="2"/>
        </w:rPr>
        <w:t>（</w:t>
      </w:r>
      <w:r>
        <w:rPr>
          <w:rFonts w:cs="仿宋_GB2312"/>
          <w:b/>
          <w:kern w:val="2"/>
        </w:rPr>
        <w:t>4</w:t>
      </w:r>
      <w:r>
        <w:rPr>
          <w:rFonts w:hint="eastAsia" w:cs="仿宋_GB2312"/>
          <w:b/>
          <w:kern w:val="2"/>
        </w:rPr>
        <w:t>）公交线网非直线系数指标对比</w:t>
      </w:r>
    </w:p>
    <w:p>
      <w:pPr>
        <w:ind w:firstLine="480"/>
      </w:pPr>
      <w:r>
        <w:rPr>
          <w:rFonts w:hint="eastAsia"/>
        </w:rPr>
        <w:t>由于资阳市属于山地丘陵地形，加之沱江穿城区而过，中心城区大量客流从沱江大桥、沱江二桥、沱江三桥3座桥梁通过，因此，大量公交线路沿</w:t>
      </w:r>
      <w:r>
        <w:t>3</w:t>
      </w:r>
      <w:r>
        <w:rPr>
          <w:rFonts w:hint="eastAsia"/>
        </w:rPr>
        <w:t>座桥梁开行，而造成公交线路绕行严重，导致现状公交线路非直线系数达</w:t>
      </w:r>
      <w:r>
        <w:t>2.33</w:t>
      </w:r>
      <w:r>
        <w:rPr>
          <w:rFonts w:hint="eastAsia"/>
        </w:rPr>
        <w:t>。非直线系数过大，会增加乘客的车内时间，使客流在断面上运载不均，同时降低车辆的周转速度。非直线系数过小，线路客流也会减少，增加换车次数。因此，为保证公交的正常运行。此次规划对现有线路进行了截弯取直，尽量将非直线系数控制在可接受的范围。经过重新规划，近期线网的非直线系数为</w:t>
      </w:r>
      <w:r>
        <w:t>2.1</w:t>
      </w:r>
      <w:r>
        <w:rPr>
          <w:rFonts w:hint="eastAsia"/>
        </w:rPr>
        <w:t>，中远期线网的非直线系数为</w:t>
      </w:r>
      <w:r>
        <w:t>2.0</w:t>
      </w:r>
      <w:r>
        <w:rPr>
          <w:rFonts w:hint="eastAsia"/>
        </w:rPr>
        <w:t>。线网非直线系数指标对比如图</w:t>
      </w:r>
      <w:r>
        <w:t>10</w:t>
      </w:r>
      <w:r>
        <w:rPr>
          <w:rFonts w:hint="eastAsia"/>
        </w:rPr>
        <w:t>-</w:t>
      </w:r>
      <w:r>
        <w:t>4</w:t>
      </w:r>
      <w:r>
        <w:rPr>
          <w:rFonts w:hint="eastAsia"/>
        </w:rPr>
        <w:t>所示。</w:t>
      </w:r>
    </w:p>
    <w:p>
      <w:pPr>
        <w:widowControl w:val="0"/>
        <w:adjustRightInd/>
        <w:snapToGrid/>
        <w:spacing w:before="0" w:after="0"/>
        <w:ind w:firstLine="0" w:firstLineChars="0"/>
        <w:jc w:val="center"/>
        <w:rPr>
          <w:rFonts w:cs="仿宋_GB2312"/>
          <w:snapToGrid w:val="0"/>
          <w:kern w:val="2"/>
          <w:sz w:val="21"/>
        </w:rPr>
      </w:pPr>
      <w:r>
        <w:drawing>
          <wp:inline distT="0" distB="0" distL="0" distR="0">
            <wp:extent cx="4044950" cy="2245360"/>
            <wp:effectExtent l="0" t="0" r="12700" b="2540"/>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pPr>
        <w:pStyle w:val="117"/>
      </w:pPr>
      <w:r>
        <w:rPr>
          <w:rFonts w:hint="eastAsia"/>
        </w:rPr>
        <w:t>图</w:t>
      </w:r>
      <w:r>
        <w:t xml:space="preserve">10-4 </w:t>
      </w:r>
      <w:r>
        <w:rPr>
          <w:rFonts w:hint="eastAsia"/>
        </w:rPr>
        <w:t>资阳市中心城区公交线网非直线系数指标对比图</w:t>
      </w:r>
    </w:p>
    <w:p>
      <w:pPr>
        <w:ind w:firstLine="482"/>
        <w:rPr>
          <w:b/>
        </w:rPr>
      </w:pPr>
      <w:r>
        <w:rPr>
          <w:rFonts w:hint="eastAsia"/>
          <w:b/>
        </w:rPr>
        <w:t>（</w:t>
      </w:r>
      <w:r>
        <w:rPr>
          <w:b/>
        </w:rPr>
        <w:t>5</w:t>
      </w:r>
      <w:r>
        <w:rPr>
          <w:rFonts w:hint="eastAsia"/>
          <w:b/>
        </w:rPr>
        <w:t>）公交线网重复系数指标对比</w:t>
      </w:r>
    </w:p>
    <w:p>
      <w:pPr>
        <w:ind w:firstLine="480"/>
        <w:rPr>
          <w:szCs w:val="24"/>
        </w:rPr>
      </w:pPr>
      <w:r>
        <w:rPr>
          <w:rFonts w:hint="eastAsia"/>
          <w:szCs w:val="24"/>
        </w:rPr>
        <w:t>线路重复系数是衡量公共交通线路在城市道路网中的布局是否均匀的指标。重复系数过大会造成大量公交车辆集中在少数主干道，容易造成拥堵。资阳城区受到地形制约，连接不同组团之间的道路相对有限，现状线路重复系数为</w:t>
      </w:r>
      <w:r>
        <w:rPr>
          <w:szCs w:val="24"/>
        </w:rPr>
        <w:t>2.45</w:t>
      </w:r>
      <w:r>
        <w:rPr>
          <w:rFonts w:hint="eastAsia"/>
          <w:szCs w:val="24"/>
        </w:rPr>
        <w:t>。本次规划减少了主干道上的公交线路数量，引导一部分跨片区出行的乘客选择换乘。经过调整，至</w:t>
      </w:r>
      <w:r>
        <w:rPr>
          <w:szCs w:val="24"/>
        </w:rPr>
        <w:t>2020</w:t>
      </w:r>
      <w:r>
        <w:rPr>
          <w:rFonts w:hint="eastAsia"/>
          <w:szCs w:val="24"/>
        </w:rPr>
        <w:t>年重复系数降为</w:t>
      </w:r>
      <w:r>
        <w:rPr>
          <w:szCs w:val="24"/>
        </w:rPr>
        <w:t>2.04</w:t>
      </w:r>
      <w:r>
        <w:rPr>
          <w:rFonts w:hint="eastAsia"/>
          <w:szCs w:val="24"/>
        </w:rPr>
        <w:t>，至</w:t>
      </w:r>
      <w:r>
        <w:rPr>
          <w:szCs w:val="24"/>
        </w:rPr>
        <w:t>2030年</w:t>
      </w:r>
      <w:r>
        <w:rPr>
          <w:rFonts w:hint="eastAsia"/>
          <w:szCs w:val="24"/>
        </w:rPr>
        <w:t>重复系数为</w:t>
      </w:r>
      <w:r>
        <w:rPr>
          <w:szCs w:val="24"/>
        </w:rPr>
        <w:t>2.3，</w:t>
      </w:r>
      <w:r>
        <w:rPr>
          <w:rFonts w:hint="eastAsia"/>
          <w:szCs w:val="24"/>
        </w:rPr>
        <w:t>如图</w:t>
      </w:r>
      <w:r>
        <w:rPr>
          <w:szCs w:val="24"/>
        </w:rPr>
        <w:t>10-5</w:t>
      </w:r>
      <w:r>
        <w:rPr>
          <w:rFonts w:hint="eastAsia"/>
          <w:szCs w:val="24"/>
        </w:rPr>
        <w:t>所示。</w:t>
      </w:r>
    </w:p>
    <w:p>
      <w:pPr>
        <w:pStyle w:val="134"/>
        <w:spacing w:before="180"/>
        <w:rPr>
          <w:snapToGrid w:val="0"/>
          <w:sz w:val="21"/>
        </w:rPr>
      </w:pPr>
      <w:r>
        <w:drawing>
          <wp:inline distT="0" distB="0" distL="0" distR="0">
            <wp:extent cx="4184015" cy="2113915"/>
            <wp:effectExtent l="0" t="0" r="6985" b="635"/>
            <wp:docPr id="47" name="图表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p>
      <w:pPr>
        <w:pStyle w:val="117"/>
      </w:pPr>
      <w:r>
        <w:rPr>
          <w:rFonts w:hint="eastAsia"/>
        </w:rPr>
        <w:t>图</w:t>
      </w:r>
      <w:r>
        <w:t xml:space="preserve">10-5  </w:t>
      </w:r>
      <w:r>
        <w:rPr>
          <w:rFonts w:hint="eastAsia"/>
        </w:rPr>
        <w:t>资阳市中心城区公交线网重复系数指标对比图</w:t>
      </w:r>
    </w:p>
    <w:p>
      <w:pPr>
        <w:ind w:firstLine="482"/>
        <w:rPr>
          <w:b/>
        </w:rPr>
      </w:pPr>
      <w:r>
        <w:rPr>
          <w:rFonts w:hint="eastAsia"/>
          <w:b/>
        </w:rPr>
        <w:t>（</w:t>
      </w:r>
      <w:r>
        <w:rPr>
          <w:b/>
        </w:rPr>
        <w:t>6</w:t>
      </w:r>
      <w:r>
        <w:rPr>
          <w:rFonts w:hint="eastAsia"/>
          <w:b/>
        </w:rPr>
        <w:t>）公交线网站点覆盖率指标对比</w:t>
      </w:r>
    </w:p>
    <w:p>
      <w:pPr>
        <w:ind w:firstLine="480"/>
        <w:rPr>
          <w:szCs w:val="24"/>
        </w:rPr>
      </w:pPr>
      <w:r>
        <w:rPr>
          <w:rFonts w:hint="eastAsia"/>
          <w:szCs w:val="24"/>
        </w:rPr>
        <w:t>资阳市中心城区现状公交站点</w:t>
      </w:r>
      <w:r>
        <w:rPr>
          <w:szCs w:val="24"/>
        </w:rPr>
        <w:t>300m</w:t>
      </w:r>
      <w:r>
        <w:rPr>
          <w:rFonts w:hint="eastAsia"/>
          <w:szCs w:val="24"/>
        </w:rPr>
        <w:t>半径覆盖率为</w:t>
      </w:r>
      <w:r>
        <w:rPr>
          <w:szCs w:val="24"/>
        </w:rPr>
        <w:t>33%</w:t>
      </w:r>
      <w:r>
        <w:rPr>
          <w:rFonts w:hint="eastAsia"/>
          <w:szCs w:val="24"/>
        </w:rPr>
        <w:t>，不满足满足50%的国标要求；</w:t>
      </w:r>
      <w:r>
        <w:rPr>
          <w:szCs w:val="24"/>
        </w:rPr>
        <w:t>500m</w:t>
      </w:r>
      <w:r>
        <w:rPr>
          <w:rFonts w:hint="eastAsia"/>
          <w:szCs w:val="24"/>
        </w:rPr>
        <w:t>半径覆盖率为</w:t>
      </w:r>
      <w:r>
        <w:rPr>
          <w:szCs w:val="24"/>
        </w:rPr>
        <w:t>52%</w:t>
      </w:r>
      <w:r>
        <w:rPr>
          <w:rFonts w:hint="eastAsia"/>
          <w:szCs w:val="24"/>
        </w:rPr>
        <w:t>，未达到90%的国标要求。通过此次线网规划实施后，至</w:t>
      </w:r>
      <w:r>
        <w:rPr>
          <w:szCs w:val="24"/>
        </w:rPr>
        <w:t>2020</w:t>
      </w:r>
      <w:r>
        <w:rPr>
          <w:rFonts w:hint="eastAsia"/>
          <w:szCs w:val="24"/>
        </w:rPr>
        <w:t>年，资阳市中心城区公交站点</w:t>
      </w:r>
      <w:r>
        <w:rPr>
          <w:szCs w:val="24"/>
        </w:rPr>
        <w:t>300m</w:t>
      </w:r>
      <w:r>
        <w:rPr>
          <w:rFonts w:hint="eastAsia"/>
          <w:szCs w:val="24"/>
        </w:rPr>
        <w:t>半径覆盖率为</w:t>
      </w:r>
      <w:r>
        <w:rPr>
          <w:szCs w:val="24"/>
        </w:rPr>
        <w:t>38%</w:t>
      </w:r>
      <w:r>
        <w:rPr>
          <w:rFonts w:hint="eastAsia"/>
          <w:szCs w:val="24"/>
        </w:rPr>
        <w:t>，</w:t>
      </w:r>
      <w:r>
        <w:rPr>
          <w:szCs w:val="24"/>
        </w:rPr>
        <w:t>500m</w:t>
      </w:r>
      <w:r>
        <w:rPr>
          <w:rFonts w:hint="eastAsia"/>
          <w:szCs w:val="24"/>
        </w:rPr>
        <w:t>半径覆盖率为</w:t>
      </w:r>
      <w:r>
        <w:rPr>
          <w:szCs w:val="24"/>
        </w:rPr>
        <w:t>60%</w:t>
      </w:r>
      <w:r>
        <w:rPr>
          <w:rFonts w:hint="eastAsia"/>
          <w:szCs w:val="24"/>
        </w:rPr>
        <w:t>；至</w:t>
      </w:r>
      <w:r>
        <w:rPr>
          <w:szCs w:val="24"/>
        </w:rPr>
        <w:t>2030年</w:t>
      </w:r>
      <w:r>
        <w:rPr>
          <w:rFonts w:hint="eastAsia"/>
          <w:szCs w:val="24"/>
        </w:rPr>
        <w:t>，</w:t>
      </w:r>
      <w:r>
        <w:rPr>
          <w:szCs w:val="24"/>
        </w:rPr>
        <w:t>300m</w:t>
      </w:r>
      <w:r>
        <w:rPr>
          <w:rFonts w:hint="eastAsia"/>
          <w:szCs w:val="24"/>
        </w:rPr>
        <w:t>半径覆盖率增为</w:t>
      </w:r>
      <w:r>
        <w:rPr>
          <w:szCs w:val="24"/>
        </w:rPr>
        <w:t>45%</w:t>
      </w:r>
      <w:r>
        <w:rPr>
          <w:rFonts w:hint="eastAsia"/>
          <w:szCs w:val="24"/>
        </w:rPr>
        <w:t>，</w:t>
      </w:r>
      <w:r>
        <w:rPr>
          <w:szCs w:val="24"/>
        </w:rPr>
        <w:t>500m</w:t>
      </w:r>
      <w:r>
        <w:rPr>
          <w:rFonts w:hint="eastAsia"/>
          <w:szCs w:val="24"/>
        </w:rPr>
        <w:t>半径覆盖率为</w:t>
      </w:r>
      <w:r>
        <w:rPr>
          <w:szCs w:val="24"/>
        </w:rPr>
        <w:t>75%</w:t>
      </w:r>
      <w:r>
        <w:rPr>
          <w:rFonts w:hint="eastAsia"/>
          <w:szCs w:val="24"/>
        </w:rPr>
        <w:t>；资阳市公交站点覆盖率低的主要原因是城南工业用地面积较大，而工业用地的特点是占地面积大、路网稀疏，公交站点数量和覆盖面积相对少于其他用地形式。具体如图</w:t>
      </w:r>
      <w:r>
        <w:rPr>
          <w:szCs w:val="24"/>
        </w:rPr>
        <w:t>10-6</w:t>
      </w:r>
      <w:r>
        <w:rPr>
          <w:rFonts w:hint="eastAsia"/>
          <w:szCs w:val="24"/>
        </w:rPr>
        <w:t>、</w:t>
      </w:r>
      <w:r>
        <w:rPr>
          <w:szCs w:val="24"/>
        </w:rPr>
        <w:t>10-7</w:t>
      </w:r>
      <w:r>
        <w:rPr>
          <w:rFonts w:hint="eastAsia"/>
          <w:szCs w:val="24"/>
        </w:rPr>
        <w:t>所示。</w:t>
      </w:r>
    </w:p>
    <w:p>
      <w:pPr>
        <w:ind w:firstLine="0" w:firstLineChars="0"/>
        <w:jc w:val="center"/>
        <w:rPr>
          <w:szCs w:val="24"/>
        </w:rPr>
      </w:pPr>
      <w:r>
        <w:drawing>
          <wp:inline distT="0" distB="0" distL="0" distR="0">
            <wp:extent cx="4067175" cy="2171700"/>
            <wp:effectExtent l="0" t="0" r="9525" b="0"/>
            <wp:docPr id="48" name="图表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pPr>
        <w:pStyle w:val="117"/>
      </w:pPr>
      <w:r>
        <w:rPr>
          <w:rFonts w:hint="eastAsia"/>
        </w:rPr>
        <w:t>图</w:t>
      </w:r>
      <w:r>
        <w:t xml:space="preserve">10-6  </w:t>
      </w:r>
      <w:r>
        <w:rPr>
          <w:rFonts w:hint="eastAsia"/>
        </w:rPr>
        <w:t>资阳市中心城区公交站点300m半径覆盖率指标对比图</w:t>
      </w:r>
    </w:p>
    <w:p>
      <w:pPr>
        <w:pStyle w:val="117"/>
      </w:pPr>
      <w:r>
        <w:drawing>
          <wp:inline distT="0" distB="0" distL="0" distR="0">
            <wp:extent cx="3957320" cy="2023110"/>
            <wp:effectExtent l="0" t="0" r="5080" b="15240"/>
            <wp:docPr id="49" name="图表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pPr>
        <w:pStyle w:val="117"/>
      </w:pPr>
      <w:r>
        <w:rPr>
          <w:rFonts w:hint="eastAsia"/>
        </w:rPr>
        <w:t>图</w:t>
      </w:r>
      <w:r>
        <w:t xml:space="preserve">10-7  </w:t>
      </w:r>
      <w:r>
        <w:rPr>
          <w:rFonts w:hint="eastAsia"/>
        </w:rPr>
        <w:t>资阳市中心城区公交站点500m半径覆盖率指标对比图</w:t>
      </w:r>
    </w:p>
    <w:p>
      <w:pPr>
        <w:pStyle w:val="4"/>
      </w:pPr>
      <w:bookmarkStart w:id="234" w:name="_Toc503152868"/>
      <w:bookmarkStart w:id="235" w:name="_Toc518573722"/>
      <w:bookmarkStart w:id="236" w:name="_Toc495262207"/>
      <w:r>
        <w:t xml:space="preserve">10.2 </w:t>
      </w:r>
      <w:r>
        <w:rPr>
          <w:rFonts w:hint="eastAsia"/>
        </w:rPr>
        <w:t>运力规划效果评价</w:t>
      </w:r>
      <w:bookmarkEnd w:id="234"/>
      <w:bookmarkEnd w:id="235"/>
      <w:bookmarkEnd w:id="236"/>
    </w:p>
    <w:p>
      <w:pPr>
        <w:ind w:firstLine="480"/>
      </w:pPr>
      <w:r>
        <w:rPr>
          <w:rFonts w:hint="eastAsia"/>
        </w:rPr>
        <w:t>资阳公交车辆的运力发展相对平衡，现状资阳市中心城区共有公交车辆</w:t>
      </w:r>
      <w:r>
        <w:t>267.8</w:t>
      </w:r>
      <w:r>
        <w:rPr>
          <w:rFonts w:hint="eastAsia"/>
        </w:rPr>
        <w:t>标台，人口</w:t>
      </w:r>
      <w:r>
        <w:t>35.0</w:t>
      </w:r>
      <w:r>
        <w:rPr>
          <w:rFonts w:hint="eastAsia"/>
        </w:rPr>
        <w:t>万，人均万人拥有车辆</w:t>
      </w:r>
      <w:r>
        <w:t>7.6</w:t>
      </w:r>
      <w:r>
        <w:rPr>
          <w:rFonts w:hint="eastAsia"/>
        </w:rPr>
        <w:t>标台，通过本次线网规划实施后，公交运力的</w:t>
      </w:r>
      <w:r>
        <w:t>分配更加平衡</w:t>
      </w:r>
      <w:r>
        <w:rPr>
          <w:rFonts w:hint="eastAsia"/>
        </w:rPr>
        <w:t>。规划近期运营公交车辆达到</w:t>
      </w:r>
      <w:r>
        <w:t>440</w:t>
      </w:r>
      <w:r>
        <w:rPr>
          <w:rFonts w:hint="eastAsia"/>
        </w:rPr>
        <w:t>辆，折算标准车</w:t>
      </w:r>
      <w:r>
        <w:t>572</w:t>
      </w:r>
      <w:r>
        <w:rPr>
          <w:rFonts w:hint="eastAsia"/>
        </w:rPr>
        <w:t>标台，人均万人拥有率</w:t>
      </w:r>
      <w:r>
        <w:t>11.2</w:t>
      </w:r>
      <w:r>
        <w:rPr>
          <w:rFonts w:hint="eastAsia"/>
        </w:rPr>
        <w:t>台，公交分担率为25%；中远期运营公交车辆达到</w:t>
      </w:r>
      <w:r>
        <w:t>785</w:t>
      </w:r>
      <w:r>
        <w:rPr>
          <w:rFonts w:hint="eastAsia"/>
        </w:rPr>
        <w:t>辆，折算标准车</w:t>
      </w:r>
      <w:r>
        <w:t>1001</w:t>
      </w:r>
      <w:r>
        <w:rPr>
          <w:rFonts w:hint="eastAsia"/>
        </w:rPr>
        <w:t>标台，人均万人拥有率</w:t>
      </w:r>
      <w:r>
        <w:t>11.7</w:t>
      </w:r>
      <w:r>
        <w:rPr>
          <w:rFonts w:hint="eastAsia"/>
        </w:rPr>
        <w:t>标台，公交分担率为率为28%，具体运力指标对比如图</w:t>
      </w:r>
      <w:r>
        <w:t>10-8</w:t>
      </w:r>
      <w:r>
        <w:rPr>
          <w:rFonts w:hint="eastAsia"/>
        </w:rPr>
        <w:t>，</w:t>
      </w:r>
      <w:r>
        <w:t>10-9</w:t>
      </w:r>
      <w:r>
        <w:rPr>
          <w:rFonts w:hint="eastAsia"/>
        </w:rPr>
        <w:t>，</w:t>
      </w:r>
      <w:r>
        <w:t>10-10</w:t>
      </w:r>
      <w:r>
        <w:rPr>
          <w:rFonts w:hint="eastAsia"/>
        </w:rPr>
        <w:t>所示。</w:t>
      </w:r>
    </w:p>
    <w:p>
      <w:pPr>
        <w:pStyle w:val="134"/>
        <w:spacing w:before="180"/>
        <w:rPr>
          <w:snapToGrid w:val="0"/>
          <w:sz w:val="21"/>
        </w:rPr>
      </w:pPr>
      <w:r>
        <w:drawing>
          <wp:inline distT="0" distB="0" distL="0" distR="0">
            <wp:extent cx="4015740" cy="2347595"/>
            <wp:effectExtent l="0" t="0" r="3810" b="14605"/>
            <wp:docPr id="50" name="图表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pPr>
        <w:pStyle w:val="117"/>
      </w:pPr>
      <w:r>
        <w:rPr>
          <w:rFonts w:hint="eastAsia"/>
        </w:rPr>
        <w:t>图</w:t>
      </w:r>
      <w:r>
        <w:t xml:space="preserve">10-8  </w:t>
      </w:r>
      <w:r>
        <w:rPr>
          <w:rFonts w:hint="eastAsia"/>
        </w:rPr>
        <w:t>资阳市中心城区公交车辆指标对比图</w:t>
      </w:r>
    </w:p>
    <w:p>
      <w:pPr>
        <w:pStyle w:val="134"/>
        <w:spacing w:before="180"/>
        <w:rPr>
          <w:snapToGrid w:val="0"/>
          <w:sz w:val="21"/>
        </w:rPr>
      </w:pPr>
      <w:r>
        <w:drawing>
          <wp:inline distT="0" distB="0" distL="0" distR="0">
            <wp:extent cx="4454525" cy="2018665"/>
            <wp:effectExtent l="0" t="0" r="3175" b="635"/>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pPr>
        <w:pStyle w:val="117"/>
      </w:pPr>
      <w:r>
        <w:rPr>
          <w:rFonts w:hint="eastAsia"/>
        </w:rPr>
        <w:t>图</w:t>
      </w:r>
      <w:r>
        <w:t xml:space="preserve">10-9  </w:t>
      </w:r>
      <w:r>
        <w:rPr>
          <w:rFonts w:hint="eastAsia"/>
        </w:rPr>
        <w:t>资阳市中心城区万人拥有公交车辆标台数指标对比图</w:t>
      </w:r>
    </w:p>
    <w:p>
      <w:pPr>
        <w:spacing w:before="156" w:after="156"/>
        <w:ind w:firstLine="0" w:firstLineChars="0"/>
        <w:jc w:val="center"/>
      </w:pPr>
      <w:r>
        <w:drawing>
          <wp:inline distT="0" distB="0" distL="0" distR="0">
            <wp:extent cx="4366895" cy="2326005"/>
            <wp:effectExtent l="0" t="0" r="14605" b="17145"/>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pPr>
        <w:pStyle w:val="117"/>
      </w:pPr>
      <w:r>
        <w:rPr>
          <w:rFonts w:hint="eastAsia"/>
        </w:rPr>
        <w:t>图</w:t>
      </w:r>
      <w:r>
        <w:t xml:space="preserve">10-10  </w:t>
      </w:r>
      <w:r>
        <w:rPr>
          <w:rFonts w:hint="eastAsia"/>
        </w:rPr>
        <w:t>资阳市中心城区公交分担率指标对比图</w:t>
      </w:r>
    </w:p>
    <w:p>
      <w:pPr>
        <w:pStyle w:val="117"/>
        <w:sectPr>
          <w:footerReference r:id="rId22" w:type="first"/>
          <w:headerReference r:id="rId18" w:type="default"/>
          <w:footerReference r:id="rId20" w:type="default"/>
          <w:headerReference r:id="rId19" w:type="even"/>
          <w:footerReference r:id="rId21" w:type="even"/>
          <w:pgSz w:w="11906" w:h="16838"/>
          <w:pgMar w:top="1440" w:right="1800" w:bottom="1440" w:left="1800" w:header="737" w:footer="708" w:gutter="0"/>
          <w:cols w:space="708" w:num="1"/>
          <w:docGrid w:type="lines" w:linePitch="360" w:charSpace="0"/>
        </w:sectPr>
      </w:pPr>
    </w:p>
    <w:p>
      <w:pPr>
        <w:pStyle w:val="2"/>
        <w:spacing w:before="163" w:after="163"/>
      </w:pPr>
      <w:bookmarkStart w:id="237" w:name="_Toc19479"/>
      <w:bookmarkStart w:id="238" w:name="_Toc518573723"/>
      <w:r>
        <w:rPr>
          <w:rFonts w:hint="eastAsia"/>
        </w:rPr>
        <w:t>第1</w:t>
      </w:r>
      <w:r>
        <w:t>1</w:t>
      </w:r>
      <w:r>
        <w:rPr>
          <w:rFonts w:hint="eastAsia"/>
        </w:rPr>
        <w:t>章  规划实施安排</w:t>
      </w:r>
      <w:bookmarkEnd w:id="237"/>
      <w:bookmarkEnd w:id="238"/>
    </w:p>
    <w:p>
      <w:pPr>
        <w:pStyle w:val="4"/>
      </w:pPr>
      <w:bookmarkStart w:id="239" w:name="_Toc10064"/>
      <w:bookmarkStart w:id="240" w:name="_Toc518573724"/>
      <w:r>
        <w:rPr>
          <w:rFonts w:hint="eastAsia"/>
        </w:rPr>
        <w:t>1</w:t>
      </w:r>
      <w:r>
        <w:t>1</w:t>
      </w:r>
      <w:r>
        <w:rPr>
          <w:rFonts w:hint="eastAsia"/>
        </w:rPr>
        <w:t>.</w:t>
      </w:r>
      <w:r>
        <w:t xml:space="preserve">1 </w:t>
      </w:r>
      <w:r>
        <w:rPr>
          <w:rFonts w:hint="eastAsia"/>
        </w:rPr>
        <w:t>重点任务</w:t>
      </w:r>
      <w:bookmarkEnd w:id="239"/>
      <w:bookmarkEnd w:id="240"/>
    </w:p>
    <w:p>
      <w:pPr>
        <w:ind w:firstLine="480"/>
      </w:pPr>
      <w:r>
        <w:rPr>
          <w:rFonts w:hint="eastAsia"/>
        </w:rPr>
        <w:t>根据城市公交现状分析、发展目标和发展战略等，对规划期重点建设任务总结如下：</w:t>
      </w:r>
    </w:p>
    <w:p>
      <w:pPr>
        <w:ind w:firstLine="482"/>
      </w:pPr>
      <w:r>
        <w:rPr>
          <w:rFonts w:hint="eastAsia"/>
          <w:b/>
          <w:bCs/>
        </w:rPr>
        <w:t>一是</w:t>
      </w:r>
      <w:r>
        <w:rPr>
          <w:rFonts w:hint="eastAsia"/>
        </w:rPr>
        <w:t>针对资阳市公交线网结构不合理、密度低、重复率高、功能少、服务水平低、候车时间长等一系列问题，参考轨道交通规划，坚持线路走向合理，线网分布均匀等原则，提出“分区服务、逐层展开、整体优化”的规划思想，建立快、干、支多层次的公交线网。</w:t>
      </w:r>
    </w:p>
    <w:tbl>
      <w:tblPr>
        <w:tblStyle w:val="9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67" w:hRule="atLeast"/>
        </w:trPr>
        <w:tc>
          <w:tcPr>
            <w:tcW w:w="8522" w:type="dxa"/>
            <w:shd w:val="clear" w:color="auto" w:fill="CCC0D9"/>
            <w:vAlign w:val="center"/>
          </w:tcPr>
          <w:p>
            <w:pPr>
              <w:ind w:firstLine="0" w:firstLineChars="0"/>
              <w:jc w:val="center"/>
              <w:rPr>
                <w:rFonts w:ascii="黑体" w:hAnsi="黑体" w:eastAsia="黑体" w:cs="仿宋_GB2312"/>
                <w:snapToGrid w:val="0"/>
                <w:sz w:val="28"/>
                <w:szCs w:val="28"/>
              </w:rPr>
            </w:pPr>
            <w:r>
              <w:rPr>
                <w:rFonts w:hint="eastAsia" w:ascii="黑体" w:hAnsi="黑体" w:eastAsia="黑体"/>
                <w:sz w:val="28"/>
                <w:szCs w:val="28"/>
              </w:rPr>
              <w:t>专栏</w:t>
            </w:r>
            <w:r>
              <w:rPr>
                <w:rFonts w:eastAsia="黑体"/>
                <w:sz w:val="28"/>
                <w:szCs w:val="28"/>
              </w:rPr>
              <w:t>1</w:t>
            </w:r>
            <w:r>
              <w:rPr>
                <w:rFonts w:hint="eastAsia" w:ascii="黑体" w:hAnsi="黑体" w:eastAsia="黑体"/>
                <w:sz w:val="28"/>
                <w:szCs w:val="28"/>
              </w:rPr>
              <w:t xml:space="preserve"> 规划</w:t>
            </w:r>
            <w:r>
              <w:rPr>
                <w:rFonts w:hint="eastAsia" w:ascii="黑体" w:hAnsi="黑体" w:eastAsia="黑体" w:cs="仿宋_GB2312"/>
                <w:snapToGrid w:val="0"/>
                <w:sz w:val="28"/>
                <w:szCs w:val="28"/>
              </w:rPr>
              <w:t>期公交线网重点建设内容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551" w:hRule="atLeast"/>
        </w:trPr>
        <w:tc>
          <w:tcPr>
            <w:tcW w:w="8522" w:type="dxa"/>
            <w:shd w:val="clear" w:color="auto" w:fill="CCC0D9"/>
            <w:vAlign w:val="center"/>
          </w:tcPr>
          <w:p>
            <w:pPr>
              <w:ind w:firstLine="480"/>
            </w:pPr>
            <w:r>
              <w:rPr>
                <w:rFonts w:hint="eastAsia" w:ascii="黑体" w:hAnsi="黑体" w:eastAsia="黑体" w:cs="仿宋_GB2312"/>
                <w:snapToGrid w:val="0"/>
                <w:szCs w:val="24"/>
              </w:rPr>
              <w:t>近期</w:t>
            </w:r>
            <w:r>
              <w:rPr>
                <w:rFonts w:ascii="黑体" w:hAnsi="黑体" w:eastAsia="黑体" w:cs="仿宋_GB2312"/>
                <w:snapToGrid w:val="0"/>
                <w:szCs w:val="24"/>
              </w:rPr>
              <w:t>：</w:t>
            </w:r>
            <w:r>
              <w:rPr>
                <w:rFonts w:hint="eastAsia"/>
              </w:rPr>
              <w:t>对现状</w:t>
            </w:r>
            <w:r>
              <w:t>17</w:t>
            </w:r>
            <w:r>
              <w:rPr>
                <w:rFonts w:hint="eastAsia"/>
              </w:rPr>
              <w:t>条公交线路进行优化调整，调整公交线路5条；延伸公交线路4条；新增2条</w:t>
            </w:r>
            <w:r>
              <w:t>，</w:t>
            </w:r>
            <w:r>
              <w:rPr>
                <w:rFonts w:hint="eastAsia"/>
              </w:rPr>
              <w:t>取消1条，规划2020年，资阳市中心城区公交线路共</w:t>
            </w:r>
            <w:r>
              <w:t>18</w:t>
            </w:r>
            <w:r>
              <w:rPr>
                <w:rFonts w:hint="eastAsia"/>
              </w:rPr>
              <w:t>条，其中快速公交线路2条，干线公交线路4条，支线公交线路12条，形成“2+4+12”公交线网体系，同时打造1路，高铁快线1路和高铁快线2路等3条精品线路。</w:t>
            </w:r>
          </w:p>
          <w:p>
            <w:pPr>
              <w:spacing w:line="408" w:lineRule="auto"/>
              <w:ind w:firstLine="480"/>
              <w:rPr>
                <w:rFonts w:ascii="黑体" w:hAnsi="黑体" w:eastAsia="黑体" w:cs="仿宋_GB2312"/>
                <w:snapToGrid w:val="0"/>
                <w:szCs w:val="24"/>
              </w:rPr>
            </w:pPr>
            <w:r>
              <w:rPr>
                <w:rFonts w:hint="eastAsia" w:ascii="黑体" w:hAnsi="黑体" w:eastAsia="黑体" w:cs="仿宋_GB2312"/>
                <w:snapToGrid w:val="0"/>
                <w:szCs w:val="24"/>
              </w:rPr>
              <w:t>中远期：</w:t>
            </w:r>
            <w:r>
              <w:rPr>
                <w:rFonts w:hint="eastAsia"/>
              </w:rPr>
              <w:t>在近期基础上，新辟公交线路4条，其中包括快线2条，</w:t>
            </w:r>
            <w:r>
              <w:t>支线</w:t>
            </w:r>
            <w:r>
              <w:rPr>
                <w:rFonts w:hint="eastAsia"/>
              </w:rPr>
              <w:t>2条。规划至2030年，资阳市中心城区公交线路共2</w:t>
            </w:r>
            <w:r>
              <w:t>2</w:t>
            </w:r>
            <w:r>
              <w:rPr>
                <w:rFonts w:hint="eastAsia"/>
              </w:rPr>
              <w:t>条，其中快速公交线路4条，干线公交线路</w:t>
            </w:r>
            <w:r>
              <w:t>4</w:t>
            </w:r>
            <w:r>
              <w:rPr>
                <w:rFonts w:hint="eastAsia"/>
              </w:rPr>
              <w:t>条，支线公交线路</w:t>
            </w:r>
            <w:r>
              <w:t>14</w:t>
            </w:r>
            <w:r>
              <w:rPr>
                <w:rFonts w:hint="eastAsia"/>
              </w:rPr>
              <w:t>条，形成“4+4+14”公交线网体系。</w:t>
            </w:r>
          </w:p>
        </w:tc>
      </w:tr>
    </w:tbl>
    <w:p>
      <w:pPr>
        <w:ind w:firstLine="482"/>
      </w:pPr>
      <w:r>
        <w:rPr>
          <w:rFonts w:hint="eastAsia"/>
          <w:b/>
          <w:bCs/>
        </w:rPr>
        <w:t>二是</w:t>
      </w:r>
      <w:r>
        <w:rPr>
          <w:rFonts w:hint="eastAsia"/>
        </w:rPr>
        <w:t>公交场站作为运营车辆，保证生产的物质基础，乘客出行换乘的有效载体。在规划期内需结合建设周期对公交枢纽站、公交首末站、公交停车场和保养场、公交中途停靠站等进行合理规划；</w:t>
      </w:r>
    </w:p>
    <w:tbl>
      <w:tblPr>
        <w:tblStyle w:val="9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67" w:hRule="atLeast"/>
        </w:trPr>
        <w:tc>
          <w:tcPr>
            <w:tcW w:w="8522" w:type="dxa"/>
            <w:shd w:val="clear" w:color="auto" w:fill="CCC0D9"/>
            <w:vAlign w:val="center"/>
          </w:tcPr>
          <w:p>
            <w:pPr>
              <w:ind w:firstLine="0" w:firstLineChars="0"/>
              <w:jc w:val="center"/>
              <w:rPr>
                <w:rFonts w:eastAsia="黑体" w:cs="Times New Roman"/>
                <w:snapToGrid w:val="0"/>
                <w:sz w:val="28"/>
                <w:szCs w:val="28"/>
              </w:rPr>
            </w:pPr>
            <w:r>
              <w:rPr>
                <w:rFonts w:eastAsia="黑体" w:cs="Times New Roman"/>
                <w:sz w:val="28"/>
                <w:szCs w:val="28"/>
              </w:rPr>
              <w:t>专栏2  规划</w:t>
            </w:r>
            <w:r>
              <w:rPr>
                <w:rFonts w:eastAsia="黑体" w:cs="Times New Roman"/>
                <w:snapToGrid w:val="0"/>
                <w:sz w:val="28"/>
                <w:szCs w:val="28"/>
              </w:rPr>
              <w:t>期公交场站重点建设内容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551" w:hRule="atLeast"/>
        </w:trPr>
        <w:tc>
          <w:tcPr>
            <w:tcW w:w="8522" w:type="dxa"/>
            <w:shd w:val="clear" w:color="auto" w:fill="CCC0D9"/>
            <w:vAlign w:val="center"/>
          </w:tcPr>
          <w:p>
            <w:pPr>
              <w:ind w:firstLine="480"/>
            </w:pPr>
            <w:r>
              <w:rPr>
                <w:rFonts w:hint="eastAsia" w:ascii="黑体" w:hAnsi="黑体" w:eastAsia="黑体" w:cs="仿宋_GB2312"/>
                <w:snapToGrid w:val="0"/>
                <w:szCs w:val="24"/>
              </w:rPr>
              <w:t>近期：</w:t>
            </w:r>
            <w:r>
              <w:rPr>
                <w:rFonts w:hint="eastAsia"/>
              </w:rPr>
              <w:t>在整体布局的框架下，结合城市发展方向，近期规划6个公交枢纽站+13个公交首末站+</w:t>
            </w:r>
            <w:r>
              <w:t>2</w:t>
            </w:r>
            <w:r>
              <w:rPr>
                <w:rFonts w:hint="eastAsia"/>
              </w:rPr>
              <w:t>个公交停车场+</w:t>
            </w:r>
            <w:r>
              <w:t>2个公交保养场</w:t>
            </w:r>
            <w:r>
              <w:rPr>
                <w:rFonts w:hint="eastAsia"/>
              </w:rPr>
              <w:t>，以扩建原有停保场为基础，利用停保场行使首末站功能。</w:t>
            </w:r>
          </w:p>
          <w:p>
            <w:pPr>
              <w:spacing w:line="408" w:lineRule="auto"/>
              <w:ind w:firstLine="480"/>
              <w:rPr>
                <w:rFonts w:ascii="宋体" w:hAnsi="宋体" w:cs="仿宋_GB2312"/>
                <w:snapToGrid w:val="0"/>
                <w:szCs w:val="24"/>
              </w:rPr>
            </w:pPr>
            <w:r>
              <w:rPr>
                <w:rFonts w:hint="eastAsia" w:ascii="黑体" w:hAnsi="黑体" w:eastAsia="黑体" w:cs="仿宋_GB2312"/>
                <w:snapToGrid w:val="0"/>
                <w:szCs w:val="24"/>
              </w:rPr>
              <w:t>中远期：</w:t>
            </w:r>
            <w:r>
              <w:rPr>
                <w:rFonts w:hint="eastAsia"/>
              </w:rPr>
              <w:t>在近期规划基础上，共规划新增3个公交枢纽站，1个公交保养场，由于规划公交首末站能够基本满足车辆停车需求，故规划新增张家坝公交保养场。</w:t>
            </w:r>
          </w:p>
        </w:tc>
      </w:tr>
    </w:tbl>
    <w:p>
      <w:pPr>
        <w:ind w:firstLine="482"/>
      </w:pPr>
      <w:r>
        <w:rPr>
          <w:rFonts w:hint="eastAsia"/>
          <w:b/>
          <w:bCs/>
        </w:rPr>
        <w:t>三是</w:t>
      </w:r>
      <w:r>
        <w:rPr>
          <w:rFonts w:hint="eastAsia"/>
        </w:rPr>
        <w:t>公交运力作为公交部门或企业运营的主要对象，是常规公交的重要内容。为在规划期内保障公交的可持续发展，改善公交运力配置的合理性，提高公交运力的利用率是提高公交服务水平、提升公交分担率、降低公共交通资源消耗、缓解交通拥堵的有效手段；</w:t>
      </w:r>
    </w:p>
    <w:tbl>
      <w:tblPr>
        <w:tblStyle w:val="9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67" w:hRule="atLeast"/>
        </w:trPr>
        <w:tc>
          <w:tcPr>
            <w:tcW w:w="8522" w:type="dxa"/>
            <w:shd w:val="clear" w:color="auto" w:fill="CCC0D9"/>
            <w:vAlign w:val="center"/>
          </w:tcPr>
          <w:p>
            <w:pPr>
              <w:ind w:firstLine="0" w:firstLineChars="0"/>
              <w:jc w:val="center"/>
              <w:rPr>
                <w:rFonts w:eastAsia="黑体" w:cs="Times New Roman"/>
                <w:snapToGrid w:val="0"/>
                <w:sz w:val="28"/>
                <w:szCs w:val="28"/>
              </w:rPr>
            </w:pPr>
            <w:r>
              <w:rPr>
                <w:rFonts w:eastAsia="黑体" w:cs="Times New Roman"/>
                <w:sz w:val="28"/>
                <w:szCs w:val="28"/>
              </w:rPr>
              <w:t>专栏3 规划</w:t>
            </w:r>
            <w:r>
              <w:rPr>
                <w:rFonts w:eastAsia="黑体" w:cs="Times New Roman"/>
                <w:snapToGrid w:val="0"/>
                <w:sz w:val="28"/>
                <w:szCs w:val="28"/>
              </w:rPr>
              <w:t>期公交运力重点建设内容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551" w:hRule="atLeast"/>
        </w:trPr>
        <w:tc>
          <w:tcPr>
            <w:tcW w:w="8522" w:type="dxa"/>
            <w:shd w:val="clear" w:color="auto" w:fill="CCC0D9"/>
            <w:vAlign w:val="center"/>
          </w:tcPr>
          <w:p>
            <w:pPr>
              <w:spacing w:before="156" w:after="156"/>
              <w:ind w:firstLine="480"/>
            </w:pPr>
            <w:r>
              <w:rPr>
                <w:rFonts w:hint="eastAsia" w:ascii="黑体" w:hAnsi="黑体" w:eastAsia="黑体" w:cs="仿宋_GB2312"/>
                <w:snapToGrid w:val="0"/>
                <w:szCs w:val="24"/>
              </w:rPr>
              <w:t>近期：</w:t>
            </w:r>
            <w:r>
              <w:rPr>
                <w:rFonts w:hint="eastAsia"/>
              </w:rPr>
              <w:t>近期近期购入60辆新能源公交车，用于打造公交精品线路。资阳市中心城区公交车辆总数达440辆，折合572标台，中心城区公交车辆万人拥有量为11.2标台/万人。</w:t>
            </w:r>
          </w:p>
          <w:p>
            <w:pPr>
              <w:ind w:firstLine="480"/>
              <w:rPr>
                <w:rFonts w:ascii="黑体" w:hAnsi="黑体" w:eastAsia="黑体" w:cs="仿宋_GB2312"/>
                <w:snapToGrid w:val="0"/>
                <w:szCs w:val="24"/>
              </w:rPr>
            </w:pPr>
            <w:r>
              <w:rPr>
                <w:rFonts w:hint="eastAsia" w:ascii="黑体" w:hAnsi="黑体" w:eastAsia="黑体" w:cs="仿宋_GB2312"/>
                <w:snapToGrid w:val="0"/>
                <w:szCs w:val="24"/>
              </w:rPr>
              <w:t>中远期：</w:t>
            </w:r>
            <w:r>
              <w:rPr>
                <w:rFonts w:hint="eastAsia"/>
              </w:rPr>
              <w:t>中远期资阳市中心城区公交车辆总数达</w:t>
            </w:r>
            <w:r>
              <w:t>785</w:t>
            </w:r>
            <w:r>
              <w:rPr>
                <w:rFonts w:hint="eastAsia"/>
              </w:rPr>
              <w:t>辆，折合</w:t>
            </w:r>
            <w:r>
              <w:t>1001</w:t>
            </w:r>
            <w:r>
              <w:rPr>
                <w:rFonts w:hint="eastAsia"/>
              </w:rPr>
              <w:t>标台，人均万人拥有率1</w:t>
            </w:r>
            <w:r>
              <w:t>1.7</w:t>
            </w:r>
            <w:r>
              <w:rPr>
                <w:rFonts w:hint="eastAsia"/>
              </w:rPr>
              <w:t>标台。</w:t>
            </w:r>
          </w:p>
        </w:tc>
      </w:tr>
    </w:tbl>
    <w:p>
      <w:pPr>
        <w:ind w:firstLine="482"/>
      </w:pPr>
      <w:r>
        <w:rPr>
          <w:rFonts w:hint="eastAsia"/>
          <w:b/>
          <w:bCs/>
        </w:rPr>
        <w:t>四是</w:t>
      </w:r>
      <w:r>
        <w:rPr>
          <w:rFonts w:hint="eastAsia"/>
        </w:rPr>
        <w:t>公交优先作为解决城市交通问题的重要手段，在规划期内合理设置公交专用道，形成公交专用道网络，将进一步提高公共交通的竞争力；</w:t>
      </w:r>
    </w:p>
    <w:tbl>
      <w:tblPr>
        <w:tblStyle w:val="9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67" w:hRule="atLeast"/>
        </w:trPr>
        <w:tc>
          <w:tcPr>
            <w:tcW w:w="8522" w:type="dxa"/>
            <w:shd w:val="clear" w:color="auto" w:fill="CCC0D9"/>
            <w:vAlign w:val="center"/>
          </w:tcPr>
          <w:p>
            <w:pPr>
              <w:ind w:firstLine="0" w:firstLineChars="0"/>
              <w:jc w:val="center"/>
              <w:rPr>
                <w:rFonts w:eastAsia="黑体" w:cs="Times New Roman"/>
                <w:snapToGrid w:val="0"/>
                <w:sz w:val="28"/>
                <w:szCs w:val="28"/>
              </w:rPr>
            </w:pPr>
            <w:r>
              <w:rPr>
                <w:rFonts w:eastAsia="黑体" w:cs="Times New Roman"/>
                <w:sz w:val="28"/>
                <w:szCs w:val="28"/>
              </w:rPr>
              <w:t>专栏4 规划</w:t>
            </w:r>
            <w:r>
              <w:rPr>
                <w:rFonts w:eastAsia="黑体" w:cs="Times New Roman"/>
                <w:snapToGrid w:val="0"/>
                <w:sz w:val="28"/>
                <w:szCs w:val="28"/>
              </w:rPr>
              <w:t>期公交专用道重点建设内容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2551" w:hRule="atLeast"/>
        </w:trPr>
        <w:tc>
          <w:tcPr>
            <w:tcW w:w="8522" w:type="dxa"/>
            <w:shd w:val="clear" w:color="auto" w:fill="CCC0D9"/>
            <w:vAlign w:val="center"/>
          </w:tcPr>
          <w:p>
            <w:pPr>
              <w:ind w:firstLine="480"/>
            </w:pPr>
            <w:r>
              <w:rPr>
                <w:rFonts w:hint="eastAsia" w:ascii="黑体" w:hAnsi="黑体" w:eastAsia="黑体"/>
                <w:bCs/>
              </w:rPr>
              <w:t>近期：</w:t>
            </w:r>
            <w:r>
              <w:t>根据实际调研</w:t>
            </w:r>
            <w:r>
              <w:rPr>
                <w:rFonts w:hint="eastAsia"/>
              </w:rPr>
              <w:t>，资阳</w:t>
            </w:r>
            <w:r>
              <w:t>市中心城区最拥堵路段就是主干道，根据公交专用车道的设置条件及成都市实施公交专用道的成功经验，</w:t>
            </w:r>
            <w:r>
              <w:rPr>
                <w:rFonts w:hint="eastAsia"/>
              </w:rPr>
              <w:t>规划车城大道、</w:t>
            </w:r>
            <w:r>
              <w:t>娇子大道</w:t>
            </w:r>
            <w:r>
              <w:rPr>
                <w:rFonts w:hint="eastAsia"/>
              </w:rPr>
              <w:t>、</w:t>
            </w:r>
            <w:r>
              <w:t>迎宾大道</w:t>
            </w:r>
            <w:r>
              <w:rPr>
                <w:rFonts w:hint="eastAsia"/>
              </w:rPr>
              <w:t>、蜀乡大道（含沱二桥）、城南大道、锦湾大道</w:t>
            </w:r>
            <w:r>
              <w:t>等路段</w:t>
            </w:r>
            <w:r>
              <w:rPr>
                <w:rFonts w:hint="eastAsia"/>
              </w:rPr>
              <w:t>的公交优先道，</w:t>
            </w:r>
            <w:r>
              <w:t>合计23.27</w:t>
            </w:r>
            <w:r>
              <w:rPr>
                <w:rFonts w:hint="eastAsia"/>
              </w:rPr>
              <w:t>km。</w:t>
            </w:r>
          </w:p>
          <w:p>
            <w:pPr>
              <w:ind w:firstLine="480"/>
            </w:pPr>
            <w:r>
              <w:rPr>
                <w:rFonts w:hint="eastAsia" w:ascii="黑体" w:hAnsi="黑体" w:eastAsia="黑体"/>
                <w:bCs/>
              </w:rPr>
              <w:t>中远期</w:t>
            </w:r>
            <w:r>
              <w:rPr>
                <w:rFonts w:hint="eastAsia"/>
              </w:rPr>
              <w:t>：增加</w:t>
            </w:r>
            <w:r>
              <w:t>沱四桥和二环路北三段</w:t>
            </w:r>
            <w:r>
              <w:rPr>
                <w:rFonts w:hint="eastAsia"/>
              </w:rPr>
              <w:t>，作为公交专用道，合计共3</w:t>
            </w:r>
            <w:r>
              <w:t>1.7</w:t>
            </w:r>
            <w:r>
              <w:rPr>
                <w:rFonts w:hint="eastAsia"/>
              </w:rPr>
              <w:t>km。</w:t>
            </w:r>
          </w:p>
        </w:tc>
      </w:tr>
    </w:tbl>
    <w:p>
      <w:pPr>
        <w:spacing w:before="156" w:after="156"/>
        <w:ind w:firstLine="420" w:firstLineChars="0"/>
      </w:pPr>
      <w:r>
        <w:rPr>
          <w:rFonts w:hint="eastAsia"/>
          <w:b/>
          <w:bCs/>
        </w:rPr>
        <w:t>五是</w:t>
      </w:r>
      <w:r>
        <w:t>智慧公交显著提升。推</w:t>
      </w:r>
      <w:r>
        <w:rPr>
          <w:rFonts w:asciiTheme="majorEastAsia" w:hAnsiTheme="majorEastAsia" w:eastAsiaTheme="majorEastAsia"/>
        </w:rPr>
        <w:t>动“</w:t>
      </w:r>
      <w:r>
        <w:t>互联网+公交</w:t>
      </w:r>
      <w:r>
        <w:rPr>
          <w:rFonts w:asciiTheme="majorEastAsia" w:hAnsiTheme="majorEastAsia" w:eastAsiaTheme="majorEastAsia"/>
        </w:rPr>
        <w:t>”</w:t>
      </w:r>
      <w:r>
        <w:t>的深度融合，推进现代化智能装备体系建设，大力推进移动互联系统的应用，持续优化、深入应用</w:t>
      </w:r>
      <w:r>
        <w:rPr>
          <w:rFonts w:hint="eastAsia"/>
        </w:rPr>
        <w:t>“</w:t>
      </w:r>
      <w:r>
        <w:t>大数据</w:t>
      </w:r>
      <w:r>
        <w:rPr>
          <w:rFonts w:hint="eastAsia"/>
        </w:rPr>
        <w:t>”</w:t>
      </w:r>
      <w:r>
        <w:t>分析系统</w:t>
      </w:r>
      <w:r>
        <w:rPr>
          <w:rFonts w:hint="eastAsia"/>
        </w:rPr>
        <w:t>；</w:t>
      </w:r>
    </w:p>
    <w:tbl>
      <w:tblPr>
        <w:tblStyle w:val="94"/>
        <w:tblW w:w="852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52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567" w:hRule="atLeast"/>
        </w:trPr>
        <w:tc>
          <w:tcPr>
            <w:tcW w:w="8522" w:type="dxa"/>
            <w:shd w:val="clear" w:color="auto" w:fill="CCC0D9"/>
            <w:vAlign w:val="center"/>
          </w:tcPr>
          <w:p>
            <w:pPr>
              <w:ind w:firstLine="0" w:firstLineChars="0"/>
              <w:jc w:val="center"/>
              <w:rPr>
                <w:rFonts w:eastAsia="黑体" w:cs="Times New Roman"/>
                <w:snapToGrid w:val="0"/>
                <w:sz w:val="28"/>
                <w:szCs w:val="28"/>
              </w:rPr>
            </w:pPr>
            <w:r>
              <w:rPr>
                <w:rFonts w:eastAsia="黑体" w:cs="Times New Roman"/>
                <w:sz w:val="28"/>
                <w:szCs w:val="28"/>
              </w:rPr>
              <w:t>专栏5 规划</w:t>
            </w:r>
            <w:r>
              <w:rPr>
                <w:rFonts w:eastAsia="黑体" w:cs="Times New Roman"/>
                <w:snapToGrid w:val="0"/>
                <w:sz w:val="28"/>
                <w:szCs w:val="28"/>
              </w:rPr>
              <w:t>期公交信息化重点建设内容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985" w:hRule="atLeast"/>
        </w:trPr>
        <w:tc>
          <w:tcPr>
            <w:tcW w:w="8522" w:type="dxa"/>
            <w:shd w:val="clear" w:color="auto" w:fill="CCC0D9"/>
            <w:vAlign w:val="center"/>
          </w:tcPr>
          <w:p>
            <w:pPr>
              <w:spacing w:before="156" w:after="156"/>
              <w:ind w:firstLine="480"/>
              <w:rPr>
                <w:rFonts w:cs="Times New Roman"/>
              </w:rPr>
            </w:pPr>
            <w:r>
              <w:rPr>
                <w:rFonts w:hint="eastAsia" w:ascii="黑体" w:hAnsi="黑体" w:eastAsia="黑体" w:cs="仿宋_GB2312"/>
                <w:snapToGrid w:val="0"/>
                <w:szCs w:val="24"/>
              </w:rPr>
              <w:t>近期：</w:t>
            </w:r>
            <w:r>
              <w:rPr>
                <w:rFonts w:cs="Times New Roman"/>
              </w:rPr>
              <w:t>进一步拓展完善现有的IC卡系统</w:t>
            </w:r>
            <w:r>
              <w:rPr>
                <w:rFonts w:hint="eastAsia" w:cs="Times New Roman"/>
              </w:rPr>
              <w:t>；</w:t>
            </w:r>
            <w:r>
              <w:rPr>
                <w:rFonts w:cs="Times New Roman"/>
              </w:rPr>
              <w:t>进行公交调度指挥中心的功能完善建设</w:t>
            </w:r>
            <w:r>
              <w:rPr>
                <w:rFonts w:hint="eastAsia" w:cs="Times New Roman"/>
              </w:rPr>
              <w:t>；建设全国交通一卡通系统平台。实现交通一卡全国互联互通，支持手机NFC、金融类卡以及二维码消费，实现公交刷卡消费全支付，方便市民刷卡消费，并进一步用银行网点扩展办卡及充值网点。搭建资阳城市公交APP系统和微信公众服务信息平台，实现市民利用手机实时查询公交线路、公交车辆运行轨迹等公交出行信息，准确掌握公交车到站时间。建设公交智能调度和视频监控系统平台。实现公交车运营调度信息化，提升公交车运行效率。建成全维度的公交运营数据的统计和分析，提升公司的运营管理水平。建设ERP综合业务信息，实现对公司运营、维修、收银、人力资源、信息统计分析、薪酬等各项业务运转全信息化和流程化管理。</w:t>
            </w:r>
          </w:p>
          <w:p>
            <w:pPr>
              <w:ind w:firstLine="480"/>
            </w:pPr>
            <w:r>
              <w:rPr>
                <w:rFonts w:hint="eastAsia" w:ascii="黑体" w:hAnsi="黑体" w:eastAsia="黑体" w:cs="仿宋_GB2312"/>
                <w:snapToGrid w:val="0"/>
                <w:szCs w:val="24"/>
              </w:rPr>
              <w:t>中期：</w:t>
            </w:r>
            <w:r>
              <w:rPr>
                <w:rFonts w:cs="Times New Roman"/>
              </w:rPr>
              <w:t>建设城市综合调度指挥中心，继续完善智能调度系统、图像信息管理系统，进一步实现车辆调度的科学化、营运数据统计的自动化、车速监控的全程化，有效利用公交大数据，企业管理系统及乘客出行便捷系统得到全面升级，为乘客提供更加智能化、人性化的服务</w:t>
            </w:r>
            <w:r>
              <w:rPr>
                <w:rFonts w:hint="eastAsia" w:cs="Times New Roman"/>
              </w:rPr>
              <w:t>。</w:t>
            </w:r>
          </w:p>
        </w:tc>
      </w:tr>
    </w:tbl>
    <w:p>
      <w:pPr>
        <w:pStyle w:val="4"/>
      </w:pPr>
      <w:bookmarkStart w:id="241" w:name="_Toc518573725"/>
      <w:bookmarkStart w:id="242" w:name="_Toc12007"/>
      <w:r>
        <w:rPr>
          <w:rFonts w:hint="eastAsia"/>
        </w:rPr>
        <w:t>1</w:t>
      </w:r>
      <w:r>
        <w:t>1</w:t>
      </w:r>
      <w:r>
        <w:rPr>
          <w:rFonts w:hint="eastAsia"/>
        </w:rPr>
        <w:t>.</w:t>
      </w:r>
      <w:r>
        <w:t xml:space="preserve">2 </w:t>
      </w:r>
      <w:r>
        <w:rPr>
          <w:rFonts w:hint="eastAsia"/>
        </w:rPr>
        <w:t>实施安排与资金测算</w:t>
      </w:r>
      <w:bookmarkEnd w:id="241"/>
      <w:bookmarkEnd w:id="242"/>
    </w:p>
    <w:p>
      <w:pPr>
        <w:pStyle w:val="5"/>
      </w:pPr>
      <w:bookmarkStart w:id="243" w:name="_Toc21581"/>
      <w:bookmarkStart w:id="244" w:name="_Toc518573726"/>
      <w:r>
        <w:rPr>
          <w:rFonts w:hint="eastAsia"/>
        </w:rPr>
        <w:t>1</w:t>
      </w:r>
      <w:r>
        <w:t>1</w:t>
      </w:r>
      <w:r>
        <w:rPr>
          <w:rFonts w:hint="eastAsia"/>
        </w:rPr>
        <w:t>.2.1</w:t>
      </w:r>
      <w:r>
        <w:t xml:space="preserve"> </w:t>
      </w:r>
      <w:r>
        <w:rPr>
          <w:rFonts w:hint="eastAsia"/>
        </w:rPr>
        <w:t>近期项目建设安排</w:t>
      </w:r>
      <w:bookmarkEnd w:id="243"/>
      <w:bookmarkEnd w:id="244"/>
    </w:p>
    <w:p>
      <w:pPr>
        <w:spacing w:before="156" w:after="156"/>
        <w:ind w:firstLine="567" w:firstLineChars="0"/>
      </w:pPr>
      <w:r>
        <w:rPr>
          <w:rFonts w:hint="eastAsia"/>
        </w:rPr>
        <w:t>结合近期城市用地发展方向和当前重大交通设施的建设进展，提出近期公交规划项目库。</w:t>
      </w:r>
    </w:p>
    <w:p>
      <w:pPr>
        <w:spacing w:before="156" w:after="156"/>
        <w:ind w:firstLine="567" w:firstLineChars="0"/>
      </w:pPr>
      <w:r>
        <w:rPr>
          <w:rFonts w:hint="eastAsia"/>
        </w:rPr>
        <w:t>（1）公交线网建设</w:t>
      </w:r>
    </w:p>
    <w:p>
      <w:pPr>
        <w:spacing w:before="156" w:after="156"/>
        <w:ind w:firstLine="720" w:firstLineChars="0"/>
      </w:pPr>
      <w:r>
        <w:rPr>
          <w:rFonts w:hint="eastAsia"/>
        </w:rPr>
        <w:t>对现状1</w:t>
      </w:r>
      <w:r>
        <w:t>7</w:t>
      </w:r>
      <w:r>
        <w:rPr>
          <w:rFonts w:hint="eastAsia"/>
        </w:rPr>
        <w:t>条公交线路进行优化调整，调整公交线路5条；延伸公交线路4条；新增2条，取消1条，规划2020年，资阳市中心城区公交线路共18条，其中快速公交线路2条，干线公交线路4条，支线公交线路12条，形成“2+4+12”公交线网体系。</w:t>
      </w:r>
    </w:p>
    <w:p>
      <w:pPr>
        <w:pStyle w:val="113"/>
        <w:spacing w:before="163" w:after="163"/>
      </w:pPr>
      <w:r>
        <w:rPr>
          <w:rFonts w:hint="eastAsia"/>
        </w:rPr>
        <w:t>表1</w:t>
      </w:r>
      <w:r>
        <w:t>1</w:t>
      </w:r>
      <w:r>
        <w:rPr>
          <w:rFonts w:hint="eastAsia"/>
        </w:rPr>
        <w:t>-1</w:t>
      </w:r>
      <w:r>
        <w:t xml:space="preserve"> </w:t>
      </w:r>
      <w:r>
        <w:rPr>
          <w:rFonts w:hint="eastAsia"/>
        </w:rPr>
        <w:t xml:space="preserve"> 近期公交线网建设情况</w:t>
      </w:r>
    </w:p>
    <w:tbl>
      <w:tblPr>
        <w:tblStyle w:val="94"/>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93"/>
        <w:gridCol w:w="1134"/>
        <w:gridCol w:w="1766"/>
        <w:gridCol w:w="2314"/>
        <w:gridCol w:w="23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tcBorders>
              <w:bottom w:val="single" w:color="auto" w:sz="12" w:space="0"/>
              <w:tl2br w:val="nil"/>
              <w:tr2bl w:val="nil"/>
            </w:tcBorders>
            <w:shd w:val="clear" w:color="auto" w:fill="CCC0D9"/>
            <w:vAlign w:val="center"/>
          </w:tcPr>
          <w:p>
            <w:pPr>
              <w:pStyle w:val="151"/>
              <w:rPr>
                <w:b/>
                <w:bCs w:val="0"/>
              </w:rPr>
            </w:pPr>
            <w:r>
              <w:rPr>
                <w:rFonts w:hint="eastAsia"/>
                <w:b/>
                <w:bCs w:val="0"/>
              </w:rPr>
              <w:t>方案</w:t>
            </w:r>
          </w:p>
        </w:tc>
        <w:tc>
          <w:tcPr>
            <w:tcW w:w="1134" w:type="dxa"/>
            <w:tcBorders>
              <w:bottom w:val="single" w:color="auto" w:sz="12" w:space="0"/>
              <w:tl2br w:val="nil"/>
              <w:tr2bl w:val="nil"/>
            </w:tcBorders>
            <w:shd w:val="clear" w:color="auto" w:fill="CCC0D9"/>
            <w:vAlign w:val="center"/>
          </w:tcPr>
          <w:p>
            <w:pPr>
              <w:pStyle w:val="151"/>
              <w:rPr>
                <w:b/>
                <w:bCs w:val="0"/>
              </w:rPr>
            </w:pPr>
            <w:r>
              <w:rPr>
                <w:rFonts w:hint="eastAsia"/>
                <w:b/>
                <w:bCs w:val="0"/>
              </w:rPr>
              <w:t>序号</w:t>
            </w:r>
          </w:p>
        </w:tc>
        <w:tc>
          <w:tcPr>
            <w:tcW w:w="1766" w:type="dxa"/>
            <w:tcBorders>
              <w:bottom w:val="single" w:color="auto" w:sz="12" w:space="0"/>
              <w:tl2br w:val="nil"/>
              <w:tr2bl w:val="nil"/>
            </w:tcBorders>
            <w:shd w:val="clear" w:color="auto" w:fill="CCC0D9"/>
            <w:vAlign w:val="center"/>
          </w:tcPr>
          <w:p>
            <w:pPr>
              <w:pStyle w:val="151"/>
              <w:rPr>
                <w:b/>
                <w:bCs w:val="0"/>
              </w:rPr>
            </w:pPr>
            <w:r>
              <w:rPr>
                <w:rFonts w:hint="eastAsia"/>
                <w:b/>
                <w:bCs w:val="0"/>
              </w:rPr>
              <w:t>路别</w:t>
            </w:r>
          </w:p>
        </w:tc>
        <w:tc>
          <w:tcPr>
            <w:tcW w:w="2314" w:type="dxa"/>
            <w:tcBorders>
              <w:bottom w:val="single" w:color="auto" w:sz="12" w:space="0"/>
              <w:tl2br w:val="nil"/>
              <w:tr2bl w:val="nil"/>
            </w:tcBorders>
            <w:shd w:val="clear" w:color="auto" w:fill="CCC0D9"/>
            <w:vAlign w:val="center"/>
          </w:tcPr>
          <w:p>
            <w:pPr>
              <w:pStyle w:val="151"/>
              <w:rPr>
                <w:b/>
                <w:bCs w:val="0"/>
              </w:rPr>
            </w:pPr>
            <w:r>
              <w:rPr>
                <w:rFonts w:hint="eastAsia"/>
                <w:b/>
                <w:bCs w:val="0"/>
              </w:rPr>
              <w:t>性质</w:t>
            </w:r>
          </w:p>
        </w:tc>
        <w:tc>
          <w:tcPr>
            <w:tcW w:w="2315" w:type="dxa"/>
            <w:tcBorders>
              <w:bottom w:val="single" w:color="auto" w:sz="12" w:space="0"/>
              <w:tl2br w:val="nil"/>
              <w:tr2bl w:val="nil"/>
            </w:tcBorders>
            <w:shd w:val="clear" w:color="auto" w:fill="CCC0D9"/>
            <w:vAlign w:val="center"/>
          </w:tcPr>
          <w:p>
            <w:pPr>
              <w:pStyle w:val="151"/>
              <w:rPr>
                <w:b/>
                <w:bCs w:val="0"/>
              </w:rPr>
            </w:pPr>
            <w:r>
              <w:rPr>
                <w:rFonts w:hint="eastAsia"/>
                <w:b/>
                <w:bCs w:val="0"/>
              </w:rPr>
              <w:t>长度（km）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trPr>
        <w:tc>
          <w:tcPr>
            <w:tcW w:w="993" w:type="dxa"/>
            <w:vMerge w:val="restart"/>
            <w:tcBorders>
              <w:top w:val="single" w:color="auto" w:sz="12" w:space="0"/>
              <w:tl2br w:val="nil"/>
              <w:tr2bl w:val="nil"/>
            </w:tcBorders>
            <w:vAlign w:val="center"/>
          </w:tcPr>
          <w:p>
            <w:pPr>
              <w:pStyle w:val="151"/>
              <w:rPr>
                <w:b/>
              </w:rPr>
            </w:pPr>
            <w:r>
              <w:rPr>
                <w:rFonts w:hint="eastAsia"/>
                <w:b/>
              </w:rPr>
              <w:t>新辟</w:t>
            </w:r>
          </w:p>
        </w:tc>
        <w:tc>
          <w:tcPr>
            <w:tcW w:w="1134" w:type="dxa"/>
            <w:tcBorders>
              <w:top w:val="single" w:color="auto" w:sz="12" w:space="0"/>
              <w:tl2br w:val="nil"/>
              <w:tr2bl w:val="nil"/>
            </w:tcBorders>
            <w:vAlign w:val="center"/>
          </w:tcPr>
          <w:p>
            <w:pPr>
              <w:pStyle w:val="151"/>
              <w:rPr>
                <w:bCs w:val="0"/>
              </w:rPr>
            </w:pPr>
            <w:r>
              <w:rPr>
                <w:rFonts w:hint="eastAsia"/>
              </w:rPr>
              <w:t>1</w:t>
            </w:r>
          </w:p>
        </w:tc>
        <w:tc>
          <w:tcPr>
            <w:tcW w:w="1766" w:type="dxa"/>
            <w:tcBorders>
              <w:top w:val="single" w:color="auto" w:sz="12" w:space="0"/>
              <w:tl2br w:val="nil"/>
              <w:tr2bl w:val="nil"/>
            </w:tcBorders>
            <w:vAlign w:val="center"/>
          </w:tcPr>
          <w:p>
            <w:pPr>
              <w:pStyle w:val="151"/>
              <w:rPr>
                <w:bCs w:val="0"/>
              </w:rPr>
            </w:pPr>
            <w:r>
              <w:t>8路</w:t>
            </w:r>
          </w:p>
        </w:tc>
        <w:tc>
          <w:tcPr>
            <w:tcW w:w="2314" w:type="dxa"/>
            <w:tcBorders>
              <w:top w:val="single" w:color="auto" w:sz="12" w:space="0"/>
              <w:tl2br w:val="nil"/>
              <w:tr2bl w:val="nil"/>
            </w:tcBorders>
            <w:vAlign w:val="center"/>
          </w:tcPr>
          <w:p>
            <w:pPr>
              <w:pStyle w:val="151"/>
              <w:rPr>
                <w:bCs w:val="0"/>
              </w:rPr>
            </w:pPr>
            <w:r>
              <w:rPr>
                <w:rFonts w:hint="eastAsia"/>
              </w:rPr>
              <w:t>支线</w:t>
            </w:r>
          </w:p>
        </w:tc>
        <w:tc>
          <w:tcPr>
            <w:tcW w:w="2315" w:type="dxa"/>
            <w:tcBorders>
              <w:top w:val="single" w:color="auto" w:sz="12" w:space="0"/>
              <w:tl2br w:val="nil"/>
              <w:tr2bl w:val="nil"/>
            </w:tcBorders>
            <w:vAlign w:val="center"/>
          </w:tcPr>
          <w:p>
            <w:pPr>
              <w:pStyle w:val="151"/>
              <w:rPr>
                <w:bCs w:val="0"/>
              </w:rPr>
            </w:pPr>
            <w:r>
              <w:t>10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trPr>
        <w:tc>
          <w:tcPr>
            <w:tcW w:w="993" w:type="dxa"/>
            <w:vMerge w:val="continue"/>
            <w:tcBorders>
              <w:tl2br w:val="nil"/>
              <w:tr2bl w:val="nil"/>
            </w:tcBorders>
            <w:vAlign w:val="center"/>
          </w:tcPr>
          <w:p>
            <w:pPr>
              <w:pStyle w:val="151"/>
              <w:rPr>
                <w:b/>
              </w:rPr>
            </w:pPr>
          </w:p>
        </w:tc>
        <w:tc>
          <w:tcPr>
            <w:tcW w:w="1134" w:type="dxa"/>
            <w:tcBorders>
              <w:top w:val="single" w:color="auto" w:sz="12" w:space="0"/>
              <w:tl2br w:val="nil"/>
              <w:tr2bl w:val="nil"/>
            </w:tcBorders>
            <w:vAlign w:val="center"/>
          </w:tcPr>
          <w:p>
            <w:pPr>
              <w:pStyle w:val="151"/>
              <w:rPr>
                <w:bCs w:val="0"/>
              </w:rPr>
            </w:pPr>
            <w:r>
              <w:rPr>
                <w:rFonts w:hint="eastAsia"/>
              </w:rPr>
              <w:t>2</w:t>
            </w:r>
          </w:p>
        </w:tc>
        <w:tc>
          <w:tcPr>
            <w:tcW w:w="1766" w:type="dxa"/>
            <w:tcBorders>
              <w:top w:val="single" w:color="auto" w:sz="12" w:space="0"/>
              <w:tl2br w:val="nil"/>
              <w:tr2bl w:val="nil"/>
            </w:tcBorders>
            <w:vAlign w:val="center"/>
          </w:tcPr>
          <w:p>
            <w:pPr>
              <w:pStyle w:val="151"/>
              <w:rPr>
                <w:bCs w:val="0"/>
              </w:rPr>
            </w:pPr>
            <w:r>
              <w:rPr>
                <w:rFonts w:hint="eastAsia"/>
              </w:rPr>
              <w:t>12路</w:t>
            </w:r>
          </w:p>
        </w:tc>
        <w:tc>
          <w:tcPr>
            <w:tcW w:w="2314" w:type="dxa"/>
            <w:tcBorders>
              <w:top w:val="single" w:color="auto" w:sz="12" w:space="0"/>
              <w:tl2br w:val="nil"/>
              <w:tr2bl w:val="nil"/>
            </w:tcBorders>
            <w:vAlign w:val="center"/>
          </w:tcPr>
          <w:p>
            <w:pPr>
              <w:pStyle w:val="151"/>
              <w:rPr>
                <w:bCs w:val="0"/>
              </w:rPr>
            </w:pPr>
            <w:r>
              <w:rPr>
                <w:rFonts w:hint="eastAsia"/>
              </w:rPr>
              <w:t>支线</w:t>
            </w:r>
          </w:p>
        </w:tc>
        <w:tc>
          <w:tcPr>
            <w:tcW w:w="2315" w:type="dxa"/>
            <w:tcBorders>
              <w:top w:val="single" w:color="auto" w:sz="12" w:space="0"/>
              <w:tl2br w:val="nil"/>
              <w:tr2bl w:val="nil"/>
            </w:tcBorders>
            <w:vAlign w:val="center"/>
          </w:tcPr>
          <w:p>
            <w:pPr>
              <w:pStyle w:val="151"/>
              <w:rPr>
                <w:bCs w:val="0"/>
              </w:rPr>
            </w:pPr>
            <w:r>
              <w:rPr>
                <w:rFonts w:hint="eastAsia"/>
              </w:rPr>
              <w:t>6.36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trPr>
        <w:tc>
          <w:tcPr>
            <w:tcW w:w="993" w:type="dxa"/>
            <w:vMerge w:val="restart"/>
            <w:tcBorders>
              <w:tl2br w:val="nil"/>
              <w:tr2bl w:val="nil"/>
            </w:tcBorders>
            <w:vAlign w:val="center"/>
          </w:tcPr>
          <w:p>
            <w:pPr>
              <w:pStyle w:val="151"/>
              <w:rPr>
                <w:b/>
              </w:rPr>
            </w:pPr>
            <w:r>
              <w:rPr>
                <w:rFonts w:hint="eastAsia"/>
                <w:b/>
              </w:rPr>
              <w:t>调整</w:t>
            </w:r>
          </w:p>
        </w:tc>
        <w:tc>
          <w:tcPr>
            <w:tcW w:w="1134" w:type="dxa"/>
            <w:tcBorders>
              <w:tl2br w:val="nil"/>
              <w:tr2bl w:val="nil"/>
            </w:tcBorders>
            <w:vAlign w:val="center"/>
          </w:tcPr>
          <w:p>
            <w:pPr>
              <w:pStyle w:val="151"/>
              <w:rPr>
                <w:bCs w:val="0"/>
              </w:rPr>
            </w:pPr>
            <w:r>
              <w:rPr>
                <w:rFonts w:hint="eastAsia"/>
              </w:rPr>
              <w:t>3</w:t>
            </w:r>
          </w:p>
        </w:tc>
        <w:tc>
          <w:tcPr>
            <w:tcW w:w="1766" w:type="dxa"/>
            <w:tcBorders>
              <w:tl2br w:val="nil"/>
              <w:tr2bl w:val="nil"/>
            </w:tcBorders>
            <w:vAlign w:val="center"/>
          </w:tcPr>
          <w:p>
            <w:pPr>
              <w:pStyle w:val="151"/>
              <w:rPr>
                <w:bCs w:val="0"/>
              </w:rPr>
            </w:pPr>
            <w:r>
              <w:rPr>
                <w:rFonts w:hint="eastAsia"/>
              </w:rPr>
              <w:t>3路</w:t>
            </w:r>
          </w:p>
        </w:tc>
        <w:tc>
          <w:tcPr>
            <w:tcW w:w="2314" w:type="dxa"/>
            <w:tcBorders>
              <w:tl2br w:val="nil"/>
              <w:tr2bl w:val="nil"/>
            </w:tcBorders>
            <w:vAlign w:val="center"/>
          </w:tcPr>
          <w:p>
            <w:pPr>
              <w:pStyle w:val="151"/>
              <w:rPr>
                <w:bCs w:val="0"/>
              </w:rPr>
            </w:pPr>
            <w:r>
              <w:rPr>
                <w:rFonts w:hint="eastAsia"/>
              </w:rPr>
              <w:t>干线</w:t>
            </w:r>
          </w:p>
        </w:tc>
        <w:tc>
          <w:tcPr>
            <w:tcW w:w="2315" w:type="dxa"/>
            <w:tcBorders>
              <w:tl2br w:val="nil"/>
              <w:tr2bl w:val="nil"/>
            </w:tcBorders>
            <w:vAlign w:val="center"/>
          </w:tcPr>
          <w:p>
            <w:pPr>
              <w:pStyle w:val="151"/>
              <w:rPr>
                <w:bCs w:val="0"/>
              </w:rPr>
            </w:pPr>
            <w:r>
              <w:t>10.03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4</w:t>
            </w:r>
          </w:p>
        </w:tc>
        <w:tc>
          <w:tcPr>
            <w:tcW w:w="1766" w:type="dxa"/>
            <w:tcBorders>
              <w:tl2br w:val="nil"/>
              <w:tr2bl w:val="nil"/>
            </w:tcBorders>
            <w:vAlign w:val="center"/>
          </w:tcPr>
          <w:p>
            <w:pPr>
              <w:pStyle w:val="151"/>
              <w:rPr>
                <w:bCs w:val="0"/>
              </w:rPr>
            </w:pPr>
            <w:r>
              <w:rPr>
                <w:rFonts w:hint="eastAsia"/>
              </w:rPr>
              <w:t>6路</w:t>
            </w:r>
          </w:p>
        </w:tc>
        <w:tc>
          <w:tcPr>
            <w:tcW w:w="2314" w:type="dxa"/>
            <w:tcBorders>
              <w:tl2br w:val="nil"/>
              <w:tr2bl w:val="nil"/>
            </w:tcBorders>
            <w:vAlign w:val="center"/>
          </w:tcPr>
          <w:p>
            <w:pPr>
              <w:pStyle w:val="151"/>
              <w:rPr>
                <w:bCs w:val="0"/>
              </w:rPr>
            </w:pPr>
            <w:r>
              <w:rPr>
                <w:rFonts w:hint="eastAsia"/>
              </w:rPr>
              <w:t>干线</w:t>
            </w:r>
          </w:p>
        </w:tc>
        <w:tc>
          <w:tcPr>
            <w:tcW w:w="2315" w:type="dxa"/>
            <w:tcBorders>
              <w:tl2br w:val="nil"/>
              <w:tr2bl w:val="nil"/>
            </w:tcBorders>
            <w:vAlign w:val="center"/>
          </w:tcPr>
          <w:p>
            <w:pPr>
              <w:pStyle w:val="151"/>
              <w:rPr>
                <w:bCs w:val="0"/>
              </w:rPr>
            </w:pPr>
            <w:r>
              <w:t>13.95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327"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5</w:t>
            </w:r>
          </w:p>
        </w:tc>
        <w:tc>
          <w:tcPr>
            <w:tcW w:w="1766" w:type="dxa"/>
            <w:tcBorders>
              <w:tl2br w:val="nil"/>
              <w:tr2bl w:val="nil"/>
            </w:tcBorders>
            <w:vAlign w:val="center"/>
          </w:tcPr>
          <w:p>
            <w:pPr>
              <w:pStyle w:val="151"/>
              <w:rPr>
                <w:bCs w:val="0"/>
              </w:rPr>
            </w:pPr>
            <w:r>
              <w:rPr>
                <w:rFonts w:hint="eastAsia"/>
              </w:rPr>
              <w:t>7路</w:t>
            </w:r>
          </w:p>
        </w:tc>
        <w:tc>
          <w:tcPr>
            <w:tcW w:w="2314" w:type="dxa"/>
            <w:tcBorders>
              <w:tl2br w:val="nil"/>
              <w:tr2bl w:val="nil"/>
            </w:tcBorders>
            <w:vAlign w:val="center"/>
          </w:tcPr>
          <w:p>
            <w:pPr>
              <w:pStyle w:val="151"/>
              <w:rPr>
                <w:bCs w:val="0"/>
              </w:rPr>
            </w:pPr>
            <w:r>
              <w:rPr>
                <w:rFonts w:hint="eastAsia"/>
              </w:rPr>
              <w:t>干线</w:t>
            </w:r>
          </w:p>
        </w:tc>
        <w:tc>
          <w:tcPr>
            <w:tcW w:w="2315" w:type="dxa"/>
            <w:tcBorders>
              <w:tl2br w:val="nil"/>
              <w:tr2bl w:val="nil"/>
            </w:tcBorders>
            <w:vAlign w:val="center"/>
          </w:tcPr>
          <w:p>
            <w:pPr>
              <w:pStyle w:val="151"/>
              <w:rPr>
                <w:bCs w:val="0"/>
              </w:rPr>
            </w:pPr>
            <w:r>
              <w:rPr>
                <w:rFonts w:hint="eastAsia"/>
              </w:rPr>
              <w:t>17.16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6</w:t>
            </w:r>
          </w:p>
        </w:tc>
        <w:tc>
          <w:tcPr>
            <w:tcW w:w="1766" w:type="dxa"/>
            <w:tcBorders>
              <w:tl2br w:val="nil"/>
              <w:tr2bl w:val="nil"/>
            </w:tcBorders>
            <w:vAlign w:val="center"/>
          </w:tcPr>
          <w:p>
            <w:pPr>
              <w:pStyle w:val="151"/>
              <w:rPr>
                <w:bCs w:val="0"/>
              </w:rPr>
            </w:pPr>
            <w:r>
              <w:rPr>
                <w:rFonts w:hint="eastAsia"/>
              </w:rPr>
              <w:t>2路</w:t>
            </w:r>
          </w:p>
        </w:tc>
        <w:tc>
          <w:tcPr>
            <w:tcW w:w="2314" w:type="dxa"/>
            <w:tcBorders>
              <w:tl2br w:val="nil"/>
              <w:tr2bl w:val="nil"/>
            </w:tcBorders>
            <w:vAlign w:val="center"/>
          </w:tcPr>
          <w:p>
            <w:pPr>
              <w:pStyle w:val="151"/>
              <w:rPr>
                <w:bCs w:val="0"/>
              </w:rPr>
            </w:pPr>
            <w:r>
              <w:rPr>
                <w:rFonts w:hint="eastAsia"/>
              </w:rPr>
              <w:t>支线</w:t>
            </w:r>
          </w:p>
        </w:tc>
        <w:tc>
          <w:tcPr>
            <w:tcW w:w="2315" w:type="dxa"/>
            <w:tcBorders>
              <w:tl2br w:val="nil"/>
              <w:tr2bl w:val="nil"/>
            </w:tcBorders>
            <w:vAlign w:val="center"/>
          </w:tcPr>
          <w:p>
            <w:pPr>
              <w:pStyle w:val="151"/>
              <w:rPr>
                <w:bCs w:val="0"/>
              </w:rPr>
            </w:pPr>
            <w:r>
              <w:rPr>
                <w:rFonts w:hint="eastAsia"/>
              </w:rPr>
              <w:t>17.11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7</w:t>
            </w:r>
          </w:p>
        </w:tc>
        <w:tc>
          <w:tcPr>
            <w:tcW w:w="1766" w:type="dxa"/>
            <w:tcBorders>
              <w:tl2br w:val="nil"/>
              <w:tr2bl w:val="nil"/>
            </w:tcBorders>
            <w:vAlign w:val="center"/>
          </w:tcPr>
          <w:p>
            <w:pPr>
              <w:pStyle w:val="151"/>
              <w:rPr>
                <w:bCs w:val="0"/>
              </w:rPr>
            </w:pPr>
            <w:r>
              <w:rPr>
                <w:rFonts w:hint="eastAsia"/>
              </w:rPr>
              <w:t>4路</w:t>
            </w:r>
          </w:p>
        </w:tc>
        <w:tc>
          <w:tcPr>
            <w:tcW w:w="2314" w:type="dxa"/>
            <w:tcBorders>
              <w:tl2br w:val="nil"/>
              <w:tr2bl w:val="nil"/>
            </w:tcBorders>
            <w:vAlign w:val="center"/>
          </w:tcPr>
          <w:p>
            <w:pPr>
              <w:pStyle w:val="151"/>
              <w:rPr>
                <w:bCs w:val="0"/>
              </w:rPr>
            </w:pPr>
            <w:r>
              <w:rPr>
                <w:rFonts w:hint="eastAsia"/>
              </w:rPr>
              <w:t>支线</w:t>
            </w:r>
          </w:p>
        </w:tc>
        <w:tc>
          <w:tcPr>
            <w:tcW w:w="2315" w:type="dxa"/>
            <w:tcBorders>
              <w:tl2br w:val="nil"/>
              <w:tr2bl w:val="nil"/>
            </w:tcBorders>
            <w:vAlign w:val="center"/>
          </w:tcPr>
          <w:p>
            <w:pPr>
              <w:pStyle w:val="151"/>
              <w:rPr>
                <w:bCs w:val="0"/>
              </w:rPr>
            </w:pPr>
            <w:r>
              <w:rPr>
                <w:rFonts w:hint="eastAsia"/>
              </w:rPr>
              <w:t>15.99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restart"/>
            <w:tcBorders>
              <w:tl2br w:val="nil"/>
              <w:tr2bl w:val="nil"/>
            </w:tcBorders>
            <w:vAlign w:val="center"/>
          </w:tcPr>
          <w:p>
            <w:pPr>
              <w:pStyle w:val="151"/>
              <w:rPr>
                <w:b/>
              </w:rPr>
            </w:pPr>
            <w:r>
              <w:rPr>
                <w:rFonts w:hint="eastAsia"/>
                <w:b/>
              </w:rPr>
              <w:t>延伸</w:t>
            </w:r>
          </w:p>
        </w:tc>
        <w:tc>
          <w:tcPr>
            <w:tcW w:w="1134" w:type="dxa"/>
            <w:tcBorders>
              <w:tl2br w:val="nil"/>
              <w:tr2bl w:val="nil"/>
            </w:tcBorders>
            <w:vAlign w:val="center"/>
          </w:tcPr>
          <w:p>
            <w:pPr>
              <w:pStyle w:val="151"/>
              <w:rPr>
                <w:bCs w:val="0"/>
              </w:rPr>
            </w:pPr>
            <w:r>
              <w:rPr>
                <w:rFonts w:hint="eastAsia"/>
              </w:rPr>
              <w:t>8</w:t>
            </w:r>
          </w:p>
        </w:tc>
        <w:tc>
          <w:tcPr>
            <w:tcW w:w="1766" w:type="dxa"/>
            <w:tcBorders>
              <w:tl2br w:val="nil"/>
              <w:tr2bl w:val="nil"/>
            </w:tcBorders>
            <w:vAlign w:val="center"/>
          </w:tcPr>
          <w:p>
            <w:pPr>
              <w:pStyle w:val="151"/>
              <w:rPr>
                <w:bCs w:val="0"/>
              </w:rPr>
            </w:pPr>
            <w:r>
              <w:rPr>
                <w:rFonts w:hint="eastAsia"/>
              </w:rPr>
              <w:t>10路</w:t>
            </w:r>
          </w:p>
        </w:tc>
        <w:tc>
          <w:tcPr>
            <w:tcW w:w="2314" w:type="dxa"/>
            <w:tcBorders>
              <w:tl2br w:val="nil"/>
              <w:tr2bl w:val="nil"/>
            </w:tcBorders>
            <w:vAlign w:val="center"/>
          </w:tcPr>
          <w:p>
            <w:pPr>
              <w:pStyle w:val="151"/>
              <w:rPr>
                <w:bCs w:val="0"/>
              </w:rPr>
            </w:pPr>
            <w:r>
              <w:rPr>
                <w:rFonts w:hint="eastAsia"/>
              </w:rPr>
              <w:t>支线</w:t>
            </w:r>
          </w:p>
        </w:tc>
        <w:tc>
          <w:tcPr>
            <w:tcW w:w="2315" w:type="dxa"/>
            <w:tcBorders>
              <w:tl2br w:val="nil"/>
              <w:tr2bl w:val="nil"/>
            </w:tcBorders>
            <w:vAlign w:val="center"/>
          </w:tcPr>
          <w:p>
            <w:pPr>
              <w:pStyle w:val="151"/>
              <w:rPr>
                <w:rFonts w:hint="eastAsia" w:eastAsia="宋体"/>
                <w:bCs w:val="0"/>
                <w:lang w:val="en-US" w:eastAsia="zh-CN"/>
              </w:rPr>
            </w:pPr>
            <w:r>
              <w:rPr>
                <w:rFonts w:hint="eastAsia"/>
                <w:color w:val="C00000"/>
                <w:lang w:val="en-US" w:eastAsia="zh-CN"/>
              </w:rPr>
              <w:t>18.4</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9</w:t>
            </w:r>
          </w:p>
        </w:tc>
        <w:tc>
          <w:tcPr>
            <w:tcW w:w="1766" w:type="dxa"/>
            <w:tcBorders>
              <w:tl2br w:val="nil"/>
              <w:tr2bl w:val="nil"/>
            </w:tcBorders>
            <w:vAlign w:val="center"/>
          </w:tcPr>
          <w:p>
            <w:pPr>
              <w:pStyle w:val="151"/>
              <w:rPr>
                <w:bCs w:val="0"/>
              </w:rPr>
            </w:pPr>
            <w:r>
              <w:rPr>
                <w:rFonts w:hint="eastAsia"/>
              </w:rPr>
              <w:t>2路</w:t>
            </w:r>
          </w:p>
        </w:tc>
        <w:tc>
          <w:tcPr>
            <w:tcW w:w="2314" w:type="dxa"/>
            <w:tcBorders>
              <w:tl2br w:val="nil"/>
              <w:tr2bl w:val="nil"/>
            </w:tcBorders>
            <w:vAlign w:val="center"/>
          </w:tcPr>
          <w:p>
            <w:pPr>
              <w:pStyle w:val="151"/>
              <w:rPr>
                <w:bCs w:val="0"/>
              </w:rPr>
            </w:pPr>
            <w:r>
              <w:rPr>
                <w:rFonts w:hint="eastAsia"/>
              </w:rPr>
              <w:t>支线</w:t>
            </w:r>
          </w:p>
        </w:tc>
        <w:tc>
          <w:tcPr>
            <w:tcW w:w="2315" w:type="dxa"/>
            <w:tcBorders>
              <w:tl2br w:val="nil"/>
              <w:tr2bl w:val="nil"/>
            </w:tcBorders>
            <w:vAlign w:val="center"/>
          </w:tcPr>
          <w:p>
            <w:pPr>
              <w:pStyle w:val="151"/>
              <w:rPr>
                <w:bCs w:val="0"/>
              </w:rPr>
            </w:pPr>
            <w:r>
              <w:rPr>
                <w:rFonts w:hint="eastAsia"/>
              </w:rPr>
              <w:t>17.11</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10</w:t>
            </w:r>
          </w:p>
        </w:tc>
        <w:tc>
          <w:tcPr>
            <w:tcW w:w="1766" w:type="dxa"/>
            <w:tcBorders>
              <w:tl2br w:val="nil"/>
              <w:tr2bl w:val="nil"/>
            </w:tcBorders>
            <w:vAlign w:val="center"/>
          </w:tcPr>
          <w:p>
            <w:pPr>
              <w:pStyle w:val="151"/>
              <w:rPr>
                <w:bCs w:val="0"/>
              </w:rPr>
            </w:pPr>
            <w:r>
              <w:rPr>
                <w:rFonts w:hint="eastAsia"/>
              </w:rPr>
              <w:t>9路</w:t>
            </w:r>
          </w:p>
        </w:tc>
        <w:tc>
          <w:tcPr>
            <w:tcW w:w="2314" w:type="dxa"/>
            <w:tcBorders>
              <w:tl2br w:val="nil"/>
              <w:tr2bl w:val="nil"/>
            </w:tcBorders>
            <w:vAlign w:val="center"/>
          </w:tcPr>
          <w:p>
            <w:pPr>
              <w:pStyle w:val="151"/>
              <w:rPr>
                <w:bCs w:val="0"/>
              </w:rPr>
            </w:pPr>
            <w:r>
              <w:rPr>
                <w:rFonts w:hint="eastAsia"/>
              </w:rPr>
              <w:t>支线</w:t>
            </w:r>
          </w:p>
        </w:tc>
        <w:tc>
          <w:tcPr>
            <w:tcW w:w="2315" w:type="dxa"/>
            <w:tcBorders>
              <w:tl2br w:val="nil"/>
              <w:tr2bl w:val="nil"/>
            </w:tcBorders>
            <w:vAlign w:val="center"/>
          </w:tcPr>
          <w:p>
            <w:pPr>
              <w:pStyle w:val="151"/>
              <w:rPr>
                <w:bCs w:val="0"/>
              </w:rPr>
            </w:pPr>
            <w:r>
              <w:rPr>
                <w:rFonts w:hint="eastAsia"/>
                <w:bCs w:val="0"/>
              </w:rPr>
              <w:t>17.45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993" w:type="dxa"/>
            <w:vMerge w:val="continue"/>
            <w:tcBorders>
              <w:tl2br w:val="nil"/>
              <w:tr2bl w:val="nil"/>
            </w:tcBorders>
            <w:vAlign w:val="center"/>
          </w:tcPr>
          <w:p>
            <w:pPr>
              <w:pStyle w:val="151"/>
              <w:rPr>
                <w:b/>
              </w:rPr>
            </w:pPr>
          </w:p>
        </w:tc>
        <w:tc>
          <w:tcPr>
            <w:tcW w:w="1134" w:type="dxa"/>
            <w:tcBorders>
              <w:tl2br w:val="nil"/>
              <w:tr2bl w:val="nil"/>
            </w:tcBorders>
            <w:vAlign w:val="center"/>
          </w:tcPr>
          <w:p>
            <w:pPr>
              <w:pStyle w:val="151"/>
              <w:rPr>
                <w:bCs w:val="0"/>
              </w:rPr>
            </w:pPr>
            <w:r>
              <w:rPr>
                <w:rFonts w:hint="eastAsia"/>
              </w:rPr>
              <w:t>11</w:t>
            </w:r>
          </w:p>
        </w:tc>
        <w:tc>
          <w:tcPr>
            <w:tcW w:w="1766" w:type="dxa"/>
            <w:tcBorders>
              <w:tl2br w:val="nil"/>
              <w:tr2bl w:val="nil"/>
            </w:tcBorders>
            <w:vAlign w:val="center"/>
          </w:tcPr>
          <w:p>
            <w:pPr>
              <w:pStyle w:val="151"/>
              <w:rPr>
                <w:bCs w:val="0"/>
              </w:rPr>
            </w:pPr>
            <w:r>
              <w:rPr>
                <w:rFonts w:hint="eastAsia"/>
              </w:rPr>
              <w:t>18路</w:t>
            </w:r>
          </w:p>
        </w:tc>
        <w:tc>
          <w:tcPr>
            <w:tcW w:w="2314" w:type="dxa"/>
            <w:tcBorders>
              <w:tl2br w:val="nil"/>
              <w:tr2bl w:val="nil"/>
            </w:tcBorders>
            <w:vAlign w:val="center"/>
          </w:tcPr>
          <w:p>
            <w:pPr>
              <w:pStyle w:val="151"/>
              <w:rPr>
                <w:bCs w:val="0"/>
              </w:rPr>
            </w:pPr>
            <w:r>
              <w:t>支线</w:t>
            </w:r>
          </w:p>
        </w:tc>
        <w:tc>
          <w:tcPr>
            <w:tcW w:w="2315" w:type="dxa"/>
            <w:tcBorders>
              <w:tl2br w:val="nil"/>
              <w:tr2bl w:val="nil"/>
            </w:tcBorders>
            <w:vAlign w:val="center"/>
          </w:tcPr>
          <w:p>
            <w:pPr>
              <w:pStyle w:val="151"/>
              <w:rPr>
                <w:bCs w:val="0"/>
              </w:rPr>
            </w:pPr>
            <w:r>
              <w:rPr>
                <w:rFonts w:hint="eastAsia"/>
              </w:rPr>
              <w:t>15.96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92" w:hRule="atLeast"/>
        </w:trPr>
        <w:tc>
          <w:tcPr>
            <w:tcW w:w="993" w:type="dxa"/>
            <w:tcBorders>
              <w:tl2br w:val="nil"/>
              <w:tr2bl w:val="nil"/>
            </w:tcBorders>
            <w:vAlign w:val="center"/>
          </w:tcPr>
          <w:p>
            <w:pPr>
              <w:pStyle w:val="151"/>
              <w:rPr>
                <w:b/>
              </w:rPr>
            </w:pPr>
            <w:r>
              <w:rPr>
                <w:b/>
              </w:rPr>
              <w:t>取消</w:t>
            </w:r>
          </w:p>
        </w:tc>
        <w:tc>
          <w:tcPr>
            <w:tcW w:w="1134" w:type="dxa"/>
            <w:tcBorders>
              <w:tl2br w:val="nil"/>
              <w:tr2bl w:val="nil"/>
            </w:tcBorders>
            <w:vAlign w:val="center"/>
          </w:tcPr>
          <w:p>
            <w:pPr>
              <w:pStyle w:val="151"/>
              <w:rPr>
                <w:bCs w:val="0"/>
              </w:rPr>
            </w:pPr>
            <w:r>
              <w:rPr>
                <w:rFonts w:hint="eastAsia"/>
              </w:rPr>
              <w:t>12</w:t>
            </w:r>
          </w:p>
        </w:tc>
        <w:tc>
          <w:tcPr>
            <w:tcW w:w="1766" w:type="dxa"/>
            <w:tcBorders>
              <w:tl2br w:val="nil"/>
              <w:tr2bl w:val="nil"/>
            </w:tcBorders>
            <w:vAlign w:val="center"/>
          </w:tcPr>
          <w:p>
            <w:pPr>
              <w:pStyle w:val="151"/>
              <w:rPr>
                <w:bCs w:val="0"/>
              </w:rPr>
            </w:pPr>
            <w:r>
              <w:rPr>
                <w:rFonts w:hint="eastAsia"/>
              </w:rPr>
              <w:t>原1</w:t>
            </w:r>
            <w:r>
              <w:t>5</w:t>
            </w:r>
            <w:r>
              <w:rPr>
                <w:rFonts w:hint="eastAsia"/>
              </w:rPr>
              <w:t>路</w:t>
            </w:r>
          </w:p>
        </w:tc>
        <w:tc>
          <w:tcPr>
            <w:tcW w:w="2314" w:type="dxa"/>
            <w:tcBorders>
              <w:tl2br w:val="nil"/>
              <w:tr2bl w:val="nil"/>
            </w:tcBorders>
            <w:vAlign w:val="center"/>
          </w:tcPr>
          <w:p>
            <w:pPr>
              <w:pStyle w:val="151"/>
              <w:rPr>
                <w:bCs w:val="0"/>
              </w:rPr>
            </w:pPr>
            <w:r>
              <w:t>支线</w:t>
            </w:r>
          </w:p>
        </w:tc>
        <w:tc>
          <w:tcPr>
            <w:tcW w:w="2315" w:type="dxa"/>
            <w:tcBorders>
              <w:tl2br w:val="nil"/>
              <w:tr2bl w:val="nil"/>
            </w:tcBorders>
            <w:vAlign w:val="center"/>
          </w:tcPr>
          <w:p>
            <w:pPr>
              <w:pStyle w:val="151"/>
              <w:rPr>
                <w:bCs w:val="0"/>
              </w:rPr>
            </w:pPr>
            <w:r>
              <w:t>13.20</w:t>
            </w:r>
          </w:p>
        </w:tc>
      </w:tr>
    </w:tbl>
    <w:p>
      <w:pPr>
        <w:ind w:firstLine="480"/>
      </w:pPr>
      <w:r>
        <w:rPr>
          <w:rFonts w:hint="eastAsia"/>
        </w:rPr>
        <w:t>（2）公交场站建设</w:t>
      </w:r>
    </w:p>
    <w:p>
      <w:pPr>
        <w:pStyle w:val="150"/>
        <w:ind w:firstLine="480"/>
      </w:pPr>
      <w:r>
        <w:rPr>
          <w:rFonts w:hint="eastAsia"/>
        </w:rPr>
        <w:t>整体布局的框架下，结合城市发展方向，近期规划6个公交枢纽站+1</w:t>
      </w:r>
      <w:r>
        <w:t>3</w:t>
      </w:r>
      <w:r>
        <w:rPr>
          <w:rFonts w:hint="eastAsia"/>
        </w:rPr>
        <w:t>个公交首末站+</w:t>
      </w:r>
      <w:r>
        <w:t>2</w:t>
      </w:r>
      <w:r>
        <w:rPr>
          <w:rFonts w:hint="eastAsia"/>
        </w:rPr>
        <w:t>个公交停车场+</w:t>
      </w:r>
      <w:r>
        <w:t>2</w:t>
      </w:r>
      <w:r>
        <w:rPr>
          <w:rFonts w:hint="eastAsia"/>
        </w:rPr>
        <w:t>个公交保养场，以扩建原有停保场为基础，利用停保场行使首末站功能。</w:t>
      </w:r>
    </w:p>
    <w:p>
      <w:pPr>
        <w:pStyle w:val="113"/>
        <w:spacing w:before="163" w:after="163"/>
      </w:pPr>
      <w:r>
        <w:rPr>
          <w:rFonts w:hint="eastAsia"/>
        </w:rPr>
        <w:t>表1</w:t>
      </w:r>
      <w:r>
        <w:t>1</w:t>
      </w:r>
      <w:r>
        <w:rPr>
          <w:rFonts w:hint="eastAsia"/>
        </w:rPr>
        <w:t xml:space="preserve">-2 </w:t>
      </w:r>
      <w:r>
        <w:t xml:space="preserve"> </w:t>
      </w:r>
      <w:r>
        <w:rPr>
          <w:rFonts w:hint="eastAsia"/>
        </w:rPr>
        <w:t>近期公交场站建设情况</w:t>
      </w:r>
    </w:p>
    <w:tbl>
      <w:tblPr>
        <w:tblStyle w:val="94"/>
        <w:tblW w:w="8306" w:type="dxa"/>
        <w:tblInd w:w="0" w:type="dxa"/>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
      <w:tblGrid>
        <w:gridCol w:w="1690"/>
        <w:gridCol w:w="704"/>
        <w:gridCol w:w="3643"/>
        <w:gridCol w:w="2269"/>
      </w:tblGrid>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570" w:hRule="atLeast"/>
        </w:trPr>
        <w:tc>
          <w:tcPr>
            <w:tcW w:w="1690" w:type="dxa"/>
            <w:tcBorders>
              <w:top w:val="single" w:color="auto" w:sz="12" w:space="0"/>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类别</w:t>
            </w:r>
          </w:p>
        </w:tc>
        <w:tc>
          <w:tcPr>
            <w:tcW w:w="704" w:type="dxa"/>
            <w:tcBorders>
              <w:top w:val="single" w:color="auto" w:sz="12" w:space="0"/>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序号</w:t>
            </w:r>
          </w:p>
        </w:tc>
        <w:tc>
          <w:tcPr>
            <w:tcW w:w="3643" w:type="dxa"/>
            <w:tcBorders>
              <w:top w:val="single" w:color="auto" w:sz="12" w:space="0"/>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名称</w:t>
            </w:r>
          </w:p>
        </w:tc>
        <w:tc>
          <w:tcPr>
            <w:tcW w:w="2269" w:type="dxa"/>
            <w:tcBorders>
              <w:top w:val="single" w:color="auto" w:sz="12" w:space="0"/>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建设规模</w:t>
            </w:r>
            <w:r>
              <w:rPr>
                <w:rFonts w:ascii="宋体" w:hAnsi="宋体" w:cs="宋体"/>
                <w:b/>
                <w:bCs/>
                <w:sz w:val="21"/>
                <w:szCs w:val="21"/>
              </w:rPr>
              <w:t>（</w:t>
            </w:r>
            <w:r>
              <w:rPr>
                <w:rFonts w:cs="Times New Roman"/>
                <w:b/>
                <w:bCs/>
                <w:sz w:val="21"/>
                <w:szCs w:val="21"/>
              </w:rPr>
              <w:t>m</w:t>
            </w:r>
            <w:r>
              <w:rPr>
                <w:rFonts w:cs="Times New Roman"/>
                <w:b/>
                <w:bCs/>
                <w:sz w:val="21"/>
                <w:szCs w:val="21"/>
                <w:vertAlign w:val="superscript"/>
              </w:rPr>
              <w:t>2</w:t>
            </w:r>
            <w:r>
              <w:rPr>
                <w:rFonts w:ascii="宋体" w:hAnsi="宋体" w:cs="宋体"/>
                <w:b/>
                <w:bCs/>
                <w:sz w:val="21"/>
                <w:szCs w:val="21"/>
              </w:rPr>
              <w:t>）</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restart"/>
            <w:tcBorders>
              <w:top w:val="single" w:color="auto" w:sz="12" w:space="0"/>
            </w:tcBorders>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公交枢纽站</w:t>
            </w:r>
          </w:p>
        </w:tc>
        <w:tc>
          <w:tcPr>
            <w:tcW w:w="704" w:type="dxa"/>
            <w:tcBorders>
              <w:top w:val="single" w:color="auto" w:sz="12" w:space="0"/>
            </w:tcBorders>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w:t>
            </w:r>
          </w:p>
        </w:tc>
        <w:tc>
          <w:tcPr>
            <w:tcW w:w="3643" w:type="dxa"/>
            <w:tcBorders>
              <w:top w:val="single" w:color="auto" w:sz="12" w:space="0"/>
            </w:tcBorders>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城东公交枢纽</w:t>
            </w:r>
          </w:p>
        </w:tc>
        <w:tc>
          <w:tcPr>
            <w:tcW w:w="2269" w:type="dxa"/>
            <w:tcBorders>
              <w:top w:val="single" w:color="auto" w:sz="12" w:space="0"/>
            </w:tcBorders>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资阳北站公交枢纽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19000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教育园区公交枢纽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10000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4</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城南公交枢纽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14000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5</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万达广场公交枢纽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6000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6</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沱东公交枢纽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6000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restart"/>
            <w:vAlign w:val="center"/>
          </w:tcPr>
          <w:p>
            <w:pPr>
              <w:spacing w:before="0" w:after="0" w:line="240" w:lineRule="auto"/>
              <w:ind w:firstLine="0" w:firstLineChars="0"/>
              <w:jc w:val="center"/>
              <w:rPr>
                <w:rFonts w:ascii="宋体" w:hAnsi="宋体" w:cs="宋体"/>
                <w:sz w:val="21"/>
                <w:szCs w:val="21"/>
              </w:rPr>
            </w:pPr>
            <w:r>
              <w:rPr>
                <w:rFonts w:hint="eastAsia" w:ascii="宋体" w:hAnsi="宋体" w:cs="宋体"/>
                <w:bCs/>
                <w:sz w:val="21"/>
                <w:szCs w:val="21"/>
              </w:rPr>
              <w:t>公交首末站</w:t>
            </w: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7</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清泉首末站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0"/>
              <w:jc w:val="center"/>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8</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教育园区首末站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0"/>
              <w:jc w:val="center"/>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9</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沱江新城首末站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0" w:firstLineChars="0"/>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10</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凤岭公园首末站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PrEx>
        <w:trPr>
          <w:trHeight w:val="454" w:hRule="atLeast"/>
        </w:trPr>
        <w:tc>
          <w:tcPr>
            <w:tcW w:w="1690" w:type="dxa"/>
            <w:vMerge w:val="continue"/>
            <w:vAlign w:val="center"/>
          </w:tcPr>
          <w:p>
            <w:pPr>
              <w:spacing w:before="0" w:after="0" w:line="240" w:lineRule="auto"/>
              <w:ind w:firstLine="422"/>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11</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幸福谷首末站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2"/>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12</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莲花办事处首末站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hint="eastAsia"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2"/>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13</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侯家坪工业园区首末站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2"/>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14</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城南现代产业园首末站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center"/>
              <w:rPr>
                <w:rFonts w:ascii="宋体" w:hAnsi="宋体" w:cs="宋体"/>
                <w:b/>
                <w:bCs/>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侯家坪派出所首末站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16</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董家湾首末站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PrEx>
        <w:trPr>
          <w:trHeight w:val="454" w:hRule="atLeast"/>
        </w:trPr>
        <w:tc>
          <w:tcPr>
            <w:tcW w:w="1690" w:type="dxa"/>
            <w:vMerge w:val="continue"/>
            <w:vAlign w:val="center"/>
          </w:tcPr>
          <w:p>
            <w:pPr>
              <w:adjustRightInd/>
              <w:snapToGrid/>
              <w:spacing w:before="0" w:after="0" w:line="240" w:lineRule="auto"/>
              <w:ind w:firstLine="0" w:firstLineChars="0"/>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17</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魏家湾工业园首末站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18</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马站首末站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19</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cs="Times New Roman"/>
                <w:sz w:val="21"/>
                <w:szCs w:val="21"/>
              </w:rPr>
              <w:t>清巍汽车4S商城首末站</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4000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restart"/>
            <w:vAlign w:val="center"/>
          </w:tcPr>
          <w:p>
            <w:pPr>
              <w:spacing w:before="0" w:after="0" w:line="240" w:lineRule="auto"/>
              <w:ind w:firstLine="0" w:firstLineChars="0"/>
              <w:jc w:val="center"/>
              <w:rPr>
                <w:rFonts w:cs="Times New Roman"/>
                <w:sz w:val="21"/>
                <w:szCs w:val="21"/>
              </w:rPr>
            </w:pPr>
            <w:r>
              <w:rPr>
                <w:rFonts w:hint="eastAsia" w:ascii="宋体" w:hAnsi="宋体" w:cs="宋体"/>
                <w:bCs/>
                <w:sz w:val="21"/>
                <w:szCs w:val="21"/>
              </w:rPr>
              <w:t>公交停保场</w:t>
            </w: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cs="Times New Roman"/>
                <w:sz w:val="21"/>
                <w:szCs w:val="21"/>
              </w:rPr>
              <w:t>河西</w:t>
            </w:r>
            <w:r>
              <w:rPr>
                <w:rFonts w:cs="Times New Roman"/>
                <w:sz w:val="21"/>
                <w:szCs w:val="21"/>
              </w:rPr>
              <w:t>公交停车场</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30000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spacing w:before="0" w:after="0" w:line="240" w:lineRule="auto"/>
              <w:ind w:firstLine="422"/>
              <w:jc w:val="center"/>
              <w:rPr>
                <w:rFonts w:cs="Times New Roman"/>
                <w:b/>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21</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hint="eastAsia" w:ascii="宋体" w:hAnsi="宋体" w:cs="宋体"/>
                <w:sz w:val="21"/>
                <w:szCs w:val="21"/>
              </w:rPr>
              <w:t>河东公交停车场</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45000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454" w:hRule="atLeast"/>
        </w:trPr>
        <w:tc>
          <w:tcPr>
            <w:tcW w:w="1690" w:type="dxa"/>
            <w:vMerge w:val="continue"/>
            <w:vAlign w:val="center"/>
          </w:tcPr>
          <w:p>
            <w:pPr>
              <w:adjustRightInd/>
              <w:snapToGrid/>
              <w:spacing w:before="0" w:after="0" w:line="240" w:lineRule="auto"/>
              <w:ind w:firstLine="0" w:firstLineChars="0"/>
              <w:jc w:val="center"/>
              <w:rPr>
                <w:rFonts w:ascii="宋体" w:hAnsi="宋体" w:cs="宋体"/>
                <w:b/>
                <w:bCs/>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22</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hint="eastAsia" w:ascii="宋体" w:hAnsi="宋体" w:cs="宋体"/>
                <w:sz w:val="21"/>
                <w:szCs w:val="21"/>
              </w:rPr>
              <w:t>河东公交保养场</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30000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PrEx>
        <w:trPr>
          <w:trHeight w:val="454"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b/>
                <w:bCs/>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23</w:t>
            </w:r>
          </w:p>
        </w:tc>
        <w:tc>
          <w:tcPr>
            <w:tcW w:w="3643"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河西公交保养场</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45000</w:t>
            </w:r>
          </w:p>
        </w:tc>
      </w:tr>
    </w:tbl>
    <w:p>
      <w:pPr>
        <w:ind w:firstLine="0" w:firstLineChars="0"/>
      </w:pPr>
      <w:r>
        <w:rPr>
          <w:rFonts w:hint="eastAsia"/>
        </w:rPr>
        <w:t xml:space="preserve">     （3）公交运力建设</w:t>
      </w:r>
    </w:p>
    <w:p>
      <w:pPr>
        <w:ind w:firstLine="480"/>
      </w:pPr>
      <w:r>
        <w:rPr>
          <w:rFonts w:hint="eastAsia"/>
        </w:rPr>
        <w:t>资阳中心城区规划近期运营公交车辆达到</w:t>
      </w:r>
      <w:r>
        <w:t>440</w:t>
      </w:r>
      <w:r>
        <w:rPr>
          <w:rFonts w:hint="eastAsia"/>
        </w:rPr>
        <w:t>辆，折算标准车</w:t>
      </w:r>
      <w:r>
        <w:t>572</w:t>
      </w:r>
      <w:r>
        <w:rPr>
          <w:rFonts w:hint="eastAsia"/>
        </w:rPr>
        <w:t>标台，人均万人拥有率11</w:t>
      </w:r>
      <w:r>
        <w:t>.2</w:t>
      </w:r>
      <w:r>
        <w:rPr>
          <w:rFonts w:hint="eastAsia"/>
        </w:rPr>
        <w:t>台。</w:t>
      </w:r>
    </w:p>
    <w:p>
      <w:pPr>
        <w:pStyle w:val="113"/>
        <w:spacing w:before="163" w:after="163"/>
      </w:pPr>
    </w:p>
    <w:p>
      <w:pPr>
        <w:pStyle w:val="113"/>
        <w:spacing w:before="163" w:after="163"/>
      </w:pPr>
    </w:p>
    <w:p>
      <w:pPr>
        <w:pStyle w:val="113"/>
        <w:spacing w:before="163" w:after="163"/>
      </w:pPr>
      <w:r>
        <w:rPr>
          <w:rFonts w:hint="eastAsia"/>
        </w:rPr>
        <w:t>表1</w:t>
      </w:r>
      <w:r>
        <w:t>1</w:t>
      </w:r>
      <w:r>
        <w:rPr>
          <w:rFonts w:hint="eastAsia"/>
        </w:rPr>
        <w:t xml:space="preserve">-3 </w:t>
      </w:r>
      <w:r>
        <w:t xml:space="preserve"> </w:t>
      </w:r>
      <w:r>
        <w:rPr>
          <w:rFonts w:hint="eastAsia"/>
        </w:rPr>
        <w:t>近期公交运力建设情况</w:t>
      </w:r>
    </w:p>
    <w:tbl>
      <w:tblPr>
        <w:tblStyle w:val="94"/>
        <w:tblW w:w="852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1276"/>
        <w:gridCol w:w="1701"/>
        <w:gridCol w:w="1503"/>
        <w:gridCol w:w="4042"/>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1276" w:type="dxa"/>
            <w:tcBorders>
              <w:bottom w:val="single" w:color="auto" w:sz="12" w:space="0"/>
              <w:tl2br w:val="nil"/>
              <w:tr2bl w:val="nil"/>
            </w:tcBorders>
            <w:shd w:val="clear" w:color="auto" w:fill="CCC0D9"/>
            <w:vAlign w:val="center"/>
          </w:tcPr>
          <w:p>
            <w:pPr>
              <w:pStyle w:val="151"/>
              <w:spacing w:before="0"/>
              <w:rPr>
                <w:b/>
                <w:bCs w:val="0"/>
              </w:rPr>
            </w:pPr>
            <w:r>
              <w:rPr>
                <w:rFonts w:hint="eastAsia"/>
                <w:b/>
                <w:bCs w:val="0"/>
              </w:rPr>
              <w:t>类别</w:t>
            </w:r>
          </w:p>
        </w:tc>
        <w:tc>
          <w:tcPr>
            <w:tcW w:w="1701" w:type="dxa"/>
            <w:tcBorders>
              <w:bottom w:val="single" w:color="auto" w:sz="12" w:space="0"/>
              <w:tl2br w:val="nil"/>
              <w:tr2bl w:val="nil"/>
            </w:tcBorders>
            <w:shd w:val="clear" w:color="auto" w:fill="CCC0D9"/>
            <w:vAlign w:val="center"/>
          </w:tcPr>
          <w:p>
            <w:pPr>
              <w:pStyle w:val="151"/>
              <w:spacing w:before="0"/>
              <w:rPr>
                <w:b/>
                <w:bCs w:val="0"/>
              </w:rPr>
            </w:pPr>
            <w:r>
              <w:rPr>
                <w:rFonts w:hint="eastAsia"/>
                <w:b/>
                <w:bCs w:val="0"/>
              </w:rPr>
              <w:t>总数（辆）</w:t>
            </w:r>
          </w:p>
        </w:tc>
        <w:tc>
          <w:tcPr>
            <w:tcW w:w="1503" w:type="dxa"/>
            <w:tcBorders>
              <w:bottom w:val="single" w:color="auto" w:sz="12" w:space="0"/>
              <w:tl2br w:val="nil"/>
              <w:tr2bl w:val="nil"/>
            </w:tcBorders>
            <w:shd w:val="clear" w:color="auto" w:fill="CCC0D9"/>
            <w:vAlign w:val="center"/>
          </w:tcPr>
          <w:p>
            <w:pPr>
              <w:pStyle w:val="151"/>
              <w:spacing w:before="0"/>
              <w:rPr>
                <w:b/>
                <w:bCs w:val="0"/>
              </w:rPr>
            </w:pPr>
            <w:r>
              <w:rPr>
                <w:rFonts w:hint="eastAsia"/>
                <w:b/>
                <w:bCs w:val="0"/>
              </w:rPr>
              <w:t>标台数</w:t>
            </w:r>
          </w:p>
        </w:tc>
        <w:tc>
          <w:tcPr>
            <w:tcW w:w="4042" w:type="dxa"/>
            <w:tcBorders>
              <w:bottom w:val="single" w:color="auto" w:sz="12" w:space="0"/>
              <w:tl2br w:val="nil"/>
              <w:tr2bl w:val="nil"/>
            </w:tcBorders>
            <w:shd w:val="clear" w:color="auto" w:fill="CCC0D9"/>
            <w:vAlign w:val="center"/>
          </w:tcPr>
          <w:p>
            <w:pPr>
              <w:pStyle w:val="151"/>
              <w:spacing w:before="0"/>
              <w:rPr>
                <w:b/>
                <w:bCs w:val="0"/>
              </w:rPr>
            </w:pPr>
            <w:r>
              <w:rPr>
                <w:rFonts w:hint="eastAsia"/>
                <w:b/>
                <w:bCs w:val="0"/>
              </w:rPr>
              <w:t>万人拥有量（标台/万人）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jc w:val="center"/>
        </w:trPr>
        <w:tc>
          <w:tcPr>
            <w:tcW w:w="1276" w:type="dxa"/>
            <w:tcBorders>
              <w:top w:val="single" w:color="auto" w:sz="12" w:space="0"/>
              <w:tl2br w:val="nil"/>
              <w:tr2bl w:val="nil"/>
            </w:tcBorders>
            <w:vAlign w:val="center"/>
          </w:tcPr>
          <w:p>
            <w:pPr>
              <w:pStyle w:val="151"/>
              <w:spacing w:before="0"/>
              <w:rPr>
                <w:b/>
              </w:rPr>
            </w:pPr>
            <w:r>
              <w:rPr>
                <w:rFonts w:hint="eastAsia"/>
                <w:b/>
              </w:rPr>
              <w:t>车辆</w:t>
            </w:r>
          </w:p>
        </w:tc>
        <w:tc>
          <w:tcPr>
            <w:tcW w:w="1701" w:type="dxa"/>
            <w:tcBorders>
              <w:top w:val="single" w:color="auto" w:sz="12" w:space="0"/>
              <w:tl2br w:val="nil"/>
              <w:tr2bl w:val="nil"/>
            </w:tcBorders>
            <w:vAlign w:val="center"/>
          </w:tcPr>
          <w:p>
            <w:pPr>
              <w:pStyle w:val="151"/>
              <w:spacing w:before="0"/>
              <w:rPr>
                <w:bCs w:val="0"/>
              </w:rPr>
            </w:pPr>
            <w:r>
              <w:rPr>
                <w:bCs w:val="0"/>
              </w:rPr>
              <w:t>440</w:t>
            </w:r>
          </w:p>
        </w:tc>
        <w:tc>
          <w:tcPr>
            <w:tcW w:w="1503" w:type="dxa"/>
            <w:tcBorders>
              <w:top w:val="single" w:color="auto" w:sz="12" w:space="0"/>
              <w:tl2br w:val="nil"/>
              <w:tr2bl w:val="nil"/>
            </w:tcBorders>
            <w:vAlign w:val="center"/>
          </w:tcPr>
          <w:p>
            <w:pPr>
              <w:pStyle w:val="151"/>
              <w:spacing w:before="0"/>
              <w:rPr>
                <w:bCs w:val="0"/>
              </w:rPr>
            </w:pPr>
            <w:r>
              <w:rPr>
                <w:bCs w:val="0"/>
              </w:rPr>
              <w:t>572</w:t>
            </w:r>
          </w:p>
        </w:tc>
        <w:tc>
          <w:tcPr>
            <w:tcW w:w="4042" w:type="dxa"/>
            <w:tcBorders>
              <w:top w:val="single" w:color="auto" w:sz="12" w:space="0"/>
              <w:tl2br w:val="nil"/>
              <w:tr2bl w:val="nil"/>
            </w:tcBorders>
            <w:vAlign w:val="center"/>
          </w:tcPr>
          <w:p>
            <w:pPr>
              <w:pStyle w:val="151"/>
              <w:spacing w:before="0"/>
              <w:rPr>
                <w:bCs w:val="0"/>
              </w:rPr>
            </w:pPr>
            <w:r>
              <w:rPr>
                <w:bCs w:val="0"/>
              </w:rPr>
              <w:t>11.2</w:t>
            </w:r>
          </w:p>
        </w:tc>
      </w:tr>
    </w:tbl>
    <w:p>
      <w:pPr>
        <w:ind w:firstLine="480"/>
      </w:pPr>
      <w:r>
        <w:rPr>
          <w:rFonts w:hint="eastAsia"/>
        </w:rPr>
        <w:t>（4）公交专用道建设</w:t>
      </w:r>
    </w:p>
    <w:p>
      <w:pPr>
        <w:pStyle w:val="150"/>
        <w:ind w:firstLine="480"/>
      </w:pPr>
      <w:r>
        <w:rPr>
          <w:rFonts w:hint="eastAsia"/>
        </w:rPr>
        <w:t>规划车城大道、娇子大道、迎宾大道、蜀乡大道（含沱二桥）、城南大道、锦湾大道等路段的公交优先道，合计23.27km。</w:t>
      </w:r>
    </w:p>
    <w:p>
      <w:pPr>
        <w:pStyle w:val="113"/>
        <w:spacing w:before="163" w:after="163"/>
      </w:pPr>
      <w:r>
        <w:rPr>
          <w:rFonts w:hint="eastAsia"/>
        </w:rPr>
        <w:t>表1</w:t>
      </w:r>
      <w:r>
        <w:t>1</w:t>
      </w:r>
      <w:r>
        <w:rPr>
          <w:rFonts w:hint="eastAsia"/>
        </w:rPr>
        <w:t xml:space="preserve">-4 </w:t>
      </w:r>
      <w:r>
        <w:t xml:space="preserve"> </w:t>
      </w:r>
      <w:r>
        <w:rPr>
          <w:rFonts w:hint="eastAsia"/>
        </w:rPr>
        <w:t>近期公交专用道建设情况</w:t>
      </w:r>
    </w:p>
    <w:tbl>
      <w:tblPr>
        <w:tblStyle w:val="94"/>
        <w:tblW w:w="7803"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2617"/>
        <w:gridCol w:w="2118"/>
        <w:gridCol w:w="1298"/>
        <w:gridCol w:w="1770"/>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2617" w:type="dxa"/>
            <w:tcBorders>
              <w:bottom w:val="single" w:color="auto" w:sz="12" w:space="0"/>
              <w:tl2br w:val="nil"/>
              <w:tr2bl w:val="nil"/>
            </w:tcBorders>
            <w:shd w:val="clear" w:color="auto" w:fill="CCC0D9"/>
            <w:vAlign w:val="center"/>
          </w:tcPr>
          <w:p>
            <w:pPr>
              <w:pStyle w:val="151"/>
              <w:rPr>
                <w:b/>
                <w:bCs w:val="0"/>
              </w:rPr>
            </w:pPr>
            <w:r>
              <w:rPr>
                <w:rFonts w:hint="eastAsia"/>
                <w:b/>
                <w:bCs w:val="0"/>
              </w:rPr>
              <w:t>道路</w:t>
            </w:r>
          </w:p>
        </w:tc>
        <w:tc>
          <w:tcPr>
            <w:tcW w:w="2118" w:type="dxa"/>
            <w:tcBorders>
              <w:bottom w:val="single" w:color="auto" w:sz="12" w:space="0"/>
              <w:tl2br w:val="nil"/>
              <w:tr2bl w:val="nil"/>
            </w:tcBorders>
            <w:shd w:val="clear" w:color="auto" w:fill="CCC0D9"/>
            <w:vAlign w:val="center"/>
          </w:tcPr>
          <w:p>
            <w:pPr>
              <w:pStyle w:val="151"/>
              <w:rPr>
                <w:b/>
                <w:bCs w:val="0"/>
              </w:rPr>
            </w:pPr>
            <w:r>
              <w:rPr>
                <w:rFonts w:hint="eastAsia"/>
                <w:b/>
                <w:bCs w:val="0"/>
              </w:rPr>
              <w:t>类型</w:t>
            </w:r>
          </w:p>
        </w:tc>
        <w:tc>
          <w:tcPr>
            <w:tcW w:w="1298" w:type="dxa"/>
            <w:tcBorders>
              <w:bottom w:val="single" w:color="auto" w:sz="12" w:space="0"/>
              <w:tl2br w:val="nil"/>
              <w:tr2bl w:val="nil"/>
            </w:tcBorders>
            <w:shd w:val="clear" w:color="auto" w:fill="CCC0D9"/>
            <w:vAlign w:val="center"/>
          </w:tcPr>
          <w:p>
            <w:pPr>
              <w:pStyle w:val="151"/>
              <w:rPr>
                <w:b/>
                <w:bCs w:val="0"/>
              </w:rPr>
            </w:pPr>
            <w:r>
              <w:rPr>
                <w:rFonts w:hint="eastAsia"/>
                <w:b/>
                <w:bCs w:val="0"/>
              </w:rPr>
              <w:t>长度（km）</w:t>
            </w:r>
          </w:p>
        </w:tc>
        <w:tc>
          <w:tcPr>
            <w:tcW w:w="1770" w:type="dxa"/>
            <w:tcBorders>
              <w:bottom w:val="single" w:color="auto" w:sz="12" w:space="0"/>
              <w:tl2br w:val="nil"/>
              <w:tr2bl w:val="nil"/>
            </w:tcBorders>
            <w:shd w:val="clear" w:color="auto" w:fill="CCC0D9"/>
            <w:vAlign w:val="center"/>
          </w:tcPr>
          <w:p>
            <w:pPr>
              <w:pStyle w:val="151"/>
              <w:ind w:firstLine="20"/>
              <w:rPr>
                <w:b/>
                <w:bCs w:val="0"/>
              </w:rPr>
            </w:pPr>
            <w:r>
              <w:rPr>
                <w:rFonts w:hint="eastAsia"/>
                <w:b/>
                <w:bCs w:val="0"/>
              </w:rPr>
              <w:t>车道数</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617" w:type="dxa"/>
            <w:tcBorders>
              <w:top w:val="single" w:color="auto" w:sz="12" w:space="0"/>
              <w:tl2br w:val="nil"/>
              <w:tr2bl w:val="nil"/>
            </w:tcBorders>
            <w:vAlign w:val="center"/>
          </w:tcPr>
          <w:p>
            <w:pPr>
              <w:ind w:firstLine="0" w:firstLineChars="0"/>
              <w:jc w:val="center"/>
              <w:rPr>
                <w:sz w:val="21"/>
                <w:szCs w:val="21"/>
              </w:rPr>
            </w:pPr>
            <w:r>
              <w:rPr>
                <w:rFonts w:hint="eastAsia"/>
                <w:sz w:val="21"/>
                <w:szCs w:val="21"/>
              </w:rPr>
              <w:t>车城大道</w:t>
            </w:r>
          </w:p>
        </w:tc>
        <w:tc>
          <w:tcPr>
            <w:tcW w:w="2118" w:type="dxa"/>
            <w:tcBorders>
              <w:top w:val="single" w:color="auto" w:sz="12" w:space="0"/>
              <w:tl2br w:val="nil"/>
              <w:tr2bl w:val="nil"/>
            </w:tcBorders>
            <w:vAlign w:val="center"/>
          </w:tcPr>
          <w:p>
            <w:pPr>
              <w:ind w:firstLine="0" w:firstLineChars="0"/>
              <w:jc w:val="center"/>
              <w:rPr>
                <w:sz w:val="21"/>
                <w:szCs w:val="21"/>
              </w:rPr>
            </w:pPr>
            <w:r>
              <w:rPr>
                <w:rFonts w:hint="eastAsia"/>
                <w:sz w:val="21"/>
                <w:szCs w:val="21"/>
              </w:rPr>
              <w:t>公交专用道</w:t>
            </w:r>
          </w:p>
        </w:tc>
        <w:tc>
          <w:tcPr>
            <w:tcW w:w="1298" w:type="dxa"/>
            <w:tcBorders>
              <w:top w:val="single" w:color="auto" w:sz="12" w:space="0"/>
              <w:tl2br w:val="nil"/>
              <w:tr2bl w:val="nil"/>
            </w:tcBorders>
            <w:vAlign w:val="center"/>
          </w:tcPr>
          <w:p>
            <w:pPr>
              <w:ind w:firstLine="0" w:firstLineChars="0"/>
              <w:jc w:val="center"/>
              <w:rPr>
                <w:sz w:val="21"/>
                <w:szCs w:val="21"/>
              </w:rPr>
            </w:pPr>
            <w:r>
              <w:rPr>
                <w:sz w:val="21"/>
                <w:szCs w:val="21"/>
              </w:rPr>
              <w:t>4.26</w:t>
            </w:r>
          </w:p>
        </w:tc>
        <w:tc>
          <w:tcPr>
            <w:tcW w:w="1770" w:type="dxa"/>
            <w:tcBorders>
              <w:top w:val="single" w:color="auto" w:sz="12" w:space="0"/>
              <w:tl2br w:val="nil"/>
              <w:tr2bl w:val="nil"/>
            </w:tcBorders>
            <w:vAlign w:val="center"/>
          </w:tcPr>
          <w:p>
            <w:pPr>
              <w:ind w:firstLine="0" w:firstLineChars="0"/>
              <w:jc w:val="center"/>
              <w:rPr>
                <w:sz w:val="21"/>
                <w:szCs w:val="21"/>
              </w:rPr>
            </w:pPr>
            <w:r>
              <w:rPr>
                <w:rFonts w:hint="eastAsia"/>
                <w:sz w:val="21"/>
                <w:szCs w:val="21"/>
              </w:rPr>
              <w:t>双向8车道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617" w:type="dxa"/>
            <w:tcBorders>
              <w:tl2br w:val="nil"/>
              <w:tr2bl w:val="nil"/>
            </w:tcBorders>
            <w:vAlign w:val="center"/>
          </w:tcPr>
          <w:p>
            <w:pPr>
              <w:ind w:firstLine="0" w:firstLineChars="0"/>
              <w:jc w:val="center"/>
              <w:rPr>
                <w:sz w:val="21"/>
                <w:szCs w:val="21"/>
              </w:rPr>
            </w:pPr>
            <w:r>
              <w:rPr>
                <w:rFonts w:hint="eastAsia"/>
                <w:sz w:val="21"/>
                <w:szCs w:val="21"/>
              </w:rPr>
              <w:t>娇子大道</w:t>
            </w:r>
          </w:p>
        </w:tc>
        <w:tc>
          <w:tcPr>
            <w:tcW w:w="2118" w:type="dxa"/>
            <w:tcBorders>
              <w:tl2br w:val="nil"/>
              <w:tr2bl w:val="nil"/>
            </w:tcBorders>
            <w:vAlign w:val="center"/>
          </w:tcPr>
          <w:p>
            <w:pPr>
              <w:ind w:firstLine="0" w:firstLineChars="0"/>
              <w:jc w:val="center"/>
              <w:rPr>
                <w:sz w:val="21"/>
                <w:szCs w:val="21"/>
              </w:rPr>
            </w:pPr>
            <w:r>
              <w:rPr>
                <w:rFonts w:hint="eastAsia"/>
                <w:sz w:val="21"/>
                <w:szCs w:val="21"/>
              </w:rPr>
              <w:t>公交专用道</w:t>
            </w:r>
          </w:p>
        </w:tc>
        <w:tc>
          <w:tcPr>
            <w:tcW w:w="1298" w:type="dxa"/>
            <w:tcBorders>
              <w:tl2br w:val="nil"/>
              <w:tr2bl w:val="nil"/>
            </w:tcBorders>
            <w:vAlign w:val="center"/>
          </w:tcPr>
          <w:p>
            <w:pPr>
              <w:ind w:firstLine="0" w:firstLineChars="0"/>
              <w:jc w:val="center"/>
              <w:rPr>
                <w:sz w:val="21"/>
                <w:szCs w:val="21"/>
              </w:rPr>
            </w:pPr>
            <w:r>
              <w:rPr>
                <w:sz w:val="21"/>
                <w:szCs w:val="21"/>
              </w:rPr>
              <w:t>3.36</w:t>
            </w:r>
          </w:p>
        </w:tc>
        <w:tc>
          <w:tcPr>
            <w:tcW w:w="1770" w:type="dxa"/>
            <w:tcBorders>
              <w:tl2br w:val="nil"/>
              <w:tr2bl w:val="nil"/>
            </w:tcBorders>
            <w:vAlign w:val="center"/>
          </w:tcPr>
          <w:p>
            <w:pPr>
              <w:ind w:firstLine="0" w:firstLineChars="0"/>
              <w:jc w:val="center"/>
              <w:rPr>
                <w:sz w:val="21"/>
                <w:szCs w:val="21"/>
              </w:rPr>
            </w:pPr>
            <w:r>
              <w:rPr>
                <w:rFonts w:hint="eastAsia"/>
                <w:sz w:val="21"/>
                <w:szCs w:val="21"/>
              </w:rPr>
              <w:t>双向8车道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617" w:type="dxa"/>
            <w:tcBorders>
              <w:tl2br w:val="nil"/>
              <w:tr2bl w:val="nil"/>
            </w:tcBorders>
            <w:vAlign w:val="center"/>
          </w:tcPr>
          <w:p>
            <w:pPr>
              <w:ind w:firstLine="0" w:firstLineChars="0"/>
              <w:jc w:val="center"/>
              <w:rPr>
                <w:sz w:val="21"/>
                <w:szCs w:val="21"/>
              </w:rPr>
            </w:pPr>
            <w:r>
              <w:rPr>
                <w:rFonts w:hint="eastAsia"/>
                <w:sz w:val="21"/>
                <w:szCs w:val="21"/>
              </w:rPr>
              <w:t>迎宾大道</w:t>
            </w:r>
          </w:p>
        </w:tc>
        <w:tc>
          <w:tcPr>
            <w:tcW w:w="2118" w:type="dxa"/>
            <w:tcBorders>
              <w:tl2br w:val="nil"/>
              <w:tr2bl w:val="nil"/>
            </w:tcBorders>
            <w:vAlign w:val="center"/>
          </w:tcPr>
          <w:p>
            <w:pPr>
              <w:ind w:firstLine="0" w:firstLineChars="0"/>
              <w:jc w:val="center"/>
              <w:rPr>
                <w:sz w:val="21"/>
                <w:szCs w:val="21"/>
              </w:rPr>
            </w:pPr>
            <w:r>
              <w:rPr>
                <w:rFonts w:hint="eastAsia"/>
                <w:sz w:val="21"/>
                <w:szCs w:val="21"/>
              </w:rPr>
              <w:t>公交优先道</w:t>
            </w:r>
          </w:p>
        </w:tc>
        <w:tc>
          <w:tcPr>
            <w:tcW w:w="1298" w:type="dxa"/>
            <w:tcBorders>
              <w:tl2br w:val="nil"/>
              <w:tr2bl w:val="nil"/>
            </w:tcBorders>
            <w:vAlign w:val="center"/>
          </w:tcPr>
          <w:p>
            <w:pPr>
              <w:ind w:firstLine="0" w:firstLineChars="0"/>
              <w:jc w:val="center"/>
              <w:rPr>
                <w:sz w:val="21"/>
                <w:szCs w:val="21"/>
              </w:rPr>
            </w:pPr>
            <w:r>
              <w:rPr>
                <w:sz w:val="21"/>
                <w:szCs w:val="21"/>
              </w:rPr>
              <w:t>2.36</w:t>
            </w:r>
          </w:p>
        </w:tc>
        <w:tc>
          <w:tcPr>
            <w:tcW w:w="1770" w:type="dxa"/>
            <w:tcBorders>
              <w:tl2br w:val="nil"/>
              <w:tr2bl w:val="nil"/>
            </w:tcBorders>
            <w:vAlign w:val="center"/>
          </w:tcPr>
          <w:p>
            <w:pPr>
              <w:ind w:firstLine="0" w:firstLineChars="0"/>
              <w:jc w:val="center"/>
              <w:rPr>
                <w:sz w:val="21"/>
                <w:szCs w:val="21"/>
              </w:rPr>
            </w:pPr>
            <w:r>
              <w:rPr>
                <w:rFonts w:hint="eastAsia"/>
                <w:sz w:val="21"/>
                <w:szCs w:val="21"/>
              </w:rPr>
              <w:t>双向10车道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617" w:type="dxa"/>
            <w:tcBorders>
              <w:tl2br w:val="nil"/>
              <w:tr2bl w:val="nil"/>
            </w:tcBorders>
            <w:vAlign w:val="center"/>
          </w:tcPr>
          <w:p>
            <w:pPr>
              <w:ind w:firstLine="0" w:firstLineChars="0"/>
              <w:jc w:val="center"/>
              <w:rPr>
                <w:sz w:val="21"/>
                <w:szCs w:val="21"/>
              </w:rPr>
            </w:pPr>
            <w:r>
              <w:rPr>
                <w:rFonts w:hint="eastAsia"/>
                <w:sz w:val="21"/>
                <w:szCs w:val="21"/>
              </w:rPr>
              <w:t>蜀乡大道（含沱二桥）</w:t>
            </w:r>
          </w:p>
        </w:tc>
        <w:tc>
          <w:tcPr>
            <w:tcW w:w="2118" w:type="dxa"/>
            <w:tcBorders>
              <w:tl2br w:val="nil"/>
              <w:tr2bl w:val="nil"/>
            </w:tcBorders>
            <w:vAlign w:val="center"/>
          </w:tcPr>
          <w:p>
            <w:pPr>
              <w:ind w:firstLine="0" w:firstLineChars="0"/>
              <w:jc w:val="center"/>
              <w:rPr>
                <w:sz w:val="21"/>
                <w:szCs w:val="21"/>
              </w:rPr>
            </w:pPr>
            <w:r>
              <w:rPr>
                <w:rFonts w:hint="eastAsia"/>
                <w:sz w:val="21"/>
                <w:szCs w:val="21"/>
              </w:rPr>
              <w:t>公交优先道</w:t>
            </w:r>
          </w:p>
        </w:tc>
        <w:tc>
          <w:tcPr>
            <w:tcW w:w="1298" w:type="dxa"/>
            <w:tcBorders>
              <w:tl2br w:val="nil"/>
              <w:tr2bl w:val="nil"/>
            </w:tcBorders>
            <w:vAlign w:val="center"/>
          </w:tcPr>
          <w:p>
            <w:pPr>
              <w:ind w:firstLine="0" w:firstLineChars="0"/>
              <w:jc w:val="center"/>
              <w:rPr>
                <w:sz w:val="21"/>
                <w:szCs w:val="21"/>
              </w:rPr>
            </w:pPr>
            <w:r>
              <w:rPr>
                <w:sz w:val="21"/>
                <w:szCs w:val="21"/>
              </w:rPr>
              <w:t>4.86</w:t>
            </w:r>
          </w:p>
        </w:tc>
        <w:tc>
          <w:tcPr>
            <w:tcW w:w="1770" w:type="dxa"/>
            <w:tcBorders>
              <w:tl2br w:val="nil"/>
              <w:tr2bl w:val="nil"/>
            </w:tcBorders>
            <w:vAlign w:val="center"/>
          </w:tcPr>
          <w:p>
            <w:pPr>
              <w:ind w:firstLine="0" w:firstLineChars="0"/>
              <w:jc w:val="center"/>
              <w:rPr>
                <w:sz w:val="21"/>
                <w:szCs w:val="21"/>
              </w:rPr>
            </w:pPr>
            <w:r>
              <w:rPr>
                <w:rFonts w:hint="eastAsia"/>
                <w:sz w:val="21"/>
                <w:szCs w:val="21"/>
              </w:rPr>
              <w:t>双向10车道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exact"/>
          <w:jc w:val="center"/>
        </w:trPr>
        <w:tc>
          <w:tcPr>
            <w:tcW w:w="2617" w:type="dxa"/>
            <w:tcBorders>
              <w:tl2br w:val="nil"/>
              <w:tr2bl w:val="nil"/>
            </w:tcBorders>
            <w:vAlign w:val="center"/>
          </w:tcPr>
          <w:p>
            <w:pPr>
              <w:ind w:firstLine="0" w:firstLineChars="0"/>
              <w:jc w:val="center"/>
              <w:rPr>
                <w:sz w:val="21"/>
                <w:szCs w:val="21"/>
              </w:rPr>
            </w:pPr>
            <w:r>
              <w:rPr>
                <w:rFonts w:hint="eastAsia"/>
                <w:sz w:val="21"/>
                <w:szCs w:val="21"/>
              </w:rPr>
              <w:t>城南大道</w:t>
            </w:r>
          </w:p>
        </w:tc>
        <w:tc>
          <w:tcPr>
            <w:tcW w:w="2118" w:type="dxa"/>
            <w:tcBorders>
              <w:tl2br w:val="nil"/>
              <w:tr2bl w:val="nil"/>
            </w:tcBorders>
            <w:vAlign w:val="center"/>
          </w:tcPr>
          <w:p>
            <w:pPr>
              <w:ind w:firstLine="0" w:firstLineChars="0"/>
              <w:jc w:val="center"/>
              <w:rPr>
                <w:sz w:val="21"/>
                <w:szCs w:val="21"/>
              </w:rPr>
            </w:pPr>
            <w:r>
              <w:rPr>
                <w:rFonts w:hint="eastAsia"/>
                <w:sz w:val="21"/>
                <w:szCs w:val="21"/>
              </w:rPr>
              <w:t>公交优先道</w:t>
            </w:r>
          </w:p>
        </w:tc>
        <w:tc>
          <w:tcPr>
            <w:tcW w:w="1298" w:type="dxa"/>
            <w:tcBorders>
              <w:tl2br w:val="nil"/>
              <w:tr2bl w:val="nil"/>
            </w:tcBorders>
            <w:vAlign w:val="center"/>
          </w:tcPr>
          <w:p>
            <w:pPr>
              <w:ind w:firstLine="0" w:firstLineChars="0"/>
              <w:jc w:val="center"/>
              <w:rPr>
                <w:sz w:val="21"/>
                <w:szCs w:val="21"/>
              </w:rPr>
            </w:pPr>
            <w:r>
              <w:rPr>
                <w:sz w:val="21"/>
                <w:szCs w:val="21"/>
              </w:rPr>
              <w:t>5.77</w:t>
            </w:r>
          </w:p>
        </w:tc>
        <w:tc>
          <w:tcPr>
            <w:tcW w:w="1770" w:type="dxa"/>
            <w:tcBorders>
              <w:tl2br w:val="nil"/>
              <w:tr2bl w:val="nil"/>
            </w:tcBorders>
            <w:vAlign w:val="center"/>
          </w:tcPr>
          <w:p>
            <w:pPr>
              <w:ind w:firstLine="0" w:firstLineChars="0"/>
              <w:jc w:val="center"/>
              <w:rPr>
                <w:sz w:val="21"/>
                <w:szCs w:val="21"/>
              </w:rPr>
            </w:pPr>
            <w:r>
              <w:rPr>
                <w:rFonts w:hint="eastAsia"/>
                <w:sz w:val="21"/>
                <w:szCs w:val="21"/>
              </w:rPr>
              <w:t>双向6车道</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2617" w:type="dxa"/>
            <w:tcBorders>
              <w:tl2br w:val="nil"/>
              <w:tr2bl w:val="nil"/>
            </w:tcBorders>
            <w:vAlign w:val="center"/>
          </w:tcPr>
          <w:p>
            <w:pPr>
              <w:ind w:firstLine="0" w:firstLineChars="0"/>
              <w:jc w:val="center"/>
              <w:rPr>
                <w:sz w:val="21"/>
                <w:szCs w:val="21"/>
              </w:rPr>
            </w:pPr>
            <w:r>
              <w:rPr>
                <w:rFonts w:hint="eastAsia"/>
                <w:sz w:val="21"/>
                <w:szCs w:val="21"/>
              </w:rPr>
              <w:t>锦湾大道</w:t>
            </w:r>
          </w:p>
        </w:tc>
        <w:tc>
          <w:tcPr>
            <w:tcW w:w="2118" w:type="dxa"/>
            <w:tcBorders>
              <w:tl2br w:val="nil"/>
              <w:tr2bl w:val="nil"/>
            </w:tcBorders>
            <w:vAlign w:val="center"/>
          </w:tcPr>
          <w:p>
            <w:pPr>
              <w:ind w:firstLine="0" w:firstLineChars="0"/>
              <w:jc w:val="center"/>
              <w:rPr>
                <w:sz w:val="21"/>
                <w:szCs w:val="21"/>
              </w:rPr>
            </w:pPr>
            <w:r>
              <w:rPr>
                <w:rFonts w:hint="eastAsia"/>
                <w:sz w:val="21"/>
                <w:szCs w:val="21"/>
              </w:rPr>
              <w:t>公交优先道</w:t>
            </w:r>
          </w:p>
        </w:tc>
        <w:tc>
          <w:tcPr>
            <w:tcW w:w="1298" w:type="dxa"/>
            <w:tcBorders>
              <w:tl2br w:val="nil"/>
              <w:tr2bl w:val="nil"/>
            </w:tcBorders>
            <w:vAlign w:val="center"/>
          </w:tcPr>
          <w:p>
            <w:pPr>
              <w:ind w:firstLine="0" w:firstLineChars="0"/>
              <w:jc w:val="center"/>
              <w:rPr>
                <w:sz w:val="21"/>
                <w:szCs w:val="21"/>
              </w:rPr>
            </w:pPr>
            <w:r>
              <w:rPr>
                <w:sz w:val="21"/>
                <w:szCs w:val="21"/>
              </w:rPr>
              <w:t>2.66</w:t>
            </w:r>
          </w:p>
        </w:tc>
        <w:tc>
          <w:tcPr>
            <w:tcW w:w="1770" w:type="dxa"/>
            <w:tcBorders>
              <w:tl2br w:val="nil"/>
              <w:tr2bl w:val="nil"/>
            </w:tcBorders>
            <w:vAlign w:val="center"/>
          </w:tcPr>
          <w:p>
            <w:pPr>
              <w:ind w:firstLine="0" w:firstLineChars="0"/>
              <w:jc w:val="center"/>
              <w:rPr>
                <w:sz w:val="21"/>
                <w:szCs w:val="21"/>
              </w:rPr>
            </w:pPr>
            <w:r>
              <w:rPr>
                <w:rFonts w:hint="eastAsia"/>
                <w:sz w:val="21"/>
                <w:szCs w:val="21"/>
              </w:rPr>
              <w:t>双向6车道</w:t>
            </w:r>
          </w:p>
        </w:tc>
      </w:tr>
    </w:tbl>
    <w:p>
      <w:pPr>
        <w:ind w:firstLine="480"/>
      </w:pPr>
      <w:r>
        <w:rPr>
          <w:rFonts w:hint="eastAsia"/>
        </w:rPr>
        <w:t>（5）公交信息化建设</w:t>
      </w:r>
    </w:p>
    <w:p>
      <w:pPr>
        <w:ind w:firstLine="480"/>
      </w:pPr>
      <w:bookmarkStart w:id="245" w:name="_Toc22472"/>
      <w:bookmarkStart w:id="246" w:name="_Toc518573727"/>
      <w:r>
        <w:rPr>
          <w:rFonts w:cs="Times New Roman"/>
        </w:rPr>
        <w:t>进一步拓展完善现有的IC卡系统</w:t>
      </w:r>
      <w:r>
        <w:rPr>
          <w:rFonts w:hint="eastAsia" w:cs="Times New Roman"/>
        </w:rPr>
        <w:t>；</w:t>
      </w:r>
      <w:r>
        <w:rPr>
          <w:rFonts w:cs="Times New Roman"/>
        </w:rPr>
        <w:t>进行公交调度指挥中心的功能完善建设</w:t>
      </w:r>
      <w:r>
        <w:rPr>
          <w:rFonts w:hint="eastAsia" w:cs="Times New Roman"/>
        </w:rPr>
        <w:t>；</w:t>
      </w:r>
      <w:r>
        <w:rPr>
          <w:rFonts w:cs="Times New Roman"/>
        </w:rPr>
        <w:t>搭建公交企业与维修车厂的信息共享平台</w:t>
      </w:r>
      <w:r>
        <w:rPr>
          <w:rFonts w:hint="eastAsia" w:cs="Times New Roman"/>
        </w:rPr>
        <w:t>；</w:t>
      </w:r>
      <w:r>
        <w:rPr>
          <w:rFonts w:cs="Times New Roman"/>
        </w:rPr>
        <w:t>推动主要公交场站现代化视频监控中心的建设</w:t>
      </w:r>
      <w:r>
        <w:rPr>
          <w:rFonts w:hint="eastAsia" w:cs="Times New Roman"/>
        </w:rPr>
        <w:t>；</w:t>
      </w:r>
      <w:r>
        <w:rPr>
          <w:rFonts w:cs="Times New Roman"/>
        </w:rPr>
        <w:t>进一步完善电子站牌、车内LED电子信息显示系统，重点建立出行信息发布系统中的信息查询子系统</w:t>
      </w:r>
      <w:r>
        <w:rPr>
          <w:rFonts w:hint="eastAsia" w:cs="Times New Roman"/>
        </w:rPr>
        <w:t>。建设全国交通一卡通系统平台。实现交通一卡全国互联互通，支持手机NFC、金融类卡以及二维码消费，实现公交刷卡消费全支付，方便市民刷卡消费，并进一步用银行网点扩展办卡及充值网点。搭建资阳城市公交APP系统和微信公众服务信息平台，实现市民利用手机实时查询公交线路、公交车辆运行轨迹等公交出行信息，准确掌握公交车到站时间。建设公交智能调度和视频监控系统平台。实现公交车运营调度信息化，提升公交车运行效率。建成全维度的公交运营数据的统计和分析，提升公司的运营管理水平。</w:t>
      </w:r>
      <w:r>
        <w:rPr>
          <w:rFonts w:hint="eastAsia"/>
        </w:rPr>
        <w:t>建设ERP综合业务信息，实现对公司运营、维修、收银、人力资源、信息统计分析、薪酬等各项业务运转全信息化和流程化管理。</w:t>
      </w:r>
    </w:p>
    <w:p>
      <w:pPr>
        <w:pStyle w:val="5"/>
      </w:pPr>
      <w:r>
        <w:rPr>
          <w:rFonts w:hint="eastAsia"/>
        </w:rPr>
        <w:t>1</w:t>
      </w:r>
      <w:r>
        <w:t>1</w:t>
      </w:r>
      <w:r>
        <w:rPr>
          <w:rFonts w:hint="eastAsia"/>
        </w:rPr>
        <w:t>.2.2</w:t>
      </w:r>
      <w:r>
        <w:t xml:space="preserve"> </w:t>
      </w:r>
      <w:r>
        <w:rPr>
          <w:rFonts w:hint="eastAsia"/>
        </w:rPr>
        <w:t>中远期项目建设安排</w:t>
      </w:r>
      <w:bookmarkEnd w:id="245"/>
      <w:bookmarkEnd w:id="246"/>
    </w:p>
    <w:p>
      <w:pPr>
        <w:ind w:firstLine="480"/>
      </w:pPr>
      <w:r>
        <w:rPr>
          <w:rFonts w:hint="eastAsia"/>
        </w:rPr>
        <w:t>（1）公交线网建设</w:t>
      </w:r>
    </w:p>
    <w:p>
      <w:pPr>
        <w:ind w:firstLine="480" w:firstLineChars="0"/>
      </w:pPr>
      <w:r>
        <w:rPr>
          <w:rFonts w:hint="eastAsia"/>
        </w:rPr>
        <w:t>在近期基础上，新辟公交线路4条，其中包括快线2条，支线2条。</w:t>
      </w:r>
    </w:p>
    <w:p>
      <w:pPr>
        <w:pStyle w:val="113"/>
        <w:spacing w:before="163" w:after="163"/>
      </w:pPr>
      <w:r>
        <w:rPr>
          <w:rFonts w:hint="eastAsia"/>
        </w:rPr>
        <w:t>表1</w:t>
      </w:r>
      <w:r>
        <w:t>1</w:t>
      </w:r>
      <w:r>
        <w:rPr>
          <w:rFonts w:hint="eastAsia"/>
        </w:rPr>
        <w:t>-</w:t>
      </w:r>
      <w:r>
        <w:t xml:space="preserve">5  </w:t>
      </w:r>
      <w:r>
        <w:rPr>
          <w:rFonts w:hint="eastAsia"/>
        </w:rPr>
        <w:t>中远期公交线网建设情况</w:t>
      </w:r>
    </w:p>
    <w:tbl>
      <w:tblPr>
        <w:tblStyle w:val="94"/>
        <w:tblW w:w="8522"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993"/>
        <w:gridCol w:w="744"/>
        <w:gridCol w:w="2156"/>
        <w:gridCol w:w="2314"/>
        <w:gridCol w:w="2315"/>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jc w:val="center"/>
        </w:trPr>
        <w:tc>
          <w:tcPr>
            <w:tcW w:w="993" w:type="dxa"/>
            <w:tcBorders>
              <w:bottom w:val="single" w:color="auto" w:sz="12" w:space="0"/>
              <w:tl2br w:val="nil"/>
              <w:tr2bl w:val="nil"/>
            </w:tcBorders>
            <w:shd w:val="clear" w:color="auto" w:fill="CCC0D9"/>
            <w:vAlign w:val="center"/>
          </w:tcPr>
          <w:p>
            <w:pPr>
              <w:pStyle w:val="151"/>
              <w:rPr>
                <w:b/>
                <w:bCs w:val="0"/>
              </w:rPr>
            </w:pPr>
            <w:r>
              <w:rPr>
                <w:rFonts w:hint="eastAsia"/>
                <w:b/>
                <w:bCs w:val="0"/>
              </w:rPr>
              <w:t>方案</w:t>
            </w:r>
          </w:p>
        </w:tc>
        <w:tc>
          <w:tcPr>
            <w:tcW w:w="744" w:type="dxa"/>
            <w:tcBorders>
              <w:bottom w:val="single" w:color="auto" w:sz="12" w:space="0"/>
              <w:tl2br w:val="nil"/>
              <w:tr2bl w:val="nil"/>
            </w:tcBorders>
            <w:shd w:val="clear" w:color="auto" w:fill="CCC0D9"/>
            <w:vAlign w:val="center"/>
          </w:tcPr>
          <w:p>
            <w:pPr>
              <w:pStyle w:val="151"/>
              <w:rPr>
                <w:b/>
                <w:bCs w:val="0"/>
              </w:rPr>
            </w:pPr>
            <w:r>
              <w:rPr>
                <w:rFonts w:hint="eastAsia"/>
                <w:b/>
                <w:bCs w:val="0"/>
              </w:rPr>
              <w:t>序号</w:t>
            </w:r>
          </w:p>
        </w:tc>
        <w:tc>
          <w:tcPr>
            <w:tcW w:w="2156" w:type="dxa"/>
            <w:tcBorders>
              <w:bottom w:val="single" w:color="auto" w:sz="12" w:space="0"/>
              <w:tl2br w:val="nil"/>
              <w:tr2bl w:val="nil"/>
            </w:tcBorders>
            <w:shd w:val="clear" w:color="auto" w:fill="CCC0D9"/>
            <w:vAlign w:val="center"/>
          </w:tcPr>
          <w:p>
            <w:pPr>
              <w:pStyle w:val="151"/>
              <w:ind w:hanging="2"/>
              <w:rPr>
                <w:b/>
                <w:bCs w:val="0"/>
              </w:rPr>
            </w:pPr>
            <w:r>
              <w:rPr>
                <w:rFonts w:hint="eastAsia"/>
                <w:b/>
                <w:bCs w:val="0"/>
              </w:rPr>
              <w:t>路别</w:t>
            </w:r>
          </w:p>
        </w:tc>
        <w:tc>
          <w:tcPr>
            <w:tcW w:w="2314" w:type="dxa"/>
            <w:tcBorders>
              <w:bottom w:val="single" w:color="auto" w:sz="12" w:space="0"/>
              <w:tl2br w:val="nil"/>
              <w:tr2bl w:val="nil"/>
            </w:tcBorders>
            <w:shd w:val="clear" w:color="auto" w:fill="CCC0D9"/>
            <w:vAlign w:val="center"/>
          </w:tcPr>
          <w:p>
            <w:pPr>
              <w:pStyle w:val="151"/>
              <w:rPr>
                <w:b/>
                <w:bCs w:val="0"/>
              </w:rPr>
            </w:pPr>
            <w:r>
              <w:rPr>
                <w:rFonts w:hint="eastAsia"/>
                <w:b/>
                <w:bCs w:val="0"/>
              </w:rPr>
              <w:t>性质</w:t>
            </w:r>
          </w:p>
        </w:tc>
        <w:tc>
          <w:tcPr>
            <w:tcW w:w="2315" w:type="dxa"/>
            <w:tcBorders>
              <w:bottom w:val="single" w:color="auto" w:sz="12" w:space="0"/>
              <w:tl2br w:val="nil"/>
              <w:tr2bl w:val="nil"/>
            </w:tcBorders>
            <w:shd w:val="clear" w:color="auto" w:fill="CCC0D9"/>
            <w:vAlign w:val="center"/>
          </w:tcPr>
          <w:p>
            <w:pPr>
              <w:pStyle w:val="151"/>
              <w:rPr>
                <w:b/>
                <w:bCs w:val="0"/>
              </w:rPr>
            </w:pPr>
            <w:r>
              <w:rPr>
                <w:rFonts w:hint="eastAsia"/>
                <w:b/>
                <w:bCs w:val="0"/>
              </w:rPr>
              <w:t>长度（km）</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restart"/>
            <w:tcBorders>
              <w:top w:val="single" w:color="auto" w:sz="12" w:space="0"/>
              <w:tl2br w:val="nil"/>
              <w:tr2bl w:val="nil"/>
            </w:tcBorders>
            <w:vAlign w:val="center"/>
          </w:tcPr>
          <w:p>
            <w:pPr>
              <w:pStyle w:val="151"/>
              <w:spacing w:before="0" w:line="240" w:lineRule="auto"/>
              <w:ind w:hanging="2"/>
            </w:pPr>
            <w:r>
              <w:rPr>
                <w:rFonts w:hint="eastAsia"/>
              </w:rPr>
              <w:t>新辟</w:t>
            </w:r>
          </w:p>
        </w:tc>
        <w:tc>
          <w:tcPr>
            <w:tcW w:w="744" w:type="dxa"/>
            <w:tcBorders>
              <w:top w:val="single" w:color="auto" w:sz="12" w:space="0"/>
              <w:tl2br w:val="nil"/>
              <w:tr2bl w:val="nil"/>
            </w:tcBorders>
            <w:vAlign w:val="center"/>
          </w:tcPr>
          <w:p>
            <w:pPr>
              <w:pStyle w:val="151"/>
              <w:spacing w:before="0" w:line="240" w:lineRule="auto"/>
              <w:rPr>
                <w:bCs w:val="0"/>
              </w:rPr>
            </w:pPr>
            <w:r>
              <w:rPr>
                <w:rFonts w:hint="eastAsia"/>
                <w:bCs w:val="0"/>
              </w:rPr>
              <w:t>1</w:t>
            </w:r>
          </w:p>
        </w:tc>
        <w:tc>
          <w:tcPr>
            <w:tcW w:w="2156" w:type="dxa"/>
            <w:tcBorders>
              <w:top w:val="single" w:color="auto" w:sz="12" w:space="0"/>
              <w:tl2br w:val="nil"/>
              <w:tr2bl w:val="nil"/>
            </w:tcBorders>
            <w:vAlign w:val="center"/>
          </w:tcPr>
          <w:p>
            <w:pPr>
              <w:pStyle w:val="151"/>
              <w:spacing w:before="0" w:line="240" w:lineRule="auto"/>
              <w:ind w:hanging="2"/>
              <w:rPr>
                <w:bCs w:val="0"/>
              </w:rPr>
            </w:pPr>
            <w:r>
              <w:rPr>
                <w:rFonts w:hint="eastAsia"/>
              </w:rPr>
              <w:t>高铁快线3路</w:t>
            </w:r>
          </w:p>
        </w:tc>
        <w:tc>
          <w:tcPr>
            <w:tcW w:w="2314" w:type="dxa"/>
            <w:tcBorders>
              <w:top w:val="single" w:color="auto" w:sz="12" w:space="0"/>
              <w:tl2br w:val="nil"/>
              <w:tr2bl w:val="nil"/>
            </w:tcBorders>
            <w:vAlign w:val="center"/>
          </w:tcPr>
          <w:p>
            <w:pPr>
              <w:pStyle w:val="151"/>
              <w:spacing w:before="0" w:line="240" w:lineRule="auto"/>
              <w:rPr>
                <w:bCs w:val="0"/>
              </w:rPr>
            </w:pPr>
            <w:r>
              <w:rPr>
                <w:rFonts w:hint="eastAsia"/>
              </w:rPr>
              <w:t>快线</w:t>
            </w:r>
          </w:p>
        </w:tc>
        <w:tc>
          <w:tcPr>
            <w:tcW w:w="2315" w:type="dxa"/>
            <w:tcBorders>
              <w:top w:val="single" w:color="auto" w:sz="12" w:space="0"/>
              <w:tl2br w:val="nil"/>
              <w:tr2bl w:val="nil"/>
            </w:tcBorders>
            <w:vAlign w:val="center"/>
          </w:tcPr>
          <w:p>
            <w:pPr>
              <w:pStyle w:val="151"/>
              <w:spacing w:before="0" w:line="240" w:lineRule="auto"/>
              <w:rPr>
                <w:bCs w:val="0"/>
              </w:rPr>
            </w:pPr>
            <w:r>
              <w:rPr>
                <w:rFonts w:hint="eastAsia"/>
              </w:rPr>
              <w:t>12.03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rPr>
                <w:b/>
              </w:rPr>
            </w:pPr>
          </w:p>
        </w:tc>
        <w:tc>
          <w:tcPr>
            <w:tcW w:w="744" w:type="dxa"/>
            <w:tcBorders>
              <w:tl2br w:val="nil"/>
              <w:tr2bl w:val="nil"/>
            </w:tcBorders>
            <w:vAlign w:val="center"/>
          </w:tcPr>
          <w:p>
            <w:pPr>
              <w:pStyle w:val="151"/>
              <w:spacing w:before="0" w:line="240" w:lineRule="auto"/>
              <w:rPr>
                <w:bCs w:val="0"/>
              </w:rPr>
            </w:pPr>
            <w:r>
              <w:rPr>
                <w:rFonts w:hint="eastAsia"/>
                <w:bCs w:val="0"/>
              </w:rPr>
              <w:t>2</w:t>
            </w:r>
          </w:p>
        </w:tc>
        <w:tc>
          <w:tcPr>
            <w:tcW w:w="2156" w:type="dxa"/>
            <w:tcBorders>
              <w:tl2br w:val="nil"/>
              <w:tr2bl w:val="nil"/>
            </w:tcBorders>
            <w:vAlign w:val="center"/>
          </w:tcPr>
          <w:p>
            <w:pPr>
              <w:pStyle w:val="151"/>
              <w:spacing w:before="0" w:line="240" w:lineRule="auto"/>
              <w:ind w:hanging="2"/>
              <w:rPr>
                <w:bCs w:val="0"/>
              </w:rPr>
            </w:pPr>
            <w:r>
              <w:rPr>
                <w:rFonts w:hint="eastAsia"/>
              </w:rPr>
              <w:t>高铁快线4路</w:t>
            </w:r>
          </w:p>
        </w:tc>
        <w:tc>
          <w:tcPr>
            <w:tcW w:w="2314" w:type="dxa"/>
            <w:tcBorders>
              <w:tl2br w:val="nil"/>
              <w:tr2bl w:val="nil"/>
            </w:tcBorders>
            <w:vAlign w:val="center"/>
          </w:tcPr>
          <w:p>
            <w:pPr>
              <w:pStyle w:val="151"/>
              <w:spacing w:before="0" w:line="240" w:lineRule="auto"/>
              <w:rPr>
                <w:bCs w:val="0"/>
              </w:rPr>
            </w:pPr>
            <w:r>
              <w:rPr>
                <w:rFonts w:hint="eastAsia"/>
              </w:rPr>
              <w:t>快线</w:t>
            </w:r>
          </w:p>
        </w:tc>
        <w:tc>
          <w:tcPr>
            <w:tcW w:w="2315" w:type="dxa"/>
            <w:tcBorders>
              <w:tl2br w:val="nil"/>
              <w:tr2bl w:val="nil"/>
            </w:tcBorders>
            <w:vAlign w:val="center"/>
          </w:tcPr>
          <w:p>
            <w:pPr>
              <w:pStyle w:val="151"/>
              <w:spacing w:before="0" w:line="240" w:lineRule="auto"/>
              <w:rPr>
                <w:bCs w:val="0"/>
              </w:rPr>
            </w:pPr>
            <w:r>
              <w:rPr>
                <w:rFonts w:hint="eastAsia"/>
              </w:rPr>
              <w:t>18.46</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rPr>
                <w:b/>
              </w:rPr>
            </w:pPr>
          </w:p>
        </w:tc>
        <w:tc>
          <w:tcPr>
            <w:tcW w:w="744" w:type="dxa"/>
            <w:tcBorders>
              <w:tl2br w:val="nil"/>
              <w:tr2bl w:val="nil"/>
            </w:tcBorders>
            <w:vAlign w:val="center"/>
          </w:tcPr>
          <w:p>
            <w:pPr>
              <w:pStyle w:val="151"/>
              <w:spacing w:before="0" w:line="240" w:lineRule="auto"/>
              <w:rPr>
                <w:bCs w:val="0"/>
              </w:rPr>
            </w:pPr>
            <w:r>
              <w:rPr>
                <w:rFonts w:hint="eastAsia"/>
                <w:bCs w:val="0"/>
              </w:rPr>
              <w:t>3</w:t>
            </w:r>
          </w:p>
        </w:tc>
        <w:tc>
          <w:tcPr>
            <w:tcW w:w="2156" w:type="dxa"/>
            <w:tcBorders>
              <w:tl2br w:val="nil"/>
              <w:tr2bl w:val="nil"/>
            </w:tcBorders>
            <w:vAlign w:val="center"/>
          </w:tcPr>
          <w:p>
            <w:pPr>
              <w:pStyle w:val="151"/>
              <w:spacing w:before="0" w:line="240" w:lineRule="auto"/>
              <w:ind w:hanging="2"/>
              <w:rPr>
                <w:bCs w:val="0"/>
              </w:rPr>
            </w:pPr>
            <w:r>
              <w:rPr>
                <w:rFonts w:hint="eastAsia"/>
              </w:rPr>
              <w:t>15路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20.39</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rPr>
                <w:b/>
              </w:rPr>
            </w:pPr>
          </w:p>
        </w:tc>
        <w:tc>
          <w:tcPr>
            <w:tcW w:w="744" w:type="dxa"/>
            <w:tcBorders>
              <w:tl2br w:val="nil"/>
              <w:tr2bl w:val="nil"/>
            </w:tcBorders>
            <w:vAlign w:val="center"/>
          </w:tcPr>
          <w:p>
            <w:pPr>
              <w:pStyle w:val="151"/>
              <w:spacing w:before="0" w:line="240" w:lineRule="auto"/>
              <w:rPr>
                <w:bCs w:val="0"/>
              </w:rPr>
            </w:pPr>
            <w:r>
              <w:rPr>
                <w:rFonts w:hint="eastAsia"/>
                <w:bCs w:val="0"/>
              </w:rPr>
              <w:t>4</w:t>
            </w:r>
          </w:p>
        </w:tc>
        <w:tc>
          <w:tcPr>
            <w:tcW w:w="2156" w:type="dxa"/>
            <w:tcBorders>
              <w:tl2br w:val="nil"/>
              <w:tr2bl w:val="nil"/>
            </w:tcBorders>
            <w:vAlign w:val="center"/>
          </w:tcPr>
          <w:p>
            <w:pPr>
              <w:pStyle w:val="151"/>
              <w:spacing w:before="0" w:line="240" w:lineRule="auto"/>
              <w:ind w:hanging="2"/>
              <w:rPr>
                <w:bCs w:val="0"/>
              </w:rPr>
            </w:pPr>
            <w:r>
              <w:rPr>
                <w:rFonts w:hint="eastAsia"/>
              </w:rPr>
              <w:t>19路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15.07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exact"/>
          <w:jc w:val="center"/>
        </w:trPr>
        <w:tc>
          <w:tcPr>
            <w:tcW w:w="993" w:type="dxa"/>
            <w:vMerge w:val="restart"/>
            <w:tcBorders>
              <w:tl2br w:val="nil"/>
              <w:tr2bl w:val="nil"/>
            </w:tcBorders>
            <w:vAlign w:val="center"/>
          </w:tcPr>
          <w:p>
            <w:pPr>
              <w:pStyle w:val="151"/>
              <w:spacing w:before="0" w:line="240" w:lineRule="auto"/>
              <w:ind w:hanging="2"/>
            </w:pPr>
            <w:r>
              <w:t>延长</w:t>
            </w:r>
          </w:p>
        </w:tc>
        <w:tc>
          <w:tcPr>
            <w:tcW w:w="744" w:type="dxa"/>
            <w:tcBorders>
              <w:tl2br w:val="nil"/>
              <w:tr2bl w:val="nil"/>
            </w:tcBorders>
            <w:vAlign w:val="center"/>
          </w:tcPr>
          <w:p>
            <w:pPr>
              <w:pStyle w:val="151"/>
              <w:spacing w:before="0" w:line="240" w:lineRule="auto"/>
              <w:rPr>
                <w:bCs w:val="0"/>
              </w:rPr>
            </w:pPr>
            <w:r>
              <w:rPr>
                <w:rFonts w:hint="eastAsia"/>
                <w:bCs w:val="0"/>
              </w:rPr>
              <w:t>5</w:t>
            </w:r>
          </w:p>
        </w:tc>
        <w:tc>
          <w:tcPr>
            <w:tcW w:w="2156" w:type="dxa"/>
            <w:tcBorders>
              <w:tl2br w:val="nil"/>
              <w:tr2bl w:val="nil"/>
            </w:tcBorders>
            <w:vAlign w:val="center"/>
          </w:tcPr>
          <w:p>
            <w:pPr>
              <w:pStyle w:val="151"/>
              <w:spacing w:before="0" w:line="240" w:lineRule="auto"/>
              <w:ind w:hanging="2"/>
              <w:rPr>
                <w:bCs w:val="0"/>
              </w:rPr>
            </w:pPr>
            <w:r>
              <w:rPr>
                <w:rFonts w:hint="eastAsia"/>
              </w:rPr>
              <w:t>高铁快线1路</w:t>
            </w:r>
          </w:p>
        </w:tc>
        <w:tc>
          <w:tcPr>
            <w:tcW w:w="2314" w:type="dxa"/>
            <w:tcBorders>
              <w:tl2br w:val="nil"/>
              <w:tr2bl w:val="nil"/>
            </w:tcBorders>
            <w:vAlign w:val="center"/>
          </w:tcPr>
          <w:p>
            <w:pPr>
              <w:pStyle w:val="151"/>
              <w:spacing w:before="0" w:line="240" w:lineRule="auto"/>
              <w:rPr>
                <w:bCs w:val="0"/>
              </w:rPr>
            </w:pPr>
            <w:r>
              <w:rPr>
                <w:rFonts w:hint="eastAsia"/>
              </w:rPr>
              <w:t>快线</w:t>
            </w:r>
          </w:p>
        </w:tc>
        <w:tc>
          <w:tcPr>
            <w:tcW w:w="2315" w:type="dxa"/>
            <w:tcBorders>
              <w:tl2br w:val="nil"/>
              <w:tr2bl w:val="nil"/>
            </w:tcBorders>
            <w:vAlign w:val="center"/>
          </w:tcPr>
          <w:p>
            <w:pPr>
              <w:pStyle w:val="151"/>
              <w:spacing w:before="0" w:line="240" w:lineRule="auto"/>
              <w:rPr>
                <w:bCs w:val="0"/>
              </w:rPr>
            </w:pPr>
            <w:r>
              <w:rPr>
                <w:rFonts w:hint="eastAsia"/>
              </w:rPr>
              <w:t>13.43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pPr>
          </w:p>
        </w:tc>
        <w:tc>
          <w:tcPr>
            <w:tcW w:w="744" w:type="dxa"/>
            <w:tcBorders>
              <w:tl2br w:val="nil"/>
              <w:tr2bl w:val="nil"/>
            </w:tcBorders>
            <w:vAlign w:val="center"/>
          </w:tcPr>
          <w:p>
            <w:pPr>
              <w:pStyle w:val="151"/>
              <w:spacing w:before="0" w:line="240" w:lineRule="auto"/>
              <w:rPr>
                <w:bCs w:val="0"/>
              </w:rPr>
            </w:pPr>
            <w:r>
              <w:rPr>
                <w:rFonts w:hint="eastAsia"/>
              </w:rPr>
              <w:t>6</w:t>
            </w:r>
          </w:p>
        </w:tc>
        <w:tc>
          <w:tcPr>
            <w:tcW w:w="2156" w:type="dxa"/>
            <w:tcBorders>
              <w:tl2br w:val="nil"/>
              <w:tr2bl w:val="nil"/>
            </w:tcBorders>
            <w:vAlign w:val="center"/>
          </w:tcPr>
          <w:p>
            <w:pPr>
              <w:pStyle w:val="151"/>
              <w:spacing w:before="0" w:line="240" w:lineRule="auto"/>
              <w:ind w:hanging="2"/>
              <w:rPr>
                <w:bCs w:val="0"/>
              </w:rPr>
            </w:pPr>
            <w:r>
              <w:rPr>
                <w:rFonts w:hint="eastAsia"/>
              </w:rPr>
              <w:t>3路</w:t>
            </w:r>
          </w:p>
        </w:tc>
        <w:tc>
          <w:tcPr>
            <w:tcW w:w="2314" w:type="dxa"/>
            <w:tcBorders>
              <w:tl2br w:val="nil"/>
              <w:tr2bl w:val="nil"/>
            </w:tcBorders>
            <w:vAlign w:val="center"/>
          </w:tcPr>
          <w:p>
            <w:pPr>
              <w:pStyle w:val="151"/>
              <w:spacing w:before="0" w:line="240" w:lineRule="auto"/>
              <w:rPr>
                <w:bCs w:val="0"/>
              </w:rPr>
            </w:pPr>
            <w:r>
              <w:rPr>
                <w:rFonts w:hint="eastAsia"/>
              </w:rPr>
              <w:t>干线</w:t>
            </w:r>
          </w:p>
        </w:tc>
        <w:tc>
          <w:tcPr>
            <w:tcW w:w="2315" w:type="dxa"/>
            <w:tcBorders>
              <w:tl2br w:val="nil"/>
              <w:tr2bl w:val="nil"/>
            </w:tcBorders>
            <w:vAlign w:val="center"/>
          </w:tcPr>
          <w:p>
            <w:pPr>
              <w:pStyle w:val="151"/>
              <w:spacing w:before="0" w:line="240" w:lineRule="auto"/>
              <w:rPr>
                <w:bCs w:val="0"/>
              </w:rPr>
            </w:pPr>
            <w:r>
              <w:rPr>
                <w:rFonts w:hint="eastAsia"/>
              </w:rPr>
              <w:t>16.50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pPr>
          </w:p>
        </w:tc>
        <w:tc>
          <w:tcPr>
            <w:tcW w:w="744" w:type="dxa"/>
            <w:tcBorders>
              <w:tl2br w:val="nil"/>
              <w:tr2bl w:val="nil"/>
            </w:tcBorders>
            <w:vAlign w:val="center"/>
          </w:tcPr>
          <w:p>
            <w:pPr>
              <w:pStyle w:val="151"/>
              <w:spacing w:before="0" w:line="240" w:lineRule="auto"/>
              <w:rPr>
                <w:bCs w:val="0"/>
              </w:rPr>
            </w:pPr>
            <w:r>
              <w:rPr>
                <w:rFonts w:hint="eastAsia"/>
              </w:rPr>
              <w:t>7</w:t>
            </w:r>
          </w:p>
        </w:tc>
        <w:tc>
          <w:tcPr>
            <w:tcW w:w="2156" w:type="dxa"/>
            <w:tcBorders>
              <w:tl2br w:val="nil"/>
              <w:tr2bl w:val="nil"/>
            </w:tcBorders>
            <w:vAlign w:val="center"/>
          </w:tcPr>
          <w:p>
            <w:pPr>
              <w:pStyle w:val="151"/>
              <w:spacing w:before="0" w:line="240" w:lineRule="auto"/>
              <w:ind w:hanging="2"/>
              <w:rPr>
                <w:bCs w:val="0"/>
              </w:rPr>
            </w:pPr>
            <w:r>
              <w:rPr>
                <w:rFonts w:hint="eastAsia"/>
              </w:rPr>
              <w:t>8路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13.33</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pPr>
          </w:p>
        </w:tc>
        <w:tc>
          <w:tcPr>
            <w:tcW w:w="744" w:type="dxa"/>
            <w:tcBorders>
              <w:tl2br w:val="nil"/>
              <w:tr2bl w:val="nil"/>
            </w:tcBorders>
            <w:vAlign w:val="center"/>
          </w:tcPr>
          <w:p>
            <w:pPr>
              <w:pStyle w:val="151"/>
              <w:spacing w:before="0" w:line="240" w:lineRule="auto"/>
              <w:rPr>
                <w:bCs w:val="0"/>
              </w:rPr>
            </w:pPr>
            <w:r>
              <w:rPr>
                <w:rFonts w:hint="eastAsia"/>
              </w:rPr>
              <w:t>8</w:t>
            </w:r>
          </w:p>
        </w:tc>
        <w:tc>
          <w:tcPr>
            <w:tcW w:w="2156" w:type="dxa"/>
            <w:tcBorders>
              <w:tl2br w:val="nil"/>
              <w:tr2bl w:val="nil"/>
            </w:tcBorders>
            <w:vAlign w:val="center"/>
          </w:tcPr>
          <w:p>
            <w:pPr>
              <w:pStyle w:val="151"/>
              <w:spacing w:before="0" w:line="240" w:lineRule="auto"/>
              <w:ind w:hanging="2"/>
              <w:rPr>
                <w:bCs w:val="0"/>
              </w:rPr>
            </w:pPr>
            <w:r>
              <w:rPr>
                <w:rFonts w:hint="eastAsia"/>
              </w:rPr>
              <w:t>11路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17.27</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pPr>
          </w:p>
        </w:tc>
        <w:tc>
          <w:tcPr>
            <w:tcW w:w="744" w:type="dxa"/>
            <w:tcBorders>
              <w:tl2br w:val="nil"/>
              <w:tr2bl w:val="nil"/>
            </w:tcBorders>
            <w:vAlign w:val="center"/>
          </w:tcPr>
          <w:p>
            <w:pPr>
              <w:pStyle w:val="151"/>
              <w:spacing w:before="0" w:line="240" w:lineRule="auto"/>
              <w:rPr>
                <w:bCs w:val="0"/>
              </w:rPr>
            </w:pPr>
            <w:r>
              <w:rPr>
                <w:rFonts w:hint="eastAsia"/>
              </w:rPr>
              <w:t>9</w:t>
            </w:r>
          </w:p>
        </w:tc>
        <w:tc>
          <w:tcPr>
            <w:tcW w:w="2156" w:type="dxa"/>
            <w:tcBorders>
              <w:tl2br w:val="nil"/>
              <w:tr2bl w:val="nil"/>
            </w:tcBorders>
            <w:vAlign w:val="center"/>
          </w:tcPr>
          <w:p>
            <w:pPr>
              <w:pStyle w:val="151"/>
              <w:spacing w:before="0" w:line="240" w:lineRule="auto"/>
              <w:ind w:hanging="2"/>
              <w:rPr>
                <w:bCs w:val="0"/>
              </w:rPr>
            </w:pPr>
            <w:r>
              <w:rPr>
                <w:rFonts w:hint="eastAsia"/>
              </w:rPr>
              <w:t>16路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16.05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54" w:hRule="exact"/>
          <w:jc w:val="center"/>
        </w:trPr>
        <w:tc>
          <w:tcPr>
            <w:tcW w:w="993" w:type="dxa"/>
            <w:vMerge w:val="continue"/>
            <w:tcBorders>
              <w:tl2br w:val="nil"/>
              <w:tr2bl w:val="nil"/>
            </w:tcBorders>
            <w:vAlign w:val="center"/>
          </w:tcPr>
          <w:p>
            <w:pPr>
              <w:pStyle w:val="151"/>
              <w:spacing w:before="0"/>
              <w:ind w:firstLine="482"/>
            </w:pPr>
          </w:p>
        </w:tc>
        <w:tc>
          <w:tcPr>
            <w:tcW w:w="744" w:type="dxa"/>
            <w:tcBorders>
              <w:tl2br w:val="nil"/>
              <w:tr2bl w:val="nil"/>
            </w:tcBorders>
            <w:vAlign w:val="center"/>
          </w:tcPr>
          <w:p>
            <w:pPr>
              <w:pStyle w:val="151"/>
              <w:spacing w:before="0" w:line="240" w:lineRule="auto"/>
              <w:rPr>
                <w:bCs w:val="0"/>
              </w:rPr>
            </w:pPr>
            <w:r>
              <w:rPr>
                <w:rFonts w:hint="eastAsia"/>
              </w:rPr>
              <w:t>10</w:t>
            </w:r>
          </w:p>
        </w:tc>
        <w:tc>
          <w:tcPr>
            <w:tcW w:w="2156" w:type="dxa"/>
            <w:tcBorders>
              <w:tl2br w:val="nil"/>
              <w:tr2bl w:val="nil"/>
            </w:tcBorders>
            <w:vAlign w:val="center"/>
          </w:tcPr>
          <w:p>
            <w:pPr>
              <w:pStyle w:val="151"/>
              <w:spacing w:before="0" w:line="240" w:lineRule="auto"/>
              <w:ind w:hanging="2"/>
              <w:rPr>
                <w:bCs w:val="0"/>
              </w:rPr>
            </w:pPr>
            <w:r>
              <w:rPr>
                <w:rFonts w:hint="eastAsia"/>
              </w:rPr>
              <w:t>17路</w:t>
            </w:r>
          </w:p>
        </w:tc>
        <w:tc>
          <w:tcPr>
            <w:tcW w:w="2314" w:type="dxa"/>
            <w:tcBorders>
              <w:tl2br w:val="nil"/>
              <w:tr2bl w:val="nil"/>
            </w:tcBorders>
            <w:vAlign w:val="center"/>
          </w:tcPr>
          <w:p>
            <w:pPr>
              <w:pStyle w:val="151"/>
              <w:spacing w:before="0" w:line="240" w:lineRule="auto"/>
              <w:rPr>
                <w:bCs w:val="0"/>
              </w:rPr>
            </w:pPr>
            <w:r>
              <w:rPr>
                <w:rFonts w:hint="eastAsia"/>
              </w:rPr>
              <w:t>支线</w:t>
            </w:r>
          </w:p>
        </w:tc>
        <w:tc>
          <w:tcPr>
            <w:tcW w:w="2315" w:type="dxa"/>
            <w:tcBorders>
              <w:tl2br w:val="nil"/>
              <w:tr2bl w:val="nil"/>
            </w:tcBorders>
            <w:vAlign w:val="center"/>
          </w:tcPr>
          <w:p>
            <w:pPr>
              <w:pStyle w:val="151"/>
              <w:spacing w:before="0" w:line="240" w:lineRule="auto"/>
              <w:rPr>
                <w:bCs w:val="0"/>
              </w:rPr>
            </w:pPr>
            <w:r>
              <w:rPr>
                <w:rFonts w:hint="eastAsia"/>
              </w:rPr>
              <w:t>14.15</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454" w:hRule="exact"/>
          <w:jc w:val="center"/>
        </w:trPr>
        <w:tc>
          <w:tcPr>
            <w:tcW w:w="993" w:type="dxa"/>
            <w:tcBorders>
              <w:tl2br w:val="nil"/>
              <w:tr2bl w:val="nil"/>
            </w:tcBorders>
            <w:vAlign w:val="center"/>
          </w:tcPr>
          <w:p>
            <w:pPr>
              <w:pStyle w:val="151"/>
              <w:spacing w:before="0" w:line="240" w:lineRule="auto"/>
              <w:ind w:hanging="2"/>
            </w:pPr>
            <w:r>
              <w:t>调整</w:t>
            </w:r>
          </w:p>
        </w:tc>
        <w:tc>
          <w:tcPr>
            <w:tcW w:w="744" w:type="dxa"/>
            <w:tcBorders>
              <w:tl2br w:val="nil"/>
              <w:tr2bl w:val="nil"/>
            </w:tcBorders>
            <w:vAlign w:val="center"/>
          </w:tcPr>
          <w:p>
            <w:pPr>
              <w:pStyle w:val="151"/>
              <w:spacing w:before="0" w:line="240" w:lineRule="auto"/>
              <w:rPr>
                <w:bCs w:val="0"/>
              </w:rPr>
            </w:pPr>
            <w:r>
              <w:rPr>
                <w:rFonts w:hint="eastAsia"/>
              </w:rPr>
              <w:t>11</w:t>
            </w:r>
          </w:p>
        </w:tc>
        <w:tc>
          <w:tcPr>
            <w:tcW w:w="2156" w:type="dxa"/>
            <w:tcBorders>
              <w:tl2br w:val="nil"/>
              <w:tr2bl w:val="nil"/>
            </w:tcBorders>
            <w:vAlign w:val="center"/>
          </w:tcPr>
          <w:p>
            <w:pPr>
              <w:pStyle w:val="151"/>
              <w:spacing w:before="0" w:line="240" w:lineRule="auto"/>
              <w:ind w:hanging="2"/>
              <w:rPr>
                <w:bCs w:val="0"/>
              </w:rPr>
            </w:pPr>
            <w:r>
              <w:rPr>
                <w:rFonts w:hint="eastAsia"/>
              </w:rPr>
              <w:t>7路</w:t>
            </w:r>
          </w:p>
        </w:tc>
        <w:tc>
          <w:tcPr>
            <w:tcW w:w="2314" w:type="dxa"/>
            <w:tcBorders>
              <w:tl2br w:val="nil"/>
              <w:tr2bl w:val="nil"/>
            </w:tcBorders>
            <w:vAlign w:val="center"/>
          </w:tcPr>
          <w:p>
            <w:pPr>
              <w:pStyle w:val="151"/>
              <w:spacing w:before="0" w:line="240" w:lineRule="auto"/>
              <w:rPr>
                <w:bCs w:val="0"/>
              </w:rPr>
            </w:pPr>
            <w:r>
              <w:rPr>
                <w:rFonts w:hint="eastAsia"/>
              </w:rPr>
              <w:t>干线</w:t>
            </w:r>
          </w:p>
        </w:tc>
        <w:tc>
          <w:tcPr>
            <w:tcW w:w="2315" w:type="dxa"/>
            <w:tcBorders>
              <w:tl2br w:val="nil"/>
              <w:tr2bl w:val="nil"/>
            </w:tcBorders>
            <w:vAlign w:val="center"/>
          </w:tcPr>
          <w:p>
            <w:pPr>
              <w:pStyle w:val="151"/>
              <w:spacing w:before="0" w:line="240" w:lineRule="auto"/>
              <w:rPr>
                <w:bCs w:val="0"/>
              </w:rPr>
            </w:pPr>
            <w:r>
              <w:rPr>
                <w:rFonts w:hint="eastAsia"/>
              </w:rPr>
              <w:t>14.99</w:t>
            </w:r>
          </w:p>
        </w:tc>
      </w:tr>
    </w:tbl>
    <w:p>
      <w:pPr>
        <w:ind w:firstLine="480"/>
      </w:pPr>
      <w:r>
        <w:rPr>
          <w:rFonts w:hint="eastAsia"/>
        </w:rPr>
        <w:t>（2）公交场站建设</w:t>
      </w:r>
    </w:p>
    <w:p>
      <w:pPr>
        <w:ind w:firstLine="480"/>
      </w:pPr>
      <w:r>
        <w:rPr>
          <w:rFonts w:hint="eastAsia"/>
        </w:rPr>
        <w:t>在近期规划基础上，共规划新增3个公交枢纽，公交首末站不增加，由于规划公交首末站能够基本满足车辆停车需求，也不增加公交停车场，增加一处公交保养场。</w:t>
      </w:r>
    </w:p>
    <w:p>
      <w:pPr>
        <w:pStyle w:val="113"/>
        <w:spacing w:before="163" w:after="163"/>
      </w:pPr>
      <w:r>
        <w:rPr>
          <w:rFonts w:hint="eastAsia"/>
        </w:rPr>
        <w:t>表1</w:t>
      </w:r>
      <w:r>
        <w:t>1</w:t>
      </w:r>
      <w:r>
        <w:rPr>
          <w:rFonts w:hint="eastAsia"/>
        </w:rPr>
        <w:t>-</w:t>
      </w:r>
      <w:r>
        <w:t xml:space="preserve">6  </w:t>
      </w:r>
      <w:r>
        <w:rPr>
          <w:rFonts w:hint="eastAsia"/>
        </w:rPr>
        <w:t>中远期公交场站建设情况</w:t>
      </w:r>
    </w:p>
    <w:tbl>
      <w:tblPr>
        <w:tblStyle w:val="94"/>
        <w:tblW w:w="8306" w:type="dxa"/>
        <w:tblInd w:w="0" w:type="dxa"/>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
      <w:tblGrid>
        <w:gridCol w:w="1690"/>
        <w:gridCol w:w="704"/>
        <w:gridCol w:w="3643"/>
        <w:gridCol w:w="2269"/>
      </w:tblGrid>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570" w:hRule="atLeast"/>
        </w:trPr>
        <w:tc>
          <w:tcPr>
            <w:tcW w:w="1690" w:type="dxa"/>
            <w:tcBorders>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类别</w:t>
            </w:r>
          </w:p>
        </w:tc>
        <w:tc>
          <w:tcPr>
            <w:tcW w:w="704" w:type="dxa"/>
            <w:tcBorders>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序号</w:t>
            </w:r>
          </w:p>
        </w:tc>
        <w:tc>
          <w:tcPr>
            <w:tcW w:w="3643" w:type="dxa"/>
            <w:tcBorders>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名称</w:t>
            </w:r>
          </w:p>
        </w:tc>
        <w:tc>
          <w:tcPr>
            <w:tcW w:w="2269" w:type="dxa"/>
            <w:tcBorders>
              <w:bottom w:val="single" w:color="auto" w:sz="12" w:space="0"/>
            </w:tcBorders>
            <w:shd w:val="clear" w:color="auto" w:fill="CCC0D9"/>
            <w:vAlign w:val="center"/>
          </w:tcPr>
          <w:p>
            <w:pPr>
              <w:adjustRightInd/>
              <w:snapToGrid/>
              <w:spacing w:before="0" w:after="0" w:line="240" w:lineRule="auto"/>
              <w:ind w:firstLine="0" w:firstLineChars="0"/>
              <w:jc w:val="center"/>
              <w:rPr>
                <w:rFonts w:ascii="宋体" w:hAnsi="宋体" w:cs="宋体"/>
                <w:b/>
                <w:bCs/>
                <w:sz w:val="21"/>
                <w:szCs w:val="21"/>
              </w:rPr>
            </w:pPr>
            <w:r>
              <w:rPr>
                <w:rFonts w:hint="eastAsia" w:ascii="宋体" w:hAnsi="宋体" w:cs="宋体"/>
                <w:b/>
                <w:bCs/>
                <w:sz w:val="21"/>
                <w:szCs w:val="21"/>
              </w:rPr>
              <w:t>建设规模</w:t>
            </w:r>
            <w:r>
              <w:rPr>
                <w:rFonts w:ascii="宋体" w:hAnsi="宋体" w:cs="宋体"/>
                <w:b/>
                <w:bCs/>
                <w:sz w:val="21"/>
                <w:szCs w:val="21"/>
              </w:rPr>
              <w:t>（m</w:t>
            </w:r>
            <w:r>
              <w:rPr>
                <w:rFonts w:ascii="宋体" w:hAnsi="宋体" w:cs="宋体"/>
                <w:b/>
                <w:bCs/>
                <w:sz w:val="21"/>
                <w:szCs w:val="21"/>
                <w:vertAlign w:val="superscript"/>
              </w:rPr>
              <w:t>2</w:t>
            </w:r>
            <w:r>
              <w:rPr>
                <w:rFonts w:ascii="宋体" w:hAnsi="宋体" w:cs="宋体"/>
                <w:b/>
                <w:bCs/>
                <w:sz w:val="21"/>
                <w:szCs w:val="21"/>
              </w:rPr>
              <w:t>）</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285" w:hRule="atLeast"/>
        </w:trPr>
        <w:tc>
          <w:tcPr>
            <w:tcW w:w="1690" w:type="dxa"/>
            <w:vMerge w:val="restart"/>
            <w:tcBorders>
              <w:top w:val="single" w:color="auto" w:sz="12" w:space="0"/>
            </w:tcBorders>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公交枢纽站</w:t>
            </w:r>
          </w:p>
        </w:tc>
        <w:tc>
          <w:tcPr>
            <w:tcW w:w="704" w:type="dxa"/>
            <w:tcBorders>
              <w:top w:val="single" w:color="auto" w:sz="12" w:space="0"/>
            </w:tcBorders>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兰家坡公交枢纽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15000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285"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资阳西站公交枢纽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285" w:hRule="atLeast"/>
        </w:trPr>
        <w:tc>
          <w:tcPr>
            <w:tcW w:w="1690" w:type="dxa"/>
            <w:vMerge w:val="continue"/>
            <w:vAlign w:val="center"/>
          </w:tcPr>
          <w:p>
            <w:pPr>
              <w:adjustRightInd/>
              <w:snapToGrid/>
              <w:spacing w:before="0" w:after="0" w:line="240" w:lineRule="auto"/>
              <w:ind w:firstLine="0" w:firstLineChars="0"/>
              <w:jc w:val="left"/>
              <w:rPr>
                <w:rFonts w:ascii="宋体" w:hAnsi="宋体" w:cs="宋体"/>
                <w:sz w:val="21"/>
                <w:szCs w:val="21"/>
              </w:rPr>
            </w:pP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临空经济区公交枢纽</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34000</w:t>
            </w:r>
          </w:p>
        </w:tc>
      </w:tr>
      <w:tr>
        <w:tblPrEx>
          <w:tblBorders>
            <w:top w:val="single" w:color="000000" w:sz="18" w:space="0"/>
            <w:left w:val="none" w:color="auto" w:sz="0" w:space="0"/>
            <w:bottom w:val="single" w:color="000000" w:sz="18" w:space="0"/>
            <w:right w:val="none" w:color="auto" w:sz="0" w:space="0"/>
            <w:insideH w:val="single" w:color="000000" w:sz="8" w:space="0"/>
            <w:insideV w:val="single" w:color="000000" w:sz="8" w:space="0"/>
          </w:tblBorders>
          <w:tblLayout w:type="fixed"/>
          <w:tblCellMar>
            <w:top w:w="15" w:type="dxa"/>
            <w:left w:w="15" w:type="dxa"/>
            <w:bottom w:w="15" w:type="dxa"/>
            <w:right w:w="15" w:type="dxa"/>
          </w:tblCellMar>
        </w:tblPrEx>
        <w:trPr>
          <w:trHeight w:val="285" w:hRule="atLeast"/>
        </w:trPr>
        <w:tc>
          <w:tcPr>
            <w:tcW w:w="1690" w:type="dxa"/>
            <w:vAlign w:val="center"/>
          </w:tcPr>
          <w:p>
            <w:pPr>
              <w:adjustRightInd/>
              <w:snapToGrid/>
              <w:spacing w:before="0" w:after="0" w:line="240" w:lineRule="auto"/>
              <w:ind w:firstLine="0" w:firstLineChars="0"/>
              <w:jc w:val="center"/>
              <w:rPr>
                <w:rFonts w:ascii="宋体" w:hAnsi="宋体" w:cs="宋体"/>
                <w:sz w:val="21"/>
                <w:szCs w:val="21"/>
              </w:rPr>
            </w:pPr>
            <w:r>
              <w:rPr>
                <w:rFonts w:hint="eastAsia" w:ascii="宋体" w:hAnsi="宋体" w:cs="宋体"/>
                <w:sz w:val="21"/>
                <w:szCs w:val="21"/>
              </w:rPr>
              <w:t>公交停保场</w:t>
            </w:r>
          </w:p>
        </w:tc>
        <w:tc>
          <w:tcPr>
            <w:tcW w:w="704"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4</w:t>
            </w:r>
          </w:p>
        </w:tc>
        <w:tc>
          <w:tcPr>
            <w:tcW w:w="3643"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城东公交停车场</w:t>
            </w:r>
          </w:p>
        </w:tc>
        <w:tc>
          <w:tcPr>
            <w:tcW w:w="2269" w:type="dxa"/>
            <w:vAlign w:val="center"/>
          </w:tcPr>
          <w:p>
            <w:pPr>
              <w:adjustRightInd/>
              <w:snapToGrid/>
              <w:spacing w:before="0" w:after="0" w:line="240" w:lineRule="auto"/>
              <w:ind w:firstLine="0" w:firstLineChars="0"/>
              <w:jc w:val="center"/>
              <w:rPr>
                <w:rFonts w:cs="Times New Roman"/>
                <w:sz w:val="21"/>
                <w:szCs w:val="21"/>
              </w:rPr>
            </w:pPr>
            <w:r>
              <w:rPr>
                <w:rFonts w:cs="Times New Roman"/>
                <w:sz w:val="21"/>
                <w:szCs w:val="21"/>
              </w:rPr>
              <w:t>20000</w:t>
            </w:r>
          </w:p>
        </w:tc>
      </w:tr>
    </w:tbl>
    <w:p>
      <w:pPr>
        <w:ind w:firstLine="480"/>
      </w:pPr>
      <w:r>
        <w:rPr>
          <w:rFonts w:hint="eastAsia"/>
        </w:rPr>
        <w:t>（3）公交运力建设</w:t>
      </w:r>
    </w:p>
    <w:p>
      <w:pPr>
        <w:ind w:firstLine="480"/>
      </w:pPr>
      <w:r>
        <w:rPr>
          <w:rFonts w:hint="eastAsia"/>
        </w:rPr>
        <w:t>中远期资阳市中心城区公交车辆总数达</w:t>
      </w:r>
      <w:r>
        <w:t>785</w:t>
      </w:r>
      <w:r>
        <w:rPr>
          <w:rFonts w:hint="eastAsia"/>
        </w:rPr>
        <w:t>辆，折合</w:t>
      </w:r>
      <w:r>
        <w:t>1001</w:t>
      </w:r>
      <w:r>
        <w:rPr>
          <w:rFonts w:hint="eastAsia"/>
        </w:rPr>
        <w:t>标台，人均万人拥有率1</w:t>
      </w:r>
      <w:r>
        <w:t>1.7</w:t>
      </w:r>
      <w:r>
        <w:rPr>
          <w:rFonts w:hint="eastAsia"/>
        </w:rPr>
        <w:t>标台。</w:t>
      </w:r>
    </w:p>
    <w:p>
      <w:pPr>
        <w:pStyle w:val="113"/>
        <w:spacing w:before="163" w:after="163"/>
      </w:pPr>
      <w:r>
        <w:rPr>
          <w:rFonts w:hint="eastAsia"/>
        </w:rPr>
        <w:t>表1</w:t>
      </w:r>
      <w:r>
        <w:t>1</w:t>
      </w:r>
      <w:r>
        <w:rPr>
          <w:rFonts w:hint="eastAsia"/>
        </w:rPr>
        <w:t>-</w:t>
      </w:r>
      <w:r>
        <w:t xml:space="preserve">7  </w:t>
      </w:r>
      <w:r>
        <w:rPr>
          <w:rFonts w:hint="eastAsia"/>
        </w:rPr>
        <w:t>中远期公交运力建设情况</w:t>
      </w:r>
    </w:p>
    <w:tbl>
      <w:tblPr>
        <w:tblStyle w:val="94"/>
        <w:tblW w:w="8522" w:type="dxa"/>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847"/>
        <w:gridCol w:w="1301"/>
        <w:gridCol w:w="3013"/>
        <w:gridCol w:w="3361"/>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25" w:hRule="atLeast"/>
        </w:trPr>
        <w:tc>
          <w:tcPr>
            <w:tcW w:w="847" w:type="dxa"/>
            <w:tcBorders>
              <w:bottom w:val="single" w:color="auto" w:sz="12" w:space="0"/>
              <w:tl2br w:val="nil"/>
              <w:tr2bl w:val="nil"/>
            </w:tcBorders>
            <w:shd w:val="clear" w:color="auto" w:fill="CCC0D9"/>
            <w:vAlign w:val="center"/>
          </w:tcPr>
          <w:p>
            <w:pPr>
              <w:pStyle w:val="151"/>
              <w:rPr>
                <w:b/>
                <w:bCs w:val="0"/>
              </w:rPr>
            </w:pPr>
            <w:r>
              <w:rPr>
                <w:rFonts w:hint="eastAsia"/>
                <w:b/>
                <w:bCs w:val="0"/>
              </w:rPr>
              <w:t>类别</w:t>
            </w:r>
          </w:p>
        </w:tc>
        <w:tc>
          <w:tcPr>
            <w:tcW w:w="1301" w:type="dxa"/>
            <w:tcBorders>
              <w:bottom w:val="single" w:color="auto" w:sz="12" w:space="0"/>
              <w:tl2br w:val="nil"/>
              <w:tr2bl w:val="nil"/>
            </w:tcBorders>
            <w:shd w:val="clear" w:color="auto" w:fill="CCC0D9"/>
            <w:vAlign w:val="center"/>
          </w:tcPr>
          <w:p>
            <w:pPr>
              <w:pStyle w:val="151"/>
              <w:rPr>
                <w:b/>
                <w:bCs w:val="0"/>
              </w:rPr>
            </w:pPr>
            <w:r>
              <w:rPr>
                <w:rFonts w:hint="eastAsia"/>
                <w:b/>
                <w:bCs w:val="0"/>
              </w:rPr>
              <w:t>总数（辆）</w:t>
            </w:r>
          </w:p>
        </w:tc>
        <w:tc>
          <w:tcPr>
            <w:tcW w:w="3013" w:type="dxa"/>
            <w:tcBorders>
              <w:bottom w:val="single" w:color="auto" w:sz="12" w:space="0"/>
              <w:tl2br w:val="nil"/>
              <w:tr2bl w:val="nil"/>
            </w:tcBorders>
            <w:shd w:val="clear" w:color="auto" w:fill="CCC0D9"/>
            <w:vAlign w:val="center"/>
          </w:tcPr>
          <w:p>
            <w:pPr>
              <w:pStyle w:val="151"/>
              <w:rPr>
                <w:b/>
                <w:bCs w:val="0"/>
              </w:rPr>
            </w:pPr>
            <w:r>
              <w:rPr>
                <w:rFonts w:hint="eastAsia"/>
                <w:b/>
                <w:bCs w:val="0"/>
              </w:rPr>
              <w:t>标台数</w:t>
            </w:r>
          </w:p>
        </w:tc>
        <w:tc>
          <w:tcPr>
            <w:tcW w:w="3361" w:type="dxa"/>
            <w:tcBorders>
              <w:bottom w:val="single" w:color="auto" w:sz="12" w:space="0"/>
              <w:tl2br w:val="nil"/>
              <w:tr2bl w:val="nil"/>
            </w:tcBorders>
            <w:shd w:val="clear" w:color="auto" w:fill="CCC0D9"/>
            <w:vAlign w:val="center"/>
          </w:tcPr>
          <w:p>
            <w:pPr>
              <w:pStyle w:val="151"/>
              <w:rPr>
                <w:b/>
                <w:bCs w:val="0"/>
              </w:rPr>
            </w:pPr>
            <w:r>
              <w:rPr>
                <w:rFonts w:hint="eastAsia"/>
                <w:b/>
                <w:bCs w:val="0"/>
              </w:rPr>
              <w:t>万人拥有量（标台/万人）</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27" w:hRule="atLeast"/>
        </w:trPr>
        <w:tc>
          <w:tcPr>
            <w:tcW w:w="847" w:type="dxa"/>
            <w:tcBorders>
              <w:top w:val="single" w:color="auto" w:sz="12" w:space="0"/>
              <w:tl2br w:val="nil"/>
              <w:tr2bl w:val="nil"/>
            </w:tcBorders>
            <w:vAlign w:val="center"/>
          </w:tcPr>
          <w:p>
            <w:pPr>
              <w:pStyle w:val="151"/>
              <w:rPr>
                <w:b/>
              </w:rPr>
            </w:pPr>
            <w:r>
              <w:rPr>
                <w:rFonts w:hint="eastAsia"/>
                <w:b/>
              </w:rPr>
              <w:t>车辆</w:t>
            </w:r>
          </w:p>
        </w:tc>
        <w:tc>
          <w:tcPr>
            <w:tcW w:w="1301" w:type="dxa"/>
            <w:tcBorders>
              <w:top w:val="single" w:color="auto" w:sz="12" w:space="0"/>
              <w:tl2br w:val="nil"/>
              <w:tr2bl w:val="nil"/>
            </w:tcBorders>
            <w:vAlign w:val="center"/>
          </w:tcPr>
          <w:p>
            <w:pPr>
              <w:pStyle w:val="151"/>
              <w:rPr>
                <w:bCs w:val="0"/>
              </w:rPr>
            </w:pPr>
            <w:r>
              <w:rPr>
                <w:bCs w:val="0"/>
              </w:rPr>
              <w:t>785</w:t>
            </w:r>
          </w:p>
        </w:tc>
        <w:tc>
          <w:tcPr>
            <w:tcW w:w="3013" w:type="dxa"/>
            <w:tcBorders>
              <w:top w:val="single" w:color="auto" w:sz="12" w:space="0"/>
              <w:tl2br w:val="nil"/>
              <w:tr2bl w:val="nil"/>
            </w:tcBorders>
            <w:vAlign w:val="center"/>
          </w:tcPr>
          <w:p>
            <w:pPr>
              <w:pStyle w:val="151"/>
              <w:rPr>
                <w:bCs w:val="0"/>
              </w:rPr>
            </w:pPr>
            <w:r>
              <w:rPr>
                <w:bCs w:val="0"/>
              </w:rPr>
              <w:t>1001</w:t>
            </w:r>
          </w:p>
        </w:tc>
        <w:tc>
          <w:tcPr>
            <w:tcW w:w="3361" w:type="dxa"/>
            <w:tcBorders>
              <w:top w:val="single" w:color="auto" w:sz="12" w:space="0"/>
              <w:tl2br w:val="nil"/>
              <w:tr2bl w:val="nil"/>
            </w:tcBorders>
            <w:vAlign w:val="center"/>
          </w:tcPr>
          <w:p>
            <w:pPr>
              <w:pStyle w:val="151"/>
              <w:rPr>
                <w:bCs w:val="0"/>
              </w:rPr>
            </w:pPr>
            <w:r>
              <w:rPr>
                <w:bCs w:val="0"/>
              </w:rPr>
              <w:t>11.7</w:t>
            </w:r>
          </w:p>
        </w:tc>
      </w:tr>
    </w:tbl>
    <w:p>
      <w:pPr>
        <w:ind w:firstLine="480"/>
      </w:pPr>
      <w:r>
        <w:rPr>
          <w:rFonts w:hint="eastAsia"/>
        </w:rPr>
        <w:t>（4）公交专用道建设</w:t>
      </w:r>
    </w:p>
    <w:p>
      <w:pPr>
        <w:ind w:firstLine="480"/>
      </w:pPr>
      <w:r>
        <w:rPr>
          <w:rFonts w:hint="eastAsia"/>
        </w:rPr>
        <w:t>新增沱四桥和二环路北三段公交专用道，长8.43km。</w:t>
      </w:r>
    </w:p>
    <w:p>
      <w:pPr>
        <w:pStyle w:val="113"/>
        <w:spacing w:before="163" w:after="163"/>
      </w:pPr>
      <w:r>
        <w:rPr>
          <w:rFonts w:hint="eastAsia"/>
        </w:rPr>
        <w:t>表1</w:t>
      </w:r>
      <w:r>
        <w:t>1</w:t>
      </w:r>
      <w:r>
        <w:rPr>
          <w:rFonts w:hint="eastAsia"/>
        </w:rPr>
        <w:t>-</w:t>
      </w:r>
      <w:r>
        <w:t xml:space="preserve">8  </w:t>
      </w:r>
      <w:r>
        <w:rPr>
          <w:rFonts w:hint="eastAsia"/>
        </w:rPr>
        <w:t>中远期公交专用道建设情况</w:t>
      </w:r>
    </w:p>
    <w:tbl>
      <w:tblPr>
        <w:tblStyle w:val="94"/>
        <w:tblW w:w="7843" w:type="dxa"/>
        <w:jc w:val="center"/>
        <w:tblInd w:w="0" w:type="dxa"/>
        <w:tblLayout w:type="fixed"/>
        <w:tblCellMar>
          <w:top w:w="0" w:type="dxa"/>
          <w:left w:w="108" w:type="dxa"/>
          <w:bottom w:w="0" w:type="dxa"/>
          <w:right w:w="108" w:type="dxa"/>
        </w:tblCellMar>
      </w:tblPr>
      <w:tblGrid>
        <w:gridCol w:w="1547"/>
        <w:gridCol w:w="1830"/>
        <w:gridCol w:w="2412"/>
        <w:gridCol w:w="2054"/>
      </w:tblGrid>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12" w:space="0"/>
              <w:bottom w:val="single" w:color="auto" w:sz="12" w:space="0"/>
              <w:right w:val="single" w:color="auto" w:sz="4" w:space="0"/>
            </w:tcBorders>
            <w:shd w:val="clear" w:color="auto" w:fill="CCC0D9"/>
            <w:vAlign w:val="center"/>
          </w:tcPr>
          <w:p>
            <w:pPr>
              <w:widowControl w:val="0"/>
              <w:adjustRightInd/>
              <w:snapToGrid/>
              <w:spacing w:after="0"/>
              <w:ind w:firstLine="0" w:firstLineChars="0"/>
              <w:jc w:val="center"/>
              <w:textAlignment w:val="center"/>
              <w:rPr>
                <w:rFonts w:cs="宋体"/>
                <w:b/>
                <w:bCs/>
                <w:kern w:val="2"/>
                <w:sz w:val="21"/>
                <w:szCs w:val="21"/>
              </w:rPr>
            </w:pPr>
            <w:r>
              <w:rPr>
                <w:rFonts w:hint="eastAsia" w:cs="宋体"/>
                <w:b/>
                <w:bCs/>
                <w:kern w:val="2"/>
                <w:sz w:val="21"/>
                <w:szCs w:val="21"/>
              </w:rPr>
              <w:t>道路</w:t>
            </w:r>
          </w:p>
        </w:tc>
        <w:tc>
          <w:tcPr>
            <w:tcW w:w="1830" w:type="dxa"/>
            <w:tcBorders>
              <w:top w:val="single" w:color="auto" w:sz="12" w:space="0"/>
              <w:left w:val="single" w:color="auto" w:sz="4" w:space="0"/>
              <w:bottom w:val="single" w:color="auto" w:sz="12" w:space="0"/>
              <w:right w:val="single" w:color="auto" w:sz="4" w:space="0"/>
            </w:tcBorders>
            <w:shd w:val="clear" w:color="auto" w:fill="CCC0D9"/>
            <w:vAlign w:val="center"/>
          </w:tcPr>
          <w:p>
            <w:pPr>
              <w:widowControl w:val="0"/>
              <w:adjustRightInd/>
              <w:snapToGrid/>
              <w:spacing w:after="0"/>
              <w:ind w:firstLine="0" w:firstLineChars="0"/>
              <w:jc w:val="center"/>
              <w:textAlignment w:val="center"/>
              <w:rPr>
                <w:rFonts w:cs="宋体"/>
                <w:b/>
                <w:bCs/>
                <w:kern w:val="2"/>
                <w:sz w:val="21"/>
                <w:szCs w:val="21"/>
              </w:rPr>
            </w:pPr>
            <w:r>
              <w:rPr>
                <w:rFonts w:hint="eastAsia" w:cs="宋体"/>
                <w:b/>
                <w:bCs/>
                <w:kern w:val="2"/>
                <w:sz w:val="21"/>
                <w:szCs w:val="21"/>
              </w:rPr>
              <w:t>类型</w:t>
            </w:r>
          </w:p>
        </w:tc>
        <w:tc>
          <w:tcPr>
            <w:tcW w:w="2412" w:type="dxa"/>
            <w:tcBorders>
              <w:top w:val="single" w:color="auto" w:sz="12" w:space="0"/>
              <w:left w:val="single" w:color="auto" w:sz="4" w:space="0"/>
              <w:bottom w:val="single" w:color="auto" w:sz="12" w:space="0"/>
              <w:right w:val="single" w:color="auto" w:sz="4" w:space="0"/>
            </w:tcBorders>
            <w:shd w:val="clear" w:color="auto" w:fill="CCC0D9"/>
            <w:vAlign w:val="center"/>
          </w:tcPr>
          <w:p>
            <w:pPr>
              <w:widowControl w:val="0"/>
              <w:adjustRightInd/>
              <w:snapToGrid/>
              <w:spacing w:after="0"/>
              <w:ind w:firstLine="0" w:firstLineChars="0"/>
              <w:jc w:val="center"/>
              <w:textAlignment w:val="center"/>
              <w:rPr>
                <w:rFonts w:cs="宋体"/>
                <w:b/>
                <w:bCs/>
                <w:kern w:val="2"/>
                <w:sz w:val="21"/>
                <w:szCs w:val="21"/>
              </w:rPr>
            </w:pPr>
            <w:r>
              <w:rPr>
                <w:rFonts w:hint="eastAsia" w:cs="宋体"/>
                <w:b/>
                <w:bCs/>
                <w:kern w:val="2"/>
                <w:sz w:val="21"/>
                <w:szCs w:val="21"/>
              </w:rPr>
              <w:t>长度（</w:t>
            </w:r>
            <w:r>
              <w:rPr>
                <w:rFonts w:hint="eastAsia" w:cs="Times New Roman"/>
                <w:b/>
                <w:bCs/>
                <w:kern w:val="2"/>
                <w:sz w:val="21"/>
                <w:szCs w:val="21"/>
              </w:rPr>
              <w:t>km</w:t>
            </w:r>
            <w:r>
              <w:rPr>
                <w:rFonts w:hint="eastAsia" w:ascii="宋体" w:hAnsi="宋体" w:cs="宋体"/>
                <w:b/>
                <w:bCs/>
                <w:kern w:val="2"/>
                <w:sz w:val="21"/>
                <w:szCs w:val="21"/>
              </w:rPr>
              <w:t>）</w:t>
            </w:r>
          </w:p>
        </w:tc>
        <w:tc>
          <w:tcPr>
            <w:tcW w:w="2054" w:type="dxa"/>
            <w:tcBorders>
              <w:top w:val="single" w:color="auto" w:sz="12" w:space="0"/>
              <w:left w:val="single" w:color="auto" w:sz="4" w:space="0"/>
              <w:bottom w:val="single" w:color="auto" w:sz="12" w:space="0"/>
            </w:tcBorders>
            <w:shd w:val="clear" w:color="auto" w:fill="CCC0D9"/>
            <w:vAlign w:val="center"/>
          </w:tcPr>
          <w:p>
            <w:pPr>
              <w:widowControl w:val="0"/>
              <w:adjustRightInd/>
              <w:snapToGrid/>
              <w:spacing w:after="0"/>
              <w:ind w:firstLine="0" w:firstLineChars="0"/>
              <w:jc w:val="center"/>
              <w:textAlignment w:val="center"/>
              <w:rPr>
                <w:rFonts w:cs="宋体"/>
                <w:b/>
                <w:bCs/>
                <w:kern w:val="2"/>
                <w:sz w:val="21"/>
                <w:szCs w:val="21"/>
              </w:rPr>
            </w:pPr>
            <w:r>
              <w:rPr>
                <w:rFonts w:hint="eastAsia" w:cs="宋体"/>
                <w:b/>
                <w:bCs/>
                <w:kern w:val="2"/>
                <w:sz w:val="21"/>
                <w:szCs w:val="21"/>
              </w:rPr>
              <w:t>车道数</w:t>
            </w:r>
          </w:p>
        </w:tc>
      </w:tr>
      <w:tr>
        <w:tblPrEx>
          <w:tblLayout w:type="fixed"/>
          <w:tblCellMar>
            <w:top w:w="0" w:type="dxa"/>
            <w:left w:w="108" w:type="dxa"/>
            <w:bottom w:w="0" w:type="dxa"/>
            <w:right w:w="108" w:type="dxa"/>
          </w:tblCellMar>
        </w:tblPrEx>
        <w:trPr>
          <w:trHeight w:val="502" w:hRule="atLeast"/>
          <w:jc w:val="center"/>
        </w:trPr>
        <w:tc>
          <w:tcPr>
            <w:tcW w:w="1547" w:type="dxa"/>
            <w:tcBorders>
              <w:top w:val="single" w:color="auto" w:sz="12"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车城大道</w:t>
            </w:r>
          </w:p>
        </w:tc>
        <w:tc>
          <w:tcPr>
            <w:tcW w:w="1830" w:type="dxa"/>
            <w:tcBorders>
              <w:top w:val="single" w:color="auto" w:sz="12"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12"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4.26</w:t>
            </w:r>
          </w:p>
        </w:tc>
        <w:tc>
          <w:tcPr>
            <w:tcW w:w="2054" w:type="dxa"/>
            <w:tcBorders>
              <w:top w:val="single" w:color="auto" w:sz="12"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hint="eastAsia" w:cs="Times New Roman"/>
                <w:kern w:val="2"/>
                <w:sz w:val="21"/>
                <w:szCs w:val="21"/>
              </w:rPr>
              <w:t>8</w:t>
            </w:r>
            <w:r>
              <w:rPr>
                <w:rFonts w:hint="eastAsia" w:ascii="宋体" w:hAnsi="宋体" w:cs="宋体"/>
                <w:kern w:val="2"/>
                <w:sz w:val="21"/>
                <w:szCs w:val="21"/>
              </w:rPr>
              <w:t>车道</w:t>
            </w:r>
          </w:p>
        </w:tc>
      </w:tr>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cs="宋体"/>
                <w:kern w:val="2"/>
                <w:sz w:val="21"/>
                <w:szCs w:val="21"/>
              </w:rPr>
              <w:t>娇子大道</w:t>
            </w:r>
          </w:p>
        </w:tc>
        <w:tc>
          <w:tcPr>
            <w:tcW w:w="1830"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3.36</w:t>
            </w:r>
          </w:p>
        </w:tc>
        <w:tc>
          <w:tcPr>
            <w:tcW w:w="2054" w:type="dxa"/>
            <w:tcBorders>
              <w:top w:val="single" w:color="auto" w:sz="4"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hint="eastAsia" w:cs="Times New Roman"/>
                <w:kern w:val="2"/>
                <w:sz w:val="21"/>
                <w:szCs w:val="21"/>
              </w:rPr>
              <w:t>8</w:t>
            </w:r>
            <w:r>
              <w:rPr>
                <w:rFonts w:hint="eastAsia" w:ascii="宋体" w:hAnsi="宋体" w:cs="宋体"/>
                <w:kern w:val="2"/>
                <w:sz w:val="21"/>
                <w:szCs w:val="21"/>
              </w:rPr>
              <w:t>车道</w:t>
            </w:r>
          </w:p>
        </w:tc>
      </w:tr>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cs="宋体"/>
                <w:kern w:val="2"/>
                <w:sz w:val="21"/>
                <w:szCs w:val="21"/>
              </w:rPr>
              <w:t>迎宾大道</w:t>
            </w:r>
          </w:p>
        </w:tc>
        <w:tc>
          <w:tcPr>
            <w:tcW w:w="1830"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cs="宋体"/>
                <w:kern w:val="2"/>
                <w:sz w:val="21"/>
                <w:szCs w:val="21"/>
              </w:rPr>
              <w:t>2.</w:t>
            </w:r>
            <w:r>
              <w:rPr>
                <w:rFonts w:hint="eastAsia" w:cs="宋体"/>
                <w:kern w:val="2"/>
                <w:sz w:val="21"/>
                <w:szCs w:val="21"/>
              </w:rPr>
              <w:t>36</w:t>
            </w:r>
          </w:p>
        </w:tc>
        <w:tc>
          <w:tcPr>
            <w:tcW w:w="2054" w:type="dxa"/>
            <w:tcBorders>
              <w:top w:val="single" w:color="auto" w:sz="4"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cs="宋体"/>
                <w:kern w:val="2"/>
                <w:sz w:val="21"/>
                <w:szCs w:val="21"/>
              </w:rPr>
              <w:t>10</w:t>
            </w:r>
            <w:r>
              <w:rPr>
                <w:rFonts w:hint="eastAsia" w:cs="宋体"/>
                <w:kern w:val="2"/>
                <w:sz w:val="21"/>
                <w:szCs w:val="21"/>
              </w:rPr>
              <w:t>车道</w:t>
            </w:r>
          </w:p>
        </w:tc>
      </w:tr>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蜀乡大道（含沱二桥）</w:t>
            </w:r>
          </w:p>
        </w:tc>
        <w:tc>
          <w:tcPr>
            <w:tcW w:w="1830"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4.86</w:t>
            </w:r>
          </w:p>
        </w:tc>
        <w:tc>
          <w:tcPr>
            <w:tcW w:w="2054" w:type="dxa"/>
            <w:tcBorders>
              <w:top w:val="single" w:color="auto" w:sz="4"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cs="宋体"/>
                <w:kern w:val="2"/>
                <w:sz w:val="21"/>
                <w:szCs w:val="21"/>
              </w:rPr>
              <w:t>10</w:t>
            </w:r>
            <w:r>
              <w:rPr>
                <w:rFonts w:hint="eastAsia" w:cs="宋体"/>
                <w:kern w:val="2"/>
                <w:sz w:val="21"/>
                <w:szCs w:val="21"/>
              </w:rPr>
              <w:t>车道</w:t>
            </w:r>
          </w:p>
        </w:tc>
      </w:tr>
      <w:tr>
        <w:tblPrEx>
          <w:tblLayout w:type="fixed"/>
        </w:tblPrEx>
        <w:trPr>
          <w:trHeight w:val="425" w:hRule="atLeast"/>
          <w:jc w:val="center"/>
        </w:trPr>
        <w:tc>
          <w:tcPr>
            <w:tcW w:w="1547" w:type="dxa"/>
            <w:tcBorders>
              <w:top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城南大道</w:t>
            </w:r>
          </w:p>
        </w:tc>
        <w:tc>
          <w:tcPr>
            <w:tcW w:w="1830"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5.77</w:t>
            </w:r>
          </w:p>
        </w:tc>
        <w:tc>
          <w:tcPr>
            <w:tcW w:w="2054" w:type="dxa"/>
            <w:tcBorders>
              <w:top w:val="single" w:color="auto" w:sz="4"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cs="宋体"/>
                <w:kern w:val="2"/>
                <w:sz w:val="21"/>
                <w:szCs w:val="21"/>
              </w:rPr>
              <w:t>6</w:t>
            </w:r>
            <w:r>
              <w:rPr>
                <w:rFonts w:hint="eastAsia" w:cs="宋体"/>
                <w:kern w:val="2"/>
                <w:sz w:val="21"/>
                <w:szCs w:val="21"/>
              </w:rPr>
              <w:t>车道</w:t>
            </w:r>
          </w:p>
        </w:tc>
      </w:tr>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锦湾大道</w:t>
            </w:r>
          </w:p>
        </w:tc>
        <w:tc>
          <w:tcPr>
            <w:tcW w:w="1830"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4"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2.66</w:t>
            </w:r>
          </w:p>
        </w:tc>
        <w:tc>
          <w:tcPr>
            <w:tcW w:w="2054" w:type="dxa"/>
            <w:tcBorders>
              <w:top w:val="single" w:color="auto" w:sz="4" w:space="0"/>
              <w:left w:val="single" w:color="auto" w:sz="4" w:space="0"/>
              <w:bottom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cs="宋体"/>
                <w:kern w:val="2"/>
                <w:sz w:val="21"/>
                <w:szCs w:val="21"/>
              </w:rPr>
              <w:t>6</w:t>
            </w:r>
            <w:r>
              <w:rPr>
                <w:rFonts w:hint="eastAsia" w:cs="宋体"/>
                <w:kern w:val="2"/>
                <w:sz w:val="21"/>
                <w:szCs w:val="21"/>
              </w:rPr>
              <w:t>车道</w:t>
            </w:r>
          </w:p>
        </w:tc>
      </w:tr>
      <w:tr>
        <w:tblPrEx>
          <w:tblLayout w:type="fixed"/>
          <w:tblCellMar>
            <w:top w:w="0" w:type="dxa"/>
            <w:left w:w="108" w:type="dxa"/>
            <w:bottom w:w="0" w:type="dxa"/>
            <w:right w:w="108" w:type="dxa"/>
          </w:tblCellMar>
        </w:tblPrEx>
        <w:trPr>
          <w:trHeight w:val="425" w:hRule="atLeast"/>
          <w:jc w:val="center"/>
        </w:trPr>
        <w:tc>
          <w:tcPr>
            <w:tcW w:w="1547" w:type="dxa"/>
            <w:tcBorders>
              <w:top w:val="single" w:color="auto" w:sz="4" w:space="0"/>
              <w:bottom w:val="single" w:color="auto" w:sz="12"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cs="宋体"/>
                <w:kern w:val="2"/>
                <w:sz w:val="21"/>
                <w:szCs w:val="21"/>
              </w:rPr>
              <w:t>沱四桥和二环路北三段</w:t>
            </w:r>
            <w:r>
              <w:rPr>
                <w:rFonts w:hint="eastAsia" w:cs="宋体"/>
                <w:kern w:val="2"/>
                <w:sz w:val="21"/>
                <w:szCs w:val="21"/>
              </w:rPr>
              <w:t>（中远期）</w:t>
            </w:r>
          </w:p>
        </w:tc>
        <w:tc>
          <w:tcPr>
            <w:tcW w:w="1830" w:type="dxa"/>
            <w:tcBorders>
              <w:top w:val="single" w:color="auto" w:sz="4" w:space="0"/>
              <w:left w:val="single" w:color="auto" w:sz="4" w:space="0"/>
              <w:bottom w:val="single" w:color="auto" w:sz="12"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公交专用道</w:t>
            </w:r>
          </w:p>
        </w:tc>
        <w:tc>
          <w:tcPr>
            <w:tcW w:w="2412" w:type="dxa"/>
            <w:tcBorders>
              <w:top w:val="single" w:color="auto" w:sz="4" w:space="0"/>
              <w:left w:val="single" w:color="auto" w:sz="4" w:space="0"/>
              <w:bottom w:val="single" w:color="auto" w:sz="12" w:space="0"/>
              <w:right w:val="single" w:color="auto" w:sz="4"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8.43</w:t>
            </w:r>
          </w:p>
        </w:tc>
        <w:tc>
          <w:tcPr>
            <w:tcW w:w="2054" w:type="dxa"/>
            <w:tcBorders>
              <w:top w:val="single" w:color="auto" w:sz="4" w:space="0"/>
              <w:left w:val="single" w:color="auto" w:sz="4" w:space="0"/>
              <w:bottom w:val="single" w:color="auto" w:sz="12" w:space="0"/>
            </w:tcBorders>
            <w:vAlign w:val="center"/>
          </w:tcPr>
          <w:p>
            <w:pPr>
              <w:widowControl w:val="0"/>
              <w:adjustRightInd/>
              <w:snapToGrid/>
              <w:spacing w:after="0"/>
              <w:ind w:firstLine="0" w:firstLineChars="0"/>
              <w:jc w:val="center"/>
              <w:textAlignment w:val="center"/>
              <w:rPr>
                <w:rFonts w:cs="宋体"/>
                <w:kern w:val="2"/>
                <w:sz w:val="21"/>
                <w:szCs w:val="21"/>
              </w:rPr>
            </w:pPr>
            <w:r>
              <w:rPr>
                <w:rFonts w:hint="eastAsia" w:cs="宋体"/>
                <w:kern w:val="2"/>
                <w:sz w:val="21"/>
                <w:szCs w:val="21"/>
              </w:rPr>
              <w:t>双向</w:t>
            </w:r>
            <w:r>
              <w:rPr>
                <w:rFonts w:cs="宋体"/>
                <w:kern w:val="2"/>
                <w:sz w:val="21"/>
                <w:szCs w:val="21"/>
              </w:rPr>
              <w:t>10</w:t>
            </w:r>
            <w:r>
              <w:rPr>
                <w:rFonts w:hint="eastAsia" w:cs="宋体"/>
                <w:kern w:val="2"/>
                <w:sz w:val="21"/>
                <w:szCs w:val="21"/>
              </w:rPr>
              <w:t>车道</w:t>
            </w:r>
          </w:p>
        </w:tc>
      </w:tr>
    </w:tbl>
    <w:p>
      <w:pPr>
        <w:spacing w:before="156" w:after="156"/>
        <w:ind w:firstLine="480"/>
      </w:pPr>
      <w:r>
        <w:rPr>
          <w:rFonts w:hint="eastAsia"/>
        </w:rPr>
        <w:t>（5）公交信息化建设</w:t>
      </w:r>
    </w:p>
    <w:p>
      <w:pPr>
        <w:ind w:firstLine="480"/>
      </w:pPr>
      <w:r>
        <w:t>建设城市综合调度指挥中心，继续完善智能调度系统、图像信息管理系统，进一步实现车辆调度的科学化、营运数据统计的自动化、车速监控的全程化</w:t>
      </w:r>
      <w:r>
        <w:rPr>
          <w:rFonts w:hint="eastAsia"/>
        </w:rPr>
        <w:t>，</w:t>
      </w:r>
      <w:r>
        <w:t>企业管理系统及乘客出行便捷系统得到全面升级，为乘客提供更加智能化、人性化的服务</w:t>
      </w:r>
      <w:r>
        <w:rPr>
          <w:rFonts w:hint="eastAsia"/>
        </w:rPr>
        <w:t>。</w:t>
      </w:r>
    </w:p>
    <w:p>
      <w:pPr>
        <w:pStyle w:val="5"/>
      </w:pPr>
      <w:bookmarkStart w:id="247" w:name="_Toc518573728"/>
      <w:bookmarkStart w:id="248" w:name="_Toc14385"/>
      <w:r>
        <w:rPr>
          <w:rFonts w:hint="eastAsia"/>
        </w:rPr>
        <w:t>1</w:t>
      </w:r>
      <w:r>
        <w:t>1</w:t>
      </w:r>
      <w:r>
        <w:rPr>
          <w:rFonts w:hint="eastAsia"/>
        </w:rPr>
        <w:t>.2.</w:t>
      </w:r>
      <w:r>
        <w:t>3</w:t>
      </w:r>
      <w:r>
        <w:rPr>
          <w:rFonts w:hint="eastAsia"/>
        </w:rPr>
        <w:t xml:space="preserve"> 项目资金测算</w:t>
      </w:r>
      <w:bookmarkEnd w:id="247"/>
      <w:bookmarkEnd w:id="248"/>
    </w:p>
    <w:p>
      <w:pPr>
        <w:pStyle w:val="166"/>
      </w:pPr>
      <w:r>
        <w:rPr>
          <w:rFonts w:hint="eastAsia"/>
        </w:rPr>
        <w:t>规划期内</w:t>
      </w:r>
      <w:r>
        <w:t>，预计</w:t>
      </w:r>
      <w:r>
        <w:rPr>
          <w:rFonts w:hint="eastAsia"/>
        </w:rPr>
        <w:t>资阳</w:t>
      </w:r>
      <w:r>
        <w:t>市</w:t>
      </w:r>
      <w:r>
        <w:rPr>
          <w:rFonts w:hint="eastAsia"/>
        </w:rPr>
        <w:t>公交</w:t>
      </w:r>
      <w:r>
        <w:t>行业总投资49000</w:t>
      </w:r>
      <w:r>
        <w:rPr>
          <w:rFonts w:hint="eastAsia"/>
        </w:rPr>
        <w:t>万元</w:t>
      </w:r>
      <w:r>
        <w:t>，</w:t>
      </w:r>
      <w:r>
        <w:rPr>
          <w:rFonts w:hint="eastAsia"/>
        </w:rPr>
        <w:t>其中近期投资</w:t>
      </w:r>
      <w:r>
        <w:t>21600</w:t>
      </w:r>
      <w:r>
        <w:rPr>
          <w:rFonts w:hint="eastAsia"/>
        </w:rPr>
        <w:t>万元，中远期</w:t>
      </w:r>
      <w:r>
        <w:t>27400</w:t>
      </w:r>
      <w:r>
        <w:rPr>
          <w:rFonts w:hint="eastAsia"/>
        </w:rPr>
        <w:t>万元。在公交线网建设方面投资</w:t>
      </w:r>
      <w:r>
        <w:t>4000</w:t>
      </w:r>
      <w:r>
        <w:rPr>
          <w:rFonts w:hint="eastAsia"/>
        </w:rPr>
        <w:t>万元，在公交场站建设方面投资18</w:t>
      </w:r>
      <w:r>
        <w:t>000</w:t>
      </w:r>
      <w:r>
        <w:rPr>
          <w:rFonts w:hint="eastAsia"/>
        </w:rPr>
        <w:t>万元，在公交运力建设方面投资</w:t>
      </w:r>
      <w:r>
        <w:t>19000</w:t>
      </w:r>
      <w:r>
        <w:rPr>
          <w:rFonts w:hint="eastAsia"/>
        </w:rPr>
        <w:t>万元，在公交专用道建设方面投资</w:t>
      </w:r>
      <w:r>
        <w:t>6000</w:t>
      </w:r>
      <w:r>
        <w:rPr>
          <w:rFonts w:hint="eastAsia"/>
        </w:rPr>
        <w:t>万元，在公交信息化建设方面投资2</w:t>
      </w:r>
      <w:r>
        <w:t>000</w:t>
      </w:r>
      <w:r>
        <w:rPr>
          <w:rFonts w:hint="eastAsia"/>
        </w:rPr>
        <w:t>万元，</w:t>
      </w:r>
      <w:r>
        <w:t>详细情况如表</w:t>
      </w:r>
      <w:r>
        <w:rPr>
          <w:rFonts w:hint="eastAsia"/>
        </w:rPr>
        <w:t>所示</w:t>
      </w:r>
      <w:r>
        <w:t>。</w:t>
      </w:r>
    </w:p>
    <w:p>
      <w:pPr>
        <w:pStyle w:val="113"/>
        <w:spacing w:before="163" w:after="163"/>
      </w:pPr>
      <w:r>
        <w:rPr>
          <w:rFonts w:hint="eastAsia"/>
        </w:rPr>
        <w:t>表1</w:t>
      </w:r>
      <w:r>
        <w:t>1</w:t>
      </w:r>
      <w:r>
        <w:rPr>
          <w:rFonts w:hint="eastAsia"/>
        </w:rPr>
        <w:t>-</w:t>
      </w:r>
      <w:r>
        <w:t xml:space="preserve">9  </w:t>
      </w:r>
      <w:r>
        <w:rPr>
          <w:rFonts w:hint="eastAsia"/>
        </w:rPr>
        <w:t>资金测算表</w:t>
      </w:r>
    </w:p>
    <w:tbl>
      <w:tblPr>
        <w:tblStyle w:val="94"/>
        <w:tblW w:w="8306" w:type="dxa"/>
        <w:jc w:val="center"/>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
      <w:tblGrid>
        <w:gridCol w:w="3978"/>
        <w:gridCol w:w="1311"/>
        <w:gridCol w:w="1311"/>
        <w:gridCol w:w="1706"/>
      </w:tblGrid>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68" w:hRule="atLeast"/>
          <w:jc w:val="center"/>
        </w:trPr>
        <w:tc>
          <w:tcPr>
            <w:tcW w:w="3978" w:type="dxa"/>
            <w:tcBorders>
              <w:bottom w:val="single" w:color="auto" w:sz="12" w:space="0"/>
              <w:tl2br w:val="nil"/>
              <w:tr2bl w:val="nil"/>
            </w:tcBorders>
            <w:shd w:val="clear" w:color="auto" w:fill="CCC0D9"/>
            <w:vAlign w:val="center"/>
          </w:tcPr>
          <w:p>
            <w:pPr>
              <w:pStyle w:val="151"/>
            </w:pPr>
            <w:r>
              <w:rPr>
                <w:rFonts w:hint="eastAsia"/>
                <w:b/>
              </w:rPr>
              <w:t>类别</w:t>
            </w:r>
          </w:p>
        </w:tc>
        <w:tc>
          <w:tcPr>
            <w:tcW w:w="1311" w:type="dxa"/>
            <w:tcBorders>
              <w:bottom w:val="single" w:color="auto" w:sz="12" w:space="0"/>
              <w:tl2br w:val="nil"/>
              <w:tr2bl w:val="nil"/>
            </w:tcBorders>
            <w:shd w:val="clear" w:color="auto" w:fill="CCC0D9"/>
            <w:vAlign w:val="center"/>
          </w:tcPr>
          <w:p>
            <w:pPr>
              <w:pStyle w:val="151"/>
              <w:rPr>
                <w:b/>
              </w:rPr>
            </w:pPr>
            <w:r>
              <w:rPr>
                <w:rFonts w:hint="eastAsia"/>
                <w:b/>
              </w:rPr>
              <w:t>近期</w:t>
            </w:r>
          </w:p>
        </w:tc>
        <w:tc>
          <w:tcPr>
            <w:tcW w:w="1311" w:type="dxa"/>
            <w:tcBorders>
              <w:bottom w:val="single" w:color="auto" w:sz="12" w:space="0"/>
              <w:tl2br w:val="nil"/>
              <w:tr2bl w:val="nil"/>
            </w:tcBorders>
            <w:shd w:val="clear" w:color="auto" w:fill="CCC0D9"/>
            <w:vAlign w:val="center"/>
          </w:tcPr>
          <w:p>
            <w:pPr>
              <w:pStyle w:val="151"/>
              <w:ind w:left="-2" w:leftChars="-4" w:hanging="8" w:hangingChars="4"/>
              <w:rPr>
                <w:b/>
              </w:rPr>
            </w:pPr>
            <w:r>
              <w:rPr>
                <w:rFonts w:hint="eastAsia"/>
                <w:b/>
              </w:rPr>
              <w:t>中远期</w:t>
            </w:r>
          </w:p>
        </w:tc>
        <w:tc>
          <w:tcPr>
            <w:tcW w:w="1706" w:type="dxa"/>
            <w:tcBorders>
              <w:bottom w:val="single" w:color="auto" w:sz="12" w:space="0"/>
              <w:tl2br w:val="nil"/>
              <w:tr2bl w:val="nil"/>
            </w:tcBorders>
            <w:shd w:val="clear" w:color="auto" w:fill="CCC0D9"/>
            <w:vAlign w:val="center"/>
          </w:tcPr>
          <w:p>
            <w:pPr>
              <w:pStyle w:val="151"/>
              <w:rPr>
                <w:b/>
              </w:rPr>
            </w:pPr>
            <w:r>
              <w:rPr>
                <w:rFonts w:hint="eastAsia"/>
                <w:b/>
              </w:rPr>
              <w:t>合计（万元）</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318" w:hRule="atLeast"/>
          <w:jc w:val="center"/>
        </w:trPr>
        <w:tc>
          <w:tcPr>
            <w:tcW w:w="3978" w:type="dxa"/>
            <w:tcBorders>
              <w:top w:val="single" w:color="auto" w:sz="12" w:space="0"/>
              <w:tl2br w:val="nil"/>
              <w:tr2bl w:val="nil"/>
            </w:tcBorders>
            <w:vAlign w:val="center"/>
          </w:tcPr>
          <w:p>
            <w:pPr>
              <w:pStyle w:val="151"/>
              <w:rPr>
                <w:bCs w:val="0"/>
              </w:rPr>
            </w:pPr>
            <w:r>
              <w:rPr>
                <w:rFonts w:hint="eastAsia"/>
              </w:rPr>
              <w:t>公交线网建设</w:t>
            </w:r>
          </w:p>
        </w:tc>
        <w:tc>
          <w:tcPr>
            <w:tcW w:w="1311" w:type="dxa"/>
            <w:tcBorders>
              <w:top w:val="single" w:color="auto" w:sz="12" w:space="0"/>
              <w:tl2br w:val="nil"/>
              <w:tr2bl w:val="nil"/>
            </w:tcBorders>
            <w:vAlign w:val="center"/>
          </w:tcPr>
          <w:p>
            <w:pPr>
              <w:pStyle w:val="151"/>
              <w:rPr>
                <w:bCs w:val="0"/>
              </w:rPr>
            </w:pPr>
            <w:r>
              <w:rPr>
                <w:rFonts w:hint="eastAsia"/>
              </w:rPr>
              <w:t>1000</w:t>
            </w:r>
          </w:p>
        </w:tc>
        <w:tc>
          <w:tcPr>
            <w:tcW w:w="1311" w:type="dxa"/>
            <w:tcBorders>
              <w:top w:val="single" w:color="auto" w:sz="12" w:space="0"/>
              <w:tl2br w:val="nil"/>
              <w:tr2bl w:val="nil"/>
            </w:tcBorders>
            <w:vAlign w:val="center"/>
          </w:tcPr>
          <w:p>
            <w:pPr>
              <w:pStyle w:val="151"/>
              <w:ind w:left="-2" w:leftChars="-4" w:hanging="8" w:hangingChars="4"/>
            </w:pPr>
            <w:r>
              <w:rPr>
                <w:rFonts w:hint="eastAsia"/>
              </w:rPr>
              <w:t>3000</w:t>
            </w:r>
          </w:p>
        </w:tc>
        <w:tc>
          <w:tcPr>
            <w:tcW w:w="1706" w:type="dxa"/>
            <w:tcBorders>
              <w:top w:val="single" w:color="auto" w:sz="12" w:space="0"/>
              <w:tl2br w:val="nil"/>
              <w:tr2bl w:val="nil"/>
            </w:tcBorders>
            <w:vAlign w:val="center"/>
          </w:tcPr>
          <w:p>
            <w:pPr>
              <w:pStyle w:val="151"/>
            </w:pPr>
            <w:r>
              <w:rPr>
                <w:rFonts w:hint="eastAsia"/>
              </w:rPr>
              <w:t>4000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418" w:hRule="atLeast"/>
          <w:jc w:val="center"/>
        </w:trPr>
        <w:tc>
          <w:tcPr>
            <w:tcW w:w="3978" w:type="dxa"/>
            <w:tcBorders>
              <w:tl2br w:val="nil"/>
              <w:tr2bl w:val="nil"/>
            </w:tcBorders>
            <w:vAlign w:val="center"/>
          </w:tcPr>
          <w:p>
            <w:pPr>
              <w:pStyle w:val="151"/>
              <w:rPr>
                <w:bCs w:val="0"/>
              </w:rPr>
            </w:pPr>
            <w:r>
              <w:rPr>
                <w:rFonts w:hint="eastAsia"/>
              </w:rPr>
              <w:t>公交场站建设</w:t>
            </w:r>
          </w:p>
        </w:tc>
        <w:tc>
          <w:tcPr>
            <w:tcW w:w="1311" w:type="dxa"/>
            <w:tcBorders>
              <w:tl2br w:val="nil"/>
              <w:tr2bl w:val="nil"/>
            </w:tcBorders>
            <w:vAlign w:val="center"/>
          </w:tcPr>
          <w:p>
            <w:pPr>
              <w:pStyle w:val="151"/>
              <w:rPr>
                <w:bCs w:val="0"/>
              </w:rPr>
            </w:pPr>
            <w:r>
              <w:rPr>
                <w:rFonts w:hint="eastAsia"/>
              </w:rPr>
              <w:t>12000</w:t>
            </w:r>
          </w:p>
        </w:tc>
        <w:tc>
          <w:tcPr>
            <w:tcW w:w="1311" w:type="dxa"/>
            <w:tcBorders>
              <w:tl2br w:val="nil"/>
              <w:tr2bl w:val="nil"/>
            </w:tcBorders>
            <w:vAlign w:val="center"/>
          </w:tcPr>
          <w:p>
            <w:pPr>
              <w:pStyle w:val="151"/>
              <w:ind w:left="-2" w:leftChars="-4" w:hanging="8" w:hangingChars="4"/>
            </w:pPr>
            <w:r>
              <w:rPr>
                <w:rFonts w:hint="eastAsia"/>
              </w:rPr>
              <w:t>6000</w:t>
            </w:r>
          </w:p>
        </w:tc>
        <w:tc>
          <w:tcPr>
            <w:tcW w:w="1706" w:type="dxa"/>
            <w:tcBorders>
              <w:tl2br w:val="nil"/>
              <w:tr2bl w:val="nil"/>
            </w:tcBorders>
            <w:vAlign w:val="center"/>
          </w:tcPr>
          <w:p>
            <w:pPr>
              <w:pStyle w:val="151"/>
              <w:rPr>
                <w:bCs w:val="0"/>
              </w:rPr>
            </w:pPr>
            <w:r>
              <w:rPr>
                <w:rFonts w:hint="eastAsia"/>
              </w:rPr>
              <w:t>18000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3978" w:type="dxa"/>
            <w:tcBorders>
              <w:tl2br w:val="nil"/>
              <w:tr2bl w:val="nil"/>
            </w:tcBorders>
            <w:vAlign w:val="center"/>
          </w:tcPr>
          <w:p>
            <w:pPr>
              <w:pStyle w:val="151"/>
              <w:rPr>
                <w:bCs w:val="0"/>
              </w:rPr>
            </w:pPr>
            <w:r>
              <w:rPr>
                <w:rFonts w:hint="eastAsia"/>
              </w:rPr>
              <w:t>公交运力建设</w:t>
            </w:r>
          </w:p>
        </w:tc>
        <w:tc>
          <w:tcPr>
            <w:tcW w:w="1311" w:type="dxa"/>
            <w:tcBorders>
              <w:tl2br w:val="nil"/>
              <w:tr2bl w:val="nil"/>
            </w:tcBorders>
            <w:vAlign w:val="center"/>
          </w:tcPr>
          <w:p>
            <w:pPr>
              <w:pStyle w:val="151"/>
              <w:rPr>
                <w:bCs w:val="0"/>
              </w:rPr>
            </w:pPr>
            <w:r>
              <w:rPr>
                <w:rFonts w:hint="eastAsia"/>
              </w:rPr>
              <w:t>7000</w:t>
            </w:r>
          </w:p>
        </w:tc>
        <w:tc>
          <w:tcPr>
            <w:tcW w:w="1311" w:type="dxa"/>
            <w:tcBorders>
              <w:tl2br w:val="nil"/>
              <w:tr2bl w:val="nil"/>
            </w:tcBorders>
            <w:vAlign w:val="center"/>
          </w:tcPr>
          <w:p>
            <w:pPr>
              <w:pStyle w:val="151"/>
              <w:ind w:left="-2" w:leftChars="-4" w:hanging="8" w:hangingChars="4"/>
            </w:pPr>
            <w:r>
              <w:rPr>
                <w:rFonts w:hint="eastAsia"/>
              </w:rPr>
              <w:t>12000</w:t>
            </w:r>
          </w:p>
        </w:tc>
        <w:tc>
          <w:tcPr>
            <w:tcW w:w="1706" w:type="dxa"/>
            <w:tcBorders>
              <w:tl2br w:val="nil"/>
              <w:tr2bl w:val="nil"/>
            </w:tcBorders>
            <w:vAlign w:val="center"/>
          </w:tcPr>
          <w:p>
            <w:pPr>
              <w:pStyle w:val="151"/>
              <w:rPr>
                <w:bCs w:val="0"/>
              </w:rPr>
            </w:pPr>
            <w:r>
              <w:rPr>
                <w:rFonts w:hint="eastAsia"/>
              </w:rPr>
              <w:t>19000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3978" w:type="dxa"/>
            <w:tcBorders>
              <w:tl2br w:val="nil"/>
              <w:tr2bl w:val="nil"/>
            </w:tcBorders>
            <w:vAlign w:val="center"/>
          </w:tcPr>
          <w:p>
            <w:pPr>
              <w:pStyle w:val="151"/>
              <w:rPr>
                <w:bCs w:val="0"/>
              </w:rPr>
            </w:pPr>
            <w:r>
              <w:rPr>
                <w:rFonts w:hint="eastAsia"/>
              </w:rPr>
              <w:t>公交专用道建设</w:t>
            </w:r>
          </w:p>
        </w:tc>
        <w:tc>
          <w:tcPr>
            <w:tcW w:w="1311" w:type="dxa"/>
            <w:tcBorders>
              <w:tl2br w:val="nil"/>
              <w:tr2bl w:val="nil"/>
            </w:tcBorders>
            <w:vAlign w:val="center"/>
          </w:tcPr>
          <w:p>
            <w:pPr>
              <w:pStyle w:val="151"/>
            </w:pPr>
            <w:r>
              <w:rPr>
                <w:rFonts w:hint="eastAsia"/>
              </w:rPr>
              <w:t>1000</w:t>
            </w:r>
          </w:p>
        </w:tc>
        <w:tc>
          <w:tcPr>
            <w:tcW w:w="1311" w:type="dxa"/>
            <w:tcBorders>
              <w:tl2br w:val="nil"/>
              <w:tr2bl w:val="nil"/>
            </w:tcBorders>
            <w:vAlign w:val="center"/>
          </w:tcPr>
          <w:p>
            <w:pPr>
              <w:pStyle w:val="151"/>
              <w:ind w:left="-2" w:leftChars="-4" w:hanging="8" w:hangingChars="4"/>
            </w:pPr>
            <w:r>
              <w:rPr>
                <w:rFonts w:hint="eastAsia"/>
              </w:rPr>
              <w:t>5000</w:t>
            </w:r>
          </w:p>
        </w:tc>
        <w:tc>
          <w:tcPr>
            <w:tcW w:w="1706" w:type="dxa"/>
            <w:tcBorders>
              <w:tl2br w:val="nil"/>
              <w:tr2bl w:val="nil"/>
            </w:tcBorders>
            <w:vAlign w:val="center"/>
          </w:tcPr>
          <w:p>
            <w:pPr>
              <w:pStyle w:val="151"/>
              <w:rPr>
                <w:bCs w:val="0"/>
              </w:rPr>
            </w:pPr>
            <w:r>
              <w:rPr>
                <w:rFonts w:hint="eastAsia"/>
              </w:rPr>
              <w:t>6000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PrEx>
        <w:trPr>
          <w:trHeight w:val="278" w:hRule="atLeast"/>
          <w:jc w:val="center"/>
        </w:trPr>
        <w:tc>
          <w:tcPr>
            <w:tcW w:w="3978" w:type="dxa"/>
            <w:tcBorders>
              <w:tl2br w:val="nil"/>
              <w:tr2bl w:val="nil"/>
            </w:tcBorders>
            <w:vAlign w:val="center"/>
          </w:tcPr>
          <w:p>
            <w:pPr>
              <w:pStyle w:val="151"/>
              <w:rPr>
                <w:bCs w:val="0"/>
              </w:rPr>
            </w:pPr>
            <w:r>
              <w:rPr>
                <w:rFonts w:hint="eastAsia"/>
              </w:rPr>
              <w:t>公交信息化建设</w:t>
            </w:r>
          </w:p>
        </w:tc>
        <w:tc>
          <w:tcPr>
            <w:tcW w:w="1311" w:type="dxa"/>
            <w:tcBorders>
              <w:tl2br w:val="nil"/>
              <w:tr2bl w:val="nil"/>
            </w:tcBorders>
            <w:vAlign w:val="center"/>
          </w:tcPr>
          <w:p>
            <w:pPr>
              <w:pStyle w:val="151"/>
              <w:rPr>
                <w:bCs w:val="0"/>
              </w:rPr>
            </w:pPr>
            <w:r>
              <w:rPr>
                <w:rFonts w:hint="eastAsia"/>
              </w:rPr>
              <w:t>600</w:t>
            </w:r>
          </w:p>
        </w:tc>
        <w:tc>
          <w:tcPr>
            <w:tcW w:w="1311" w:type="dxa"/>
            <w:tcBorders>
              <w:tl2br w:val="nil"/>
              <w:tr2bl w:val="nil"/>
            </w:tcBorders>
            <w:vAlign w:val="center"/>
          </w:tcPr>
          <w:p>
            <w:pPr>
              <w:pStyle w:val="151"/>
              <w:ind w:left="-2" w:leftChars="-4" w:hanging="8" w:hangingChars="4"/>
              <w:rPr>
                <w:bCs w:val="0"/>
              </w:rPr>
            </w:pPr>
            <w:r>
              <w:rPr>
                <w:rFonts w:hint="eastAsia"/>
              </w:rPr>
              <w:t>1400</w:t>
            </w:r>
          </w:p>
        </w:tc>
        <w:tc>
          <w:tcPr>
            <w:tcW w:w="1706" w:type="dxa"/>
            <w:tcBorders>
              <w:tl2br w:val="nil"/>
              <w:tr2bl w:val="nil"/>
            </w:tcBorders>
            <w:vAlign w:val="center"/>
          </w:tcPr>
          <w:p>
            <w:pPr>
              <w:pStyle w:val="151"/>
              <w:rPr>
                <w:bCs w:val="0"/>
              </w:rPr>
            </w:pPr>
            <w:r>
              <w:rPr>
                <w:rFonts w:hint="eastAsia"/>
              </w:rPr>
              <w:t>2000</w:t>
            </w:r>
          </w:p>
        </w:tc>
      </w:tr>
      <w:tr>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fixed"/>
          <w:tblCellMar>
            <w:top w:w="0" w:type="dxa"/>
            <w:left w:w="108" w:type="dxa"/>
            <w:bottom w:w="0" w:type="dxa"/>
            <w:right w:w="108" w:type="dxa"/>
          </w:tblCellMar>
        </w:tblPrEx>
        <w:trPr>
          <w:trHeight w:val="278" w:hRule="atLeast"/>
          <w:jc w:val="center"/>
        </w:trPr>
        <w:tc>
          <w:tcPr>
            <w:tcW w:w="3978" w:type="dxa"/>
            <w:tcBorders>
              <w:tl2br w:val="nil"/>
              <w:tr2bl w:val="nil"/>
            </w:tcBorders>
            <w:vAlign w:val="center"/>
          </w:tcPr>
          <w:p>
            <w:pPr>
              <w:pStyle w:val="151"/>
              <w:rPr>
                <w:bCs w:val="0"/>
              </w:rPr>
            </w:pPr>
            <w:r>
              <w:rPr>
                <w:rFonts w:hint="eastAsia"/>
              </w:rPr>
              <w:t>合计（万元）</w:t>
            </w:r>
          </w:p>
        </w:tc>
        <w:tc>
          <w:tcPr>
            <w:tcW w:w="1311" w:type="dxa"/>
            <w:tcBorders>
              <w:tl2br w:val="nil"/>
              <w:tr2bl w:val="nil"/>
            </w:tcBorders>
            <w:vAlign w:val="center"/>
          </w:tcPr>
          <w:p>
            <w:pPr>
              <w:pStyle w:val="151"/>
              <w:rPr>
                <w:bCs w:val="0"/>
              </w:rPr>
            </w:pPr>
            <w:r>
              <w:rPr>
                <w:rFonts w:hint="eastAsia"/>
              </w:rPr>
              <w:t>21600</w:t>
            </w:r>
          </w:p>
        </w:tc>
        <w:tc>
          <w:tcPr>
            <w:tcW w:w="1311" w:type="dxa"/>
            <w:tcBorders>
              <w:tl2br w:val="nil"/>
              <w:tr2bl w:val="nil"/>
            </w:tcBorders>
            <w:vAlign w:val="center"/>
          </w:tcPr>
          <w:p>
            <w:pPr>
              <w:pStyle w:val="151"/>
              <w:ind w:left="-2" w:leftChars="-4" w:hanging="8" w:hangingChars="4"/>
              <w:rPr>
                <w:bCs w:val="0"/>
              </w:rPr>
            </w:pPr>
            <w:r>
              <w:rPr>
                <w:rFonts w:hint="eastAsia"/>
              </w:rPr>
              <w:t>27400</w:t>
            </w:r>
          </w:p>
        </w:tc>
        <w:tc>
          <w:tcPr>
            <w:tcW w:w="1706" w:type="dxa"/>
            <w:tcBorders>
              <w:tl2br w:val="nil"/>
              <w:tr2bl w:val="nil"/>
            </w:tcBorders>
            <w:vAlign w:val="center"/>
          </w:tcPr>
          <w:p>
            <w:pPr>
              <w:pStyle w:val="151"/>
              <w:rPr>
                <w:bCs w:val="0"/>
              </w:rPr>
            </w:pPr>
            <w:r>
              <w:rPr>
                <w:rFonts w:hint="eastAsia"/>
              </w:rPr>
              <w:t>49000</w:t>
            </w:r>
          </w:p>
        </w:tc>
      </w:tr>
    </w:tbl>
    <w:p>
      <w:pPr>
        <w:spacing w:before="156" w:after="156"/>
        <w:ind w:firstLine="0" w:firstLineChars="0"/>
        <w:sectPr>
          <w:footerReference r:id="rId26" w:type="first"/>
          <w:footerReference r:id="rId24" w:type="default"/>
          <w:headerReference r:id="rId23" w:type="even"/>
          <w:footerReference r:id="rId25" w:type="even"/>
          <w:pgSz w:w="11906" w:h="16838"/>
          <w:pgMar w:top="1440" w:right="1800" w:bottom="1440" w:left="1800" w:header="737" w:footer="708" w:gutter="0"/>
          <w:cols w:space="708" w:num="1"/>
          <w:docGrid w:type="lines" w:linePitch="360" w:charSpace="0"/>
        </w:sectPr>
      </w:pPr>
    </w:p>
    <w:p>
      <w:pPr>
        <w:pStyle w:val="2"/>
        <w:spacing w:before="163" w:after="163"/>
      </w:pPr>
      <w:bookmarkStart w:id="249" w:name="_Toc518573729"/>
      <w:r>
        <w:rPr>
          <w:rFonts w:hint="eastAsia"/>
        </w:rPr>
        <w:t xml:space="preserve">第12章 </w:t>
      </w:r>
      <w:r>
        <w:t xml:space="preserve"> </w:t>
      </w:r>
      <w:r>
        <w:rPr>
          <w:rFonts w:hint="eastAsia"/>
        </w:rPr>
        <w:t>实施保障</w:t>
      </w:r>
      <w:bookmarkEnd w:id="249"/>
    </w:p>
    <w:p>
      <w:pPr>
        <w:ind w:firstLine="480"/>
      </w:pPr>
      <w:r>
        <w:rPr>
          <w:rFonts w:hint="eastAsia"/>
        </w:rPr>
        <w:t>《资阳市中心城区常规公交发展规划》的规划期限为</w:t>
      </w:r>
      <w:r>
        <w:t>2018</w:t>
      </w:r>
      <w:r>
        <w:rPr>
          <w:rFonts w:hint="eastAsia"/>
        </w:rPr>
        <w:t>～</w:t>
      </w:r>
      <w:r>
        <w:t>2030</w:t>
      </w:r>
      <w:r>
        <w:rPr>
          <w:rFonts w:hint="eastAsia"/>
        </w:rPr>
        <w:t>年。规划内容包括资阳市中心城区公交线网的综合规划，公交站点、公交首末站、停车场、修理厂以及公交枢纽站等交通基础设施建设。《资阳市中心城区常规公交发展规划》对资阳市常规公交及城市客运的发展将起到长期的指导和引领作用，计划从2018年起，实施“绿色公交”、“惠民公交”、“智慧公交”、“微笑公交”四大工程，努力打造绿色低碳、经济可靠、高效便捷、安全舒适的城市公交系统，使公共交通成为群众出行的优先选择。为了确保《资阳市中心城区常规公交发展规划》的全面实施，完整落实各项公交惠民便民措施、打造城市公交精品线路、建设交通一卡通及智能调度系统、优化公交线网布局、到位公交体制改革贷款资金等工作。本课题组开展了资阳市城市常规公交发展支持保障体系的研究，其目的是从技术、资金与政府政策、管理、服务等方面全方位建立城市常规公交发展规划实施的保障机制，充分发挥《资阳市中心城区常规公交发展规划》对资阳市公交系统的合理发展以及整个城市综合交通运输体系发展的引领作用。</w:t>
      </w:r>
    </w:p>
    <w:p>
      <w:pPr>
        <w:ind w:firstLine="480"/>
        <w:rPr>
          <w:rFonts w:ascii="Arial" w:hAnsi="Arial" w:cs="Arial"/>
        </w:rPr>
      </w:pPr>
      <w:r>
        <w:rPr>
          <w:rFonts w:hint="eastAsia" w:ascii="Arial" w:hAnsi="Arial" w:cs="Arial"/>
        </w:rPr>
        <w:t>通过对资阳市常规公交现状的调研与分析、城市公共交通出行量的需求预测，以及与其他城市的发展经验对比得出：随着资阳市城市化进程的加快、社会经济的快速发展，交通拥堵、城市开敞空间狭小等一系列城市问题会越来越严重，城市交通发展面临新的挑战。为协调好经济发展和城市交通之间的关系，促进城市发展步入良性循环轨道，应充分发挥城市公交客运量大、占用资源少、污染相对较小、人均占用道路少等优点，优先发展公共交通。为确保城市公交的快速发展和本次规划的顺利实施，资阳市应积极贯彻落实国家及省、市关于公交优先的政策精神，坚持公共交通用地优先、路权优先、资金优先、政策优先“四个优先”的发展理念。具体应从组织、政策、资金、人才、用地五个方面实施保障措施。</w:t>
      </w:r>
    </w:p>
    <w:p>
      <w:pPr>
        <w:ind w:firstLine="480"/>
        <w:rPr>
          <w:rFonts w:ascii="Arial" w:hAnsi="Arial" w:cs="Arial"/>
        </w:rPr>
      </w:pPr>
    </w:p>
    <w:p>
      <w:pPr>
        <w:pStyle w:val="4"/>
      </w:pPr>
      <w:bookmarkStart w:id="250" w:name="_Toc518573730"/>
      <w:r>
        <w:t xml:space="preserve">12.1 </w:t>
      </w:r>
      <w:r>
        <w:rPr>
          <w:rFonts w:hint="eastAsia"/>
        </w:rPr>
        <w:t>组织</w:t>
      </w:r>
      <w:r>
        <w:t>保障</w:t>
      </w:r>
      <w:bookmarkEnd w:id="250"/>
    </w:p>
    <w:p>
      <w:pPr>
        <w:ind w:firstLine="480"/>
        <w:rPr>
          <w:rFonts w:ascii="Arial" w:hAnsi="Arial" w:cs="Arial"/>
        </w:rPr>
      </w:pPr>
      <w:r>
        <w:rPr>
          <w:rFonts w:hint="eastAsia" w:ascii="Arial" w:hAnsi="Arial" w:cs="Arial"/>
        </w:rPr>
        <w:t>加强对城市常规公交的监督管理，建立严格的监督考核机制，将年度常规公交相关任务完成程度纳入相关部门的年度综合目标考核。</w:t>
      </w:r>
    </w:p>
    <w:p>
      <w:pPr>
        <w:ind w:firstLine="480"/>
        <w:rPr>
          <w:rFonts w:ascii="Arial" w:hAnsi="Arial" w:cs="Arial"/>
        </w:rPr>
      </w:pPr>
      <w:r>
        <w:rPr>
          <w:rFonts w:hint="eastAsia" w:ascii="Arial" w:hAnsi="Arial" w:cs="Arial"/>
        </w:rPr>
        <w:t>建立健全的监督检查机制，对实施情况进行年度考核以监督实施效果，动态评估实施效果。原则上每季度召开交通工作领导小组会议检查工作开展情况；每年制订城市公共交通具体发展计划及年度报告审查制度，每年开展发展工作的总结和评估。工作总结内容包括：城市公共交通发展状况、年度计划落实情况、预算资金投入和融资落实情况等。</w:t>
      </w:r>
    </w:p>
    <w:p>
      <w:pPr>
        <w:ind w:firstLine="480"/>
        <w:rPr>
          <w:rFonts w:ascii="Arial" w:hAnsi="Arial" w:cs="Arial"/>
        </w:rPr>
      </w:pPr>
      <w:r>
        <w:rPr>
          <w:rFonts w:hint="eastAsia" w:ascii="Arial" w:hAnsi="Arial" w:cs="Arial"/>
        </w:rPr>
        <w:t>与此同时，市交通运输局会同有关部门研究制定城市公共交通企业服务质量考核办法和发展水平评价准则，建立城市公共交通发展绩效评价制度，对公共交通企业进行绩效评价，对城市公共交通发展水平进行跟踪评估。通过公众参与、专家咨询等多种方式，及时了解掌握城市公共交通企业在安全性、快捷性、舒适性、方便性等方面的情况，对城市公共交通企业服务质量和运营安全进行定期评价，促进城市公共交通管理规范、服务优质、社会效益显著。</w:t>
      </w:r>
    </w:p>
    <w:p>
      <w:pPr>
        <w:pStyle w:val="4"/>
      </w:pPr>
      <w:bookmarkStart w:id="251" w:name="_Toc518573731"/>
      <w:bookmarkStart w:id="252" w:name="_Toc345957646"/>
      <w:r>
        <w:t>12.</w:t>
      </w:r>
      <w:r>
        <w:rPr>
          <w:rFonts w:hint="eastAsia"/>
        </w:rPr>
        <w:t>2</w:t>
      </w:r>
      <w:r>
        <w:t xml:space="preserve"> 政策保障</w:t>
      </w:r>
      <w:bookmarkEnd w:id="251"/>
      <w:bookmarkEnd w:id="252"/>
    </w:p>
    <w:p>
      <w:pPr>
        <w:ind w:firstLine="480"/>
        <w:rPr>
          <w:rFonts w:ascii="宋体" w:hAnsi="宋体"/>
          <w:szCs w:val="24"/>
        </w:rPr>
      </w:pPr>
      <w:r>
        <w:rPr>
          <w:rFonts w:hint="eastAsia" w:ascii="宋体" w:hAnsi="宋体"/>
          <w:szCs w:val="24"/>
        </w:rPr>
        <w:t>资阳市城市公交发展必须在政府交通主管部门的统一行业规划与指导下展开，必须服从四川省公共交通行业发展的全局，政府部门要从公共交通管理体制、</w:t>
      </w:r>
      <w:r>
        <w:rPr>
          <w:rFonts w:ascii="宋体" w:hAnsi="宋体"/>
          <w:szCs w:val="24"/>
        </w:rPr>
        <w:t>公共交通用地保障、政府企业战略</w:t>
      </w:r>
      <w:r>
        <w:rPr>
          <w:rFonts w:hint="eastAsia" w:ascii="宋体" w:hAnsi="宋体"/>
          <w:szCs w:val="24"/>
        </w:rPr>
        <w:t>、公共交通人才保障、科学技术保障</w:t>
      </w:r>
      <w:r>
        <w:rPr>
          <w:rFonts w:ascii="宋体" w:hAnsi="宋体"/>
          <w:szCs w:val="24"/>
        </w:rPr>
        <w:t>以及有效的公共交通财政扶持政策几方</w:t>
      </w:r>
      <w:r>
        <w:rPr>
          <w:rFonts w:hint="eastAsia" w:ascii="宋体" w:hAnsi="宋体"/>
          <w:szCs w:val="24"/>
        </w:rPr>
        <w:t>面着手完善公共交通政策保障体系。</w:t>
      </w:r>
    </w:p>
    <w:p>
      <w:pPr>
        <w:ind w:firstLine="480"/>
        <w:rPr>
          <w:rFonts w:ascii="宋体" w:hAnsi="宋体"/>
          <w:szCs w:val="24"/>
        </w:rPr>
      </w:pPr>
      <w:r>
        <w:rPr>
          <w:rFonts w:hint="eastAsia" w:ascii="宋体" w:hAnsi="宋体"/>
          <w:szCs w:val="24"/>
        </w:rPr>
        <w:t>根据资阳市城市公交现状及发展需要，为实现资阳市公共交通系统有序、规范、快速发展，向政府及交通主管部门提出促进公共交通发展的措施建议如下：</w:t>
      </w:r>
    </w:p>
    <w:p>
      <w:pPr>
        <w:ind w:firstLine="482"/>
        <w:rPr>
          <w:rFonts w:cs="Times New Roman"/>
          <w:b/>
          <w:szCs w:val="24"/>
        </w:rPr>
      </w:pPr>
      <w:r>
        <w:rPr>
          <w:rFonts w:cs="Times New Roman"/>
          <w:b/>
          <w:szCs w:val="24"/>
        </w:rPr>
        <w:t>1. 深化管理体制改革，营造良好服务环境</w:t>
      </w:r>
    </w:p>
    <w:p>
      <w:pPr>
        <w:ind w:firstLine="480"/>
        <w:rPr>
          <w:rFonts w:ascii="宋体" w:hAnsi="宋体"/>
          <w:szCs w:val="24"/>
        </w:rPr>
      </w:pPr>
      <w:r>
        <w:rPr>
          <w:rFonts w:ascii="宋体" w:hAnsi="宋体"/>
          <w:szCs w:val="24"/>
        </w:rPr>
        <w:t>为保证公交线网的新辟、优化和调整应与城市总体规划相协调相一致，</w:t>
      </w:r>
      <w:r>
        <w:rPr>
          <w:rFonts w:hint="eastAsia" w:ascii="宋体" w:hAnsi="宋体"/>
          <w:szCs w:val="24"/>
        </w:rPr>
        <w:t>相关交通主管部门应负责积极与其他政府管理部门进行沟通交流，</w:t>
      </w:r>
      <w:r>
        <w:rPr>
          <w:rFonts w:ascii="宋体" w:hAnsi="宋体"/>
          <w:szCs w:val="24"/>
        </w:rPr>
        <w:t>以确保线路的</w:t>
      </w:r>
      <w:r>
        <w:rPr>
          <w:rFonts w:hint="eastAsia" w:ascii="宋体" w:hAnsi="宋体"/>
          <w:szCs w:val="24"/>
        </w:rPr>
        <w:t>规划有效实施；同时相关管理部门还应负责公交线网调整及新辟线路的公示工作，为公共交通提供良好的宣传平台，做好公共交通与市民之间联系的纽带，及时收集市民对公共交通的建议，并反馈给公交运营方，协助运营方进行调整优化。</w:t>
      </w:r>
    </w:p>
    <w:p>
      <w:pPr>
        <w:ind w:firstLine="482"/>
        <w:rPr>
          <w:rFonts w:cs="Times New Roman"/>
          <w:b/>
          <w:szCs w:val="24"/>
        </w:rPr>
      </w:pPr>
      <w:r>
        <w:rPr>
          <w:rFonts w:hint="eastAsia" w:cs="Times New Roman"/>
          <w:b/>
          <w:szCs w:val="24"/>
        </w:rPr>
        <w:t>2.</w:t>
      </w:r>
      <w:r>
        <w:rPr>
          <w:rFonts w:cs="Times New Roman"/>
          <w:b/>
          <w:szCs w:val="24"/>
        </w:rPr>
        <w:t xml:space="preserve"> </w:t>
      </w:r>
      <w:r>
        <w:rPr>
          <w:rFonts w:hint="eastAsia" w:cs="Times New Roman"/>
          <w:b/>
          <w:szCs w:val="24"/>
        </w:rPr>
        <w:t>加强部门协调，落实用地保障</w:t>
      </w:r>
    </w:p>
    <w:p>
      <w:pPr>
        <w:ind w:firstLine="480"/>
        <w:rPr>
          <w:rFonts w:ascii="宋体" w:hAnsi="宋体"/>
          <w:szCs w:val="24"/>
        </w:rPr>
      </w:pPr>
      <w:r>
        <w:rPr>
          <w:rFonts w:hint="eastAsia" w:ascii="宋体" w:hAnsi="宋体"/>
          <w:szCs w:val="24"/>
        </w:rPr>
        <w:t>政府应与交通、规划、国土等部门等进行积极协调，将公交规划作为城市规划中的重要环节，在城市总体规划中预留公共交通发展用地，保障公共交通站场、站点用地和基础设施的建设。</w:t>
      </w:r>
    </w:p>
    <w:p>
      <w:pPr>
        <w:ind w:firstLine="482"/>
        <w:rPr>
          <w:rFonts w:cs="Times New Roman"/>
          <w:b/>
          <w:szCs w:val="24"/>
        </w:rPr>
      </w:pPr>
      <w:r>
        <w:rPr>
          <w:rFonts w:hint="eastAsia" w:cs="Times New Roman"/>
          <w:b/>
          <w:szCs w:val="24"/>
        </w:rPr>
        <w:t>3.</w:t>
      </w:r>
      <w:r>
        <w:rPr>
          <w:rFonts w:cs="Times New Roman"/>
          <w:b/>
          <w:szCs w:val="24"/>
        </w:rPr>
        <w:t xml:space="preserve"> 建立健全规划项目实施过程监督机制</w:t>
      </w:r>
    </w:p>
    <w:p>
      <w:pPr>
        <w:ind w:firstLine="480"/>
        <w:rPr>
          <w:rFonts w:ascii="宋体" w:hAnsi="宋体"/>
          <w:szCs w:val="24"/>
        </w:rPr>
      </w:pPr>
      <w:r>
        <w:rPr>
          <w:rFonts w:ascii="宋体" w:hAnsi="宋体"/>
          <w:szCs w:val="24"/>
        </w:rPr>
        <w:t>相关交通管理</w:t>
      </w:r>
      <w:r>
        <w:rPr>
          <w:rFonts w:hint="eastAsia" w:ascii="宋体" w:hAnsi="宋体"/>
          <w:szCs w:val="24"/>
        </w:rPr>
        <w:t>部门不仅应当与规划、土地等部门协商确定公交发展用地的落实情况，还应监督公交公司进行场站的建设、设备的配置等具体建设方案的落实。当企业资金落实存在困难时，政府应积极帮助企业进行融资、贷款等，并给予适当的资金支持。</w:t>
      </w:r>
    </w:p>
    <w:p>
      <w:pPr>
        <w:ind w:firstLine="482"/>
        <w:rPr>
          <w:rFonts w:cs="Times New Roman"/>
          <w:b/>
          <w:szCs w:val="24"/>
        </w:rPr>
      </w:pPr>
      <w:r>
        <w:rPr>
          <w:rFonts w:hint="eastAsia" w:cs="Times New Roman"/>
          <w:b/>
          <w:szCs w:val="24"/>
        </w:rPr>
        <w:t>4.加强行业指导，发挥政策性导向作用</w:t>
      </w:r>
    </w:p>
    <w:p>
      <w:pPr>
        <w:ind w:firstLine="480"/>
        <w:rPr>
          <w:rFonts w:ascii="宋体" w:hAnsi="宋体"/>
          <w:szCs w:val="24"/>
        </w:rPr>
      </w:pPr>
      <w:r>
        <w:rPr>
          <w:rFonts w:hint="eastAsia" w:ascii="宋体" w:hAnsi="宋体"/>
          <w:szCs w:val="24"/>
        </w:rPr>
        <w:t>当地政府部门应重视城市客运交通的发展，对公交实际运营中的问题予以帮助，严格管理公交停靠站区域占道停车的违规行为，对路况较差的路段及时进行维修与重建，改善公交线路的道路条件，同时对于车流特别多，道路情况允许的路段设置公交优先道、专用道；并且要监督企业的运营情况，确保公交线路的规范运行、公交服务水平的有效提升。</w:t>
      </w:r>
    </w:p>
    <w:p>
      <w:pPr>
        <w:ind w:firstLine="482"/>
        <w:rPr>
          <w:rFonts w:cs="Times New Roman"/>
          <w:b/>
          <w:szCs w:val="24"/>
        </w:rPr>
      </w:pPr>
      <w:r>
        <w:rPr>
          <w:rFonts w:cs="Times New Roman"/>
          <w:b/>
          <w:szCs w:val="24"/>
        </w:rPr>
        <w:t>5.</w:t>
      </w:r>
      <w:r>
        <w:rPr>
          <w:rFonts w:hint="eastAsia" w:cs="Times New Roman"/>
          <w:b/>
          <w:szCs w:val="24"/>
        </w:rPr>
        <w:t>强化城市总体规划对城市发展建设的综合调控</w:t>
      </w:r>
    </w:p>
    <w:p>
      <w:pPr>
        <w:ind w:firstLine="480"/>
        <w:rPr>
          <w:rFonts w:ascii="宋体" w:hAnsi="宋体"/>
          <w:szCs w:val="24"/>
        </w:rPr>
      </w:pPr>
      <w:r>
        <w:rPr>
          <w:rFonts w:hint="eastAsia" w:ascii="宋体" w:hAnsi="宋体"/>
          <w:szCs w:val="24"/>
        </w:rPr>
        <w:t>统筹城市发展布局、功能分区、用地配置和交通发展，倡导公共交通支撑和引导城市发展的规划模式。城市综合交通规划应明确公共交通优先发展原则，统筹重大交通基础设施建设，合理配置和利用各种交通资源。建议政府出台相关保障政策，落实各种公共交通方式的功能分工，加强与个体机动化交通以及步行、自行车出行的协调，促进城市内外交通便利衔接和城乡公共交通一体化发展。</w:t>
      </w:r>
    </w:p>
    <w:p>
      <w:pPr>
        <w:ind w:firstLine="482"/>
        <w:rPr>
          <w:rFonts w:cs="Times New Roman"/>
          <w:b/>
          <w:szCs w:val="24"/>
        </w:rPr>
      </w:pPr>
      <w:r>
        <w:rPr>
          <w:rFonts w:cs="Times New Roman"/>
          <w:b/>
          <w:szCs w:val="24"/>
        </w:rPr>
        <w:t>6.</w:t>
      </w:r>
      <w:r>
        <w:rPr>
          <w:rFonts w:hint="eastAsia" w:cs="Times New Roman"/>
          <w:b/>
          <w:szCs w:val="24"/>
        </w:rPr>
        <w:t>城市控制性详细规划要与城市综合交通规划和公共交通规划相互衔接</w:t>
      </w:r>
    </w:p>
    <w:p>
      <w:pPr>
        <w:ind w:firstLine="480"/>
        <w:rPr>
          <w:rFonts w:ascii="宋体" w:hAnsi="宋体"/>
          <w:szCs w:val="24"/>
        </w:rPr>
      </w:pPr>
      <w:r>
        <w:rPr>
          <w:rFonts w:hint="eastAsia" w:ascii="宋体" w:hAnsi="宋体"/>
          <w:szCs w:val="24"/>
        </w:rPr>
        <w:t>加强公共交通用地监管，改变土地用途的由政府收回后重新供应用于公共交通基础设施建设。对新建公共交通设施用地的地上、地下空间，按照市场化原则实施土地综合开发。建议政府制定公交优先发展的纲领性文件，与城市控制性详细规划相结合，共同为公共交通发展保驾护航。</w:t>
      </w:r>
    </w:p>
    <w:p>
      <w:pPr>
        <w:ind w:firstLine="482"/>
        <w:rPr>
          <w:rFonts w:cs="Times New Roman"/>
          <w:b/>
          <w:szCs w:val="24"/>
        </w:rPr>
      </w:pPr>
      <w:r>
        <w:rPr>
          <w:rFonts w:cs="Times New Roman"/>
          <w:b/>
          <w:szCs w:val="24"/>
        </w:rPr>
        <w:t>7.</w:t>
      </w:r>
      <w:r>
        <w:rPr>
          <w:rFonts w:hint="eastAsia" w:cs="Times New Roman"/>
          <w:b/>
          <w:szCs w:val="24"/>
        </w:rPr>
        <w:t>对于规划新建的站场设施，地方政府应给予政策支持</w:t>
      </w:r>
    </w:p>
    <w:p>
      <w:pPr>
        <w:ind w:firstLine="480"/>
        <w:rPr>
          <w:rFonts w:ascii="宋体" w:hAnsi="宋体"/>
          <w:szCs w:val="24"/>
        </w:rPr>
      </w:pPr>
      <w:r>
        <w:rPr>
          <w:rFonts w:hint="eastAsia" w:ascii="宋体" w:hAnsi="宋体"/>
          <w:szCs w:val="24"/>
        </w:rPr>
        <w:t>2016年2月初，财政部、国家税务总局联合发布《关于对城市公交站场道路客运站场城市轨道交通系统城镇土地使用税优惠政策的通知》（简称《通知》）。《通知》指出，从今年起对城市公交站场、道路客运站场、城市轨道交通系统运营用地，免征城镇土地使用税，执行期限为2016年1月1日至2018年12月31日。城市公交站场运营用地包括城市公交首末车站、停车场、保养场、站场办公用地、生产辅助用地。建议地方政府积极落实国家政策，并出台更多适合本地的优惠减免政策，以保证公交站场的顺利建设和利用。</w:t>
      </w:r>
    </w:p>
    <w:p>
      <w:pPr>
        <w:pStyle w:val="4"/>
      </w:pPr>
      <w:bookmarkStart w:id="253" w:name="_Toc345957647"/>
      <w:bookmarkStart w:id="254" w:name="_Toc518573732"/>
      <w:r>
        <w:t>12.</w:t>
      </w:r>
      <w:r>
        <w:rPr>
          <w:rFonts w:hint="eastAsia"/>
        </w:rPr>
        <w:t>3</w:t>
      </w:r>
      <w:r>
        <w:t xml:space="preserve"> 资金保障</w:t>
      </w:r>
      <w:bookmarkEnd w:id="253"/>
      <w:bookmarkEnd w:id="254"/>
    </w:p>
    <w:p>
      <w:pPr>
        <w:ind w:firstLine="480"/>
        <w:rPr>
          <w:rFonts w:ascii="宋体" w:hAnsi="宋体"/>
          <w:szCs w:val="24"/>
        </w:rPr>
      </w:pPr>
      <w:r>
        <w:rPr>
          <w:rFonts w:hint="eastAsia" w:ascii="宋体" w:hAnsi="宋体"/>
          <w:szCs w:val="24"/>
        </w:rPr>
        <w:t>城市公交是基础性、服务性、非盈利性行业。公交运营收入难以抵消较大的建设及管理成本，因而为保障资阳市城市公交的稳定发展，必须有稳定充足的资金作为保障。目前，为实现资阳市各大功能组团公交基础设施的合理覆盖，资阳市城市公交基础设施的建设任务较重，站点站台设施、大型首末站、枢纽站的建设刚刚起步，信息化的逐步普及，车辆的购置以及各种基础设施的维护和改建任务日益增加；</w:t>
      </w:r>
      <w:r>
        <w:rPr>
          <w:rFonts w:ascii="宋体" w:hAnsi="宋体"/>
          <w:szCs w:val="24"/>
        </w:rPr>
        <w:t>导致</w:t>
      </w:r>
      <w:r>
        <w:rPr>
          <w:rFonts w:hint="eastAsia" w:ascii="宋体" w:hAnsi="宋体"/>
          <w:szCs w:val="24"/>
        </w:rPr>
        <w:t>资阳市</w:t>
      </w:r>
      <w:r>
        <w:rPr>
          <w:rFonts w:ascii="宋体" w:hAnsi="宋体"/>
          <w:szCs w:val="24"/>
        </w:rPr>
        <w:t>公共交通的投资规模将长</w:t>
      </w:r>
      <w:r>
        <w:rPr>
          <w:rFonts w:hint="eastAsia" w:ascii="宋体" w:hAnsi="宋体"/>
          <w:szCs w:val="24"/>
        </w:rPr>
        <w:t>期维持在较高水平上。城市公交又是普遍性服务，</w:t>
      </w:r>
      <w:r>
        <w:rPr>
          <w:rFonts w:ascii="宋体" w:hAnsi="宋体"/>
          <w:szCs w:val="24"/>
        </w:rPr>
        <w:t>是广大市民的基本出行保</w:t>
      </w:r>
      <w:r>
        <w:rPr>
          <w:rFonts w:hint="eastAsia" w:ascii="宋体" w:hAnsi="宋体"/>
          <w:szCs w:val="24"/>
        </w:rPr>
        <w:t>障，更加需要以大量资金支持作为基本保障。</w:t>
      </w:r>
    </w:p>
    <w:p>
      <w:pPr>
        <w:ind w:firstLine="480"/>
        <w:rPr>
          <w:rFonts w:ascii="宋体" w:hAnsi="宋体"/>
          <w:szCs w:val="24"/>
        </w:rPr>
      </w:pPr>
      <w:r>
        <w:rPr>
          <w:rFonts w:hint="eastAsia" w:ascii="宋体" w:hAnsi="宋体"/>
          <w:szCs w:val="24"/>
        </w:rPr>
        <w:t>综上可知，</w:t>
      </w:r>
      <w:r>
        <w:rPr>
          <w:rFonts w:ascii="宋体" w:hAnsi="宋体"/>
          <w:szCs w:val="24"/>
        </w:rPr>
        <w:t>资金保障体系是</w:t>
      </w:r>
      <w:r>
        <w:rPr>
          <w:rFonts w:hint="eastAsia" w:ascii="宋体" w:hAnsi="宋体"/>
          <w:szCs w:val="24"/>
        </w:rPr>
        <w:t>资阳市</w:t>
      </w:r>
      <w:r>
        <w:rPr>
          <w:rFonts w:ascii="宋体" w:hAnsi="宋体"/>
          <w:szCs w:val="24"/>
        </w:rPr>
        <w:t>城市公交发展的支撑保障体系中不可</w:t>
      </w:r>
      <w:r>
        <w:rPr>
          <w:rFonts w:hint="eastAsia" w:ascii="宋体" w:hAnsi="宋体"/>
          <w:szCs w:val="24"/>
        </w:rPr>
        <w:t>缺少的重要组成部分。建立稳定的城市公交发展资金支持体系，是资阳市城市公交基础设施建设稳定发展的前提，</w:t>
      </w:r>
      <w:r>
        <w:rPr>
          <w:rFonts w:ascii="宋体" w:hAnsi="宋体"/>
          <w:szCs w:val="24"/>
        </w:rPr>
        <w:t>是保障</w:t>
      </w:r>
      <w:r>
        <w:rPr>
          <w:rFonts w:hint="eastAsia" w:ascii="宋体" w:hAnsi="宋体"/>
          <w:szCs w:val="24"/>
        </w:rPr>
        <w:t>资阳市</w:t>
      </w:r>
      <w:r>
        <w:rPr>
          <w:rFonts w:ascii="宋体" w:hAnsi="宋体"/>
          <w:szCs w:val="24"/>
        </w:rPr>
        <w:t>城市公交服务质量</w:t>
      </w:r>
      <w:r>
        <w:rPr>
          <w:rFonts w:hint="eastAsia" w:ascii="宋体" w:hAnsi="宋体"/>
          <w:szCs w:val="24"/>
        </w:rPr>
        <w:t>的基础，是维持资阳市城市公交系统正常运营的重要条件。</w:t>
      </w:r>
    </w:p>
    <w:p>
      <w:pPr>
        <w:ind w:firstLine="480"/>
        <w:rPr>
          <w:rFonts w:cs="Times New Roman"/>
          <w:szCs w:val="24"/>
        </w:rPr>
      </w:pPr>
      <w:r>
        <w:rPr>
          <w:rFonts w:cs="Times New Roman"/>
          <w:szCs w:val="24"/>
        </w:rPr>
        <w:t>政府财政资金方面应给与以下几点保障：</w:t>
      </w:r>
    </w:p>
    <w:p>
      <w:pPr>
        <w:ind w:firstLine="480"/>
        <w:rPr>
          <w:rFonts w:cs="Times New Roman"/>
          <w:szCs w:val="24"/>
        </w:rPr>
      </w:pPr>
      <w:r>
        <w:rPr>
          <w:rFonts w:cs="Times New Roman"/>
          <w:szCs w:val="24"/>
        </w:rPr>
        <w:sym w:font="Wingdings" w:char="F081"/>
      </w:r>
      <w:r>
        <w:rPr>
          <w:rFonts w:cs="Times New Roman"/>
          <w:szCs w:val="24"/>
        </w:rPr>
        <w:t>加强城市公交建设资金的精细化管理，最大限度争取上级财政与专项投资，并提高城市公交建设资金使用效率。</w:t>
      </w:r>
    </w:p>
    <w:p>
      <w:pPr>
        <w:ind w:firstLine="480"/>
        <w:rPr>
          <w:rFonts w:cs="Times New Roman"/>
          <w:szCs w:val="24"/>
        </w:rPr>
      </w:pPr>
      <w:r>
        <w:rPr>
          <w:rFonts w:cs="Times New Roman"/>
          <w:szCs w:val="24"/>
        </w:rPr>
        <w:sym w:font="Wingdings" w:char="F082"/>
      </w:r>
      <w:r>
        <w:rPr>
          <w:rFonts w:cs="Times New Roman"/>
          <w:szCs w:val="24"/>
        </w:rPr>
        <w:t>政府财政部门应投入先期的建设资金与养护、管理资金，大力扶持本地公交企业的建设，整合现有公交资源，改善公交基础设施。建议由市财政局牵头组织相关部门定期对公司经营成本进行审计，共同研究提出公交补贴政策方案；在首次审计前</w:t>
      </w:r>
      <w:r>
        <w:rPr>
          <w:rFonts w:hint="eastAsia" w:cs="Times New Roman"/>
          <w:szCs w:val="24"/>
        </w:rPr>
        <w:t>，</w:t>
      </w:r>
      <w:r>
        <w:rPr>
          <w:rFonts w:cs="Times New Roman"/>
          <w:szCs w:val="24"/>
        </w:rPr>
        <w:t>暂时参照2017年公交主营亏损标准</w:t>
      </w:r>
      <w:r>
        <w:rPr>
          <w:rFonts w:hint="eastAsia" w:cs="Times New Roman"/>
          <w:szCs w:val="24"/>
        </w:rPr>
        <w:t>分</w:t>
      </w:r>
      <w:r>
        <w:rPr>
          <w:rFonts w:cs="Times New Roman"/>
          <w:szCs w:val="24"/>
        </w:rPr>
        <w:t>季度预</w:t>
      </w:r>
      <w:r>
        <w:rPr>
          <w:rFonts w:hint="eastAsia" w:cs="Times New Roman"/>
          <w:szCs w:val="24"/>
        </w:rPr>
        <w:t>拨资金</w:t>
      </w:r>
      <w:r>
        <w:rPr>
          <w:rFonts w:cs="Times New Roman"/>
          <w:szCs w:val="24"/>
        </w:rPr>
        <w:t>，预拨资金</w:t>
      </w:r>
      <w:r>
        <w:rPr>
          <w:rFonts w:hint="eastAsia" w:cs="Times New Roman"/>
          <w:szCs w:val="24"/>
        </w:rPr>
        <w:t>在审定的亏损补贴中扣除</w:t>
      </w:r>
      <w:r>
        <w:rPr>
          <w:rFonts w:cs="Times New Roman"/>
          <w:szCs w:val="24"/>
        </w:rPr>
        <w:t>。</w:t>
      </w:r>
    </w:p>
    <w:p>
      <w:pPr>
        <w:ind w:firstLine="480"/>
        <w:rPr>
          <w:rFonts w:cs="Times New Roman"/>
          <w:szCs w:val="24"/>
        </w:rPr>
      </w:pPr>
      <w:r>
        <w:rPr>
          <w:rFonts w:cs="Times New Roman"/>
          <w:szCs w:val="24"/>
        </w:rPr>
        <w:sym w:font="Wingdings" w:char="F083"/>
      </w:r>
      <w:r>
        <w:rPr>
          <w:rFonts w:cs="Times New Roman"/>
          <w:szCs w:val="24"/>
        </w:rPr>
        <w:t>在日常运营中应给予相应的公益性补贴，如老人免费，学生卡等，并可考虑逐步实现换乘优惠政策，以普及IC卡和无人售票机制。</w:t>
      </w:r>
      <w:r>
        <w:rPr>
          <w:rFonts w:hint="eastAsia" w:cs="Times New Roman"/>
          <w:szCs w:val="24"/>
        </w:rPr>
        <w:t>如</w:t>
      </w:r>
      <w:r>
        <w:rPr>
          <w:rFonts w:cs="Times New Roman"/>
          <w:szCs w:val="24"/>
        </w:rPr>
        <w:t>资阳市公交卡可实行学生卡5折、普通市民卡8折，并同步实施城市公交一小时内免费第二次换乘优惠政策。</w:t>
      </w:r>
    </w:p>
    <w:p>
      <w:pPr>
        <w:ind w:firstLine="480"/>
        <w:rPr>
          <w:rFonts w:ascii="宋体" w:hAnsi="宋体"/>
          <w:szCs w:val="24"/>
        </w:rPr>
      </w:pPr>
      <w:r>
        <w:rPr>
          <w:rFonts w:hint="eastAsia" w:ascii="宋体" w:hAnsi="宋体"/>
          <w:szCs w:val="24"/>
        </w:rPr>
        <w:sym w:font="Wingdings" w:char="F084"/>
      </w:r>
      <w:r>
        <w:rPr>
          <w:rFonts w:hint="eastAsia" w:ascii="宋体" w:hAnsi="宋体"/>
          <w:szCs w:val="24"/>
        </w:rPr>
        <w:t>政府应积极落实国家有关燃油补贴政策，并根据当地财政情况给予合理、适当的补贴。</w:t>
      </w:r>
    </w:p>
    <w:p>
      <w:pPr>
        <w:ind w:firstLine="480"/>
        <w:rPr>
          <w:rFonts w:ascii="宋体" w:hAnsi="宋体"/>
          <w:szCs w:val="24"/>
        </w:rPr>
      </w:pPr>
      <w:r>
        <w:rPr>
          <w:rFonts w:hint="eastAsia" w:ascii="宋体" w:hAnsi="宋体"/>
          <w:szCs w:val="24"/>
        </w:rPr>
        <w:sym w:font="Wingdings" w:char="F085"/>
      </w:r>
      <w:r>
        <w:rPr>
          <w:rFonts w:hint="eastAsia" w:ascii="宋体" w:hAnsi="宋体"/>
          <w:szCs w:val="24"/>
        </w:rPr>
        <w:t>按比例对于新增车辆提供购置补贴，</w:t>
      </w:r>
      <w:r>
        <w:rPr>
          <w:rFonts w:ascii="宋体" w:hAnsi="宋体"/>
          <w:szCs w:val="24"/>
        </w:rPr>
        <w:t>一些城市化水平参差不齐的城乡路</w:t>
      </w:r>
      <w:r>
        <w:rPr>
          <w:rFonts w:hint="eastAsia" w:ascii="宋体" w:hAnsi="宋体"/>
          <w:szCs w:val="24"/>
        </w:rPr>
        <w:t>因沿途客流较少或较分散而效益不好，政府也应给予补贴。</w:t>
      </w:r>
    </w:p>
    <w:p>
      <w:pPr>
        <w:ind w:firstLine="480" w:firstLineChars="0"/>
        <w:rPr>
          <w:rFonts w:ascii="宋体" w:hAnsi="宋体"/>
          <w:szCs w:val="24"/>
        </w:rPr>
      </w:pPr>
      <w:r>
        <w:rPr>
          <w:rFonts w:hint="eastAsia" w:ascii="宋体" w:hAnsi="宋体"/>
          <w:szCs w:val="24"/>
        </w:rPr>
        <w:sym w:font="Wingdings" w:char="F086"/>
      </w:r>
      <w:r>
        <w:rPr>
          <w:rFonts w:hint="eastAsia" w:ascii="宋体" w:hAnsi="宋体"/>
          <w:szCs w:val="24"/>
        </w:rPr>
        <w:t>拓宽投资渠道，推进公共交通投融资体制改革，进一步发挥市场机制的作用。支持公共交通企业利用优质存量资产通过特许经营、战略投资、信托投资、股权融资等多种形式，吸引和鼓励社会资金参与公共交通基础设施建设和运营，在市场准入机制和优惠扶持政策方面，对各类投资主体同等对待。公共交通企业可以开展与运输服务主业相关的其他经营业务，改善企业财务状况，增强市场融资能力。要加强银企合作，创新金融服务，为城市公共交通发展提供优质、低成本的融资服务。</w:t>
      </w:r>
    </w:p>
    <w:p>
      <w:pPr>
        <w:ind w:firstLine="480"/>
        <w:rPr>
          <w:rFonts w:ascii="宋体" w:hAnsi="宋体"/>
          <w:szCs w:val="24"/>
        </w:rPr>
      </w:pPr>
      <w:r>
        <w:rPr>
          <w:rFonts w:hint="eastAsia" w:ascii="宋体" w:hAnsi="宋体"/>
          <w:szCs w:val="24"/>
        </w:rPr>
        <w:sym w:font="Wingdings" w:char="F087"/>
      </w:r>
      <w:r>
        <w:rPr>
          <w:rFonts w:hint="eastAsia" w:ascii="宋体" w:hAnsi="宋体"/>
          <w:szCs w:val="24"/>
        </w:rPr>
        <w:t>设立专项资金，设立城市公共交通发展专项资金，用于综合客运枢纽、场站建设、信息系统建设，以及公交经营企业经营补助及减（免）费乘车的政策性补助等。积极向交通运输部、交通运输厅等争取建设资金，除上级补助资金外，需政府配套资金扶持的项目，由市交通运输部门按资金数额配套报市人民政府批复，纳入当年财政预算管理之中，场站项目资金为专项专用，同时建立支出、管理、监督体系。</w:t>
      </w:r>
    </w:p>
    <w:p>
      <w:pPr>
        <w:pStyle w:val="4"/>
      </w:pPr>
      <w:bookmarkStart w:id="255" w:name="_Toc345957648"/>
      <w:bookmarkStart w:id="256" w:name="_Toc518573733"/>
      <w:r>
        <w:t>12.</w:t>
      </w:r>
      <w:r>
        <w:rPr>
          <w:rFonts w:hint="eastAsia"/>
        </w:rPr>
        <w:t>4</w:t>
      </w:r>
      <w:r>
        <w:t xml:space="preserve"> 人才保障</w:t>
      </w:r>
      <w:bookmarkEnd w:id="255"/>
      <w:bookmarkEnd w:id="256"/>
    </w:p>
    <w:p>
      <w:pPr>
        <w:ind w:firstLine="480"/>
      </w:pPr>
      <w:r>
        <w:rPr>
          <w:rFonts w:hint="eastAsia"/>
        </w:rPr>
        <w:t>随着社会的进步、科技水平的提高，人们对出行质量的要求也越来越高。针对城市公交运营发展出现的大量新情况、新问题，首先必须依靠具有创新思维和创新能力的高层次、</w:t>
      </w:r>
      <w:r>
        <w:t>高技能创新人才，解决城市交通系统中公共交通发展的瓶颈，</w:t>
      </w:r>
      <w:r>
        <w:rPr>
          <w:rFonts w:hint="eastAsia"/>
        </w:rPr>
        <w:t>以及灵活运用交通专业知识改善城市公交服务质量；其二，交通行业是一个劳动密集型行业，从业人员中</w:t>
      </w:r>
      <w:r>
        <w:t>90%以上在城市交通运营和运输服务等一线工作，其素</w:t>
      </w:r>
      <w:r>
        <w:rPr>
          <w:rFonts w:hint="eastAsia"/>
        </w:rPr>
        <w:t>质和能力在很大程度上决定了城市交通服务质量和效益；其三，交通行业特别是城市公交，是基础性、服务性行业，也是专定技术性很强的行业，公共交通行业管理需要大量既懂行政管理，又掌握公交行业相关专业技术的领导型人才，把行业的工作重点转向服务业，正确引导行业健康快速地向现代城市交通业迈进。综合以上三点，实现城市公交快速合理发展，关键是要</w:t>
      </w:r>
      <w:r>
        <w:t>加快建设一支数量充足、结构合理、素质较高，能够适应交通发展的经营管理人才、专业技术人才和技能人才等为主体的人才队伍，特别是青年人才队伍</w:t>
      </w:r>
      <w:r>
        <w:rPr>
          <w:rFonts w:hint="eastAsia"/>
        </w:rPr>
        <w:t>。</w:t>
      </w:r>
      <w:r>
        <w:t>近年来，</w:t>
      </w:r>
      <w:r>
        <w:rPr>
          <w:rFonts w:hint="eastAsia"/>
        </w:rPr>
        <w:t>资阳</w:t>
      </w:r>
      <w:r>
        <w:t>市逐年提升的交通发展需要与职工队伍素质不高的矛盾日益突出。正确认识交通人才队伍建设的现状，加强体制机制改革，</w:t>
      </w:r>
      <w:r>
        <w:rPr>
          <w:rFonts w:hint="eastAsia"/>
        </w:rPr>
        <w:t>对于资阳市城市公交发展人才保障建设的意义重大。</w:t>
      </w:r>
    </w:p>
    <w:p>
      <w:pPr>
        <w:ind w:firstLine="480"/>
      </w:pPr>
      <w:r>
        <w:rPr>
          <w:rFonts w:hint="eastAsia"/>
        </w:rPr>
        <w:t>目前，资阳市公共交通系统尚未形成专业素质较强的技术、管理队伍，信息化建设方面也缺少专业的人员。主要原因是：</w:t>
      </w:r>
    </w:p>
    <w:p>
      <w:pPr>
        <w:ind w:firstLine="480"/>
      </w:pPr>
      <w:r>
        <w:t>（一）对人才队伍建设重要性的认识不足。主要表现在：一是没有落实好人才队伍建设方面的相关要求，普遍存在着重生产任务、轻人才培养的现象。二是重使用、轻培养开发，现有的人才管理、培养机制已不能适应交通发展需要</w:t>
      </w:r>
      <w:r>
        <w:rPr>
          <w:rFonts w:hint="eastAsia"/>
        </w:rPr>
        <w:t>；</w:t>
      </w:r>
    </w:p>
    <w:p>
      <w:pPr>
        <w:ind w:firstLine="480"/>
        <w:rPr>
          <w:rFonts w:ascii="宋体" w:hAnsi="宋体"/>
        </w:rPr>
      </w:pPr>
      <w:r>
        <w:t>（二）人才激励机制不到位。尊重人才、争当人才的氛围</w:t>
      </w:r>
      <w:r>
        <w:rPr>
          <w:rFonts w:ascii="宋体" w:hAnsi="宋体"/>
        </w:rPr>
        <w:t>不浓，“学得会、讨得累、责任大”的现象普遍存在</w:t>
      </w:r>
      <w:r>
        <w:rPr>
          <w:rFonts w:hint="eastAsia" w:ascii="宋体" w:hAnsi="宋体"/>
        </w:rPr>
        <w:t>；</w:t>
      </w:r>
    </w:p>
    <w:p>
      <w:pPr>
        <w:ind w:firstLine="480"/>
      </w:pPr>
      <w:r>
        <w:t>（三）人才的选拔、评价缺少标准和制度。基层管理人的选拔工作缺少相关制度和要求，透明度差</w:t>
      </w:r>
      <w:r>
        <w:rPr>
          <w:rFonts w:hint="eastAsia"/>
        </w:rPr>
        <w:t>；</w:t>
      </w:r>
    </w:p>
    <w:p>
      <w:pPr>
        <w:ind w:firstLine="480"/>
      </w:pPr>
      <w:r>
        <w:t>（四）人才培养机制不健全。培养模式少，培训质量不高，后备人才队伍管理滞后，重要岗位、技术含量较高的岗位年轻人才补充不及时，出现断档现象。</w:t>
      </w:r>
    </w:p>
    <w:p>
      <w:pPr>
        <w:ind w:firstLine="480"/>
      </w:pPr>
      <w:r>
        <w:rPr>
          <w:rFonts w:hint="eastAsia"/>
        </w:rPr>
        <w:t>在未来的发展阶段中，资阳市公共交通系统人才保障应从以下几个方面做起：</w:t>
      </w:r>
    </w:p>
    <w:p>
      <w:pPr>
        <w:ind w:firstLine="480"/>
      </w:pPr>
      <w:r>
        <w:t>（一）</w:t>
      </w:r>
      <w:r>
        <w:rPr>
          <w:rFonts w:hint="eastAsia"/>
        </w:rPr>
        <w:t>定期对职工进行专业技术培训，培养一批专业技能强、文化素质高的公交驾驶员与公交服务人员，为提高公共交通的服务质量作保证；</w:t>
      </w:r>
    </w:p>
    <w:p>
      <w:pPr>
        <w:ind w:firstLine="480"/>
      </w:pPr>
      <w:r>
        <w:t>（二）</w:t>
      </w:r>
      <w:r>
        <w:rPr>
          <w:rFonts w:hint="eastAsia"/>
        </w:rPr>
        <w:t>在相关政府部门的协助下，引进专业技术人才，尤其是为公交系统信息化的建设引进</w:t>
      </w:r>
      <w:r>
        <w:t>IT人才，促进公交信息管理系统</w:t>
      </w:r>
      <w:r>
        <w:rPr>
          <w:rFonts w:hint="eastAsia"/>
        </w:rPr>
        <w:t>建立，保证</w:t>
      </w:r>
      <w:r>
        <w:t>公交查询网站</w:t>
      </w:r>
      <w:r>
        <w:rPr>
          <w:rFonts w:hint="eastAsia"/>
        </w:rPr>
        <w:t>能够进行定期更新维护工作；</w:t>
      </w:r>
    </w:p>
    <w:p>
      <w:pPr>
        <w:ind w:firstLine="480"/>
      </w:pPr>
      <w:r>
        <w:t>（三）</w:t>
      </w:r>
      <w:r>
        <w:rPr>
          <w:rFonts w:hint="eastAsia"/>
        </w:rPr>
        <w:t>充分重视城市公交行业技能人才培养，</w:t>
      </w:r>
      <w:r>
        <w:t>以确保企业大部分员工均能对</w:t>
      </w:r>
      <w:r>
        <w:rPr>
          <w:rFonts w:hint="eastAsia"/>
        </w:rPr>
        <w:t>本公司的公交信息系统有着全面的了解和熟练的掌握，使得公司上下管理、内外调度都能向着信息化、智能化、科学化的方向发展。</w:t>
      </w:r>
    </w:p>
    <w:p>
      <w:pPr>
        <w:pStyle w:val="4"/>
      </w:pPr>
      <w:bookmarkStart w:id="257" w:name="_Toc518573734"/>
      <w:r>
        <w:t>12.</w:t>
      </w:r>
      <w:r>
        <w:rPr>
          <w:rFonts w:hint="eastAsia"/>
        </w:rPr>
        <w:t>5</w:t>
      </w:r>
      <w:r>
        <w:t xml:space="preserve"> </w:t>
      </w:r>
      <w:r>
        <w:rPr>
          <w:rFonts w:hint="eastAsia"/>
        </w:rPr>
        <w:t>用地</w:t>
      </w:r>
      <w:r>
        <w:t>保障</w:t>
      </w:r>
      <w:bookmarkEnd w:id="257"/>
    </w:p>
    <w:p>
      <w:pPr>
        <w:ind w:firstLine="480"/>
      </w:pPr>
      <w:r>
        <w:rPr>
          <w:rFonts w:hint="eastAsia"/>
        </w:rPr>
        <w:t>为保障常规公交用地的落实，资阳市将进一步加强交通、国土、规划、建设等部门间的沟通协调，严格用地指标控制，确保在城市用地配置上优先安排公交设施用地。积极推进公共交通用地综合立体开发，按照市场化原则充分发挥公交场站的影响力，提高公交场站的利用价值。深化城市建设项目交通影响评价制度，确保公共交通配套设施与城市建设项目主体工程的同步规划、同步设计、同步施工、同步验收、同步使用。</w:t>
      </w:r>
    </w:p>
    <w:p>
      <w:pPr>
        <w:ind w:firstLine="480"/>
      </w:pPr>
      <w:r>
        <w:rPr>
          <w:rFonts w:hint="eastAsia"/>
        </w:rPr>
        <w:t>由市政府牵头、部门协调、多渠道解决交通项目用地问题。实行交通项目用地指标优先、征地拆迁安置优先。在制定城乡总体规划、城乡控制性详细规划和土地利用规划时，市国土资源等部门要对纳入规划的综合客运枢纽、公路货运站场布局、公交枢纽、停保场、公交首末站、中途停靠站等基础设施给予用地保障，纳入交通运输重点项目计划，确保规划中的站场用地当年落实，土地当年划拨到位。对经规划确定并依法取得的基础设施用地，任何单位和部门不得随意挤占交通设施用地或改变土地使用性质，加强用地监管，确保交通设施建设落到实处。例如：关于办理公交首末站场土地产权的问题，原高铁公交站、书台路公交站尚未办理用地手续，高速公路公交站土地使用权已由国土部门收回。建议对于高铁站、书台路和高速公路首末站采取协议出让，出让价格经评估确定，由城市公交公司依法取得土地使用权；此外土地价款分期支付，取得的土地价款由市财政统筹安排，将取得的土地收益用于城市公交公司支付下一期土地款，并将全部收益及时安排至城市公交公司用于支持公交事业发展的项目建设。</w:t>
      </w:r>
    </w:p>
    <w:sectPr>
      <w:pgSz w:w="11906" w:h="16838"/>
      <w:pgMar w:top="1440" w:right="1800" w:bottom="1440" w:left="1800" w:header="737" w:footer="708" w:gutter="0"/>
      <w:cols w:space="708" w:num="1"/>
      <w:docGrid w:type="lines"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080E0000" w:usb2="00000000"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00000001" w:usb1="080E0000" w:usb2="00000000" w:usb3="00000000" w:csb0="00040000"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Lucida Sans"/>
    <w:panose1 w:val="020F0502020204030204"/>
    <w:charset w:val="00"/>
    <w:family w:val="swiss"/>
    <w:pitch w:val="default"/>
    <w:sig w:usb0="00000000" w:usb1="00000000" w:usb2="00000001" w:usb3="00000000" w:csb0="0000019F" w:csb1="00000000"/>
  </w:font>
  <w:font w:name="Cambria">
    <w:altName w:val="Shruti"/>
    <w:panose1 w:val="02040503050406030204"/>
    <w:charset w:val="00"/>
    <w:family w:val="roman"/>
    <w:pitch w:val="default"/>
    <w:sig w:usb0="00000000" w:usb1="00000000" w:usb2="00000000" w:usb3="00000000" w:csb0="0000019F" w:csb1="00000000"/>
  </w:font>
  <w:font w:name="仿宋_GB2312">
    <w:panose1 w:val="02010609030101010101"/>
    <w:charset w:val="86"/>
    <w:family w:val="modern"/>
    <w:pitch w:val="default"/>
    <w:sig w:usb0="00000001" w:usb1="080E0000" w:usb2="00000000" w:usb3="00000000" w:csb0="00040000" w:csb1="00000000"/>
  </w:font>
  <w:font w:name="等线 Light">
    <w:altName w:val="宋体"/>
    <w:panose1 w:val="02010600030101010101"/>
    <w:charset w:val="86"/>
    <w:family w:val="auto"/>
    <w:pitch w:val="default"/>
    <w:sig w:usb0="00000000" w:usb1="00000000" w:usb2="00000016" w:usb3="00000000" w:csb0="0004000F" w:csb1="00000000"/>
  </w:font>
  <w:font w:name="微软雅黑">
    <w:altName w:val="黑体"/>
    <w:panose1 w:val="020B0503020204020204"/>
    <w:charset w:val="86"/>
    <w:family w:val="swiss"/>
    <w:pitch w:val="default"/>
    <w:sig w:usb0="00000000" w:usb1="00000000" w:usb2="00000016" w:usb3="00000000" w:csb0="0004001F" w:csb1="00000000"/>
  </w:font>
  <w:font w:name="Tahoma">
    <w:panose1 w:val="020B0604030504040204"/>
    <w:charset w:val="00"/>
    <w:family w:val="swiss"/>
    <w:pitch w:val="default"/>
    <w:sig w:usb0="61007A87" w:usb1="80000000" w:usb2="00000008" w:usb3="00000000" w:csb0="200101FF" w:csb1="20280000"/>
  </w:font>
  <w:font w:name="华文细黑">
    <w:altName w:val="宋体"/>
    <w:panose1 w:val="02010600040101010101"/>
    <w:charset w:val="86"/>
    <w:family w:val="auto"/>
    <w:pitch w:val="default"/>
    <w:sig w:usb0="00000000" w:usb1="00000000" w:usb2="00000010" w:usb3="00000000" w:csb0="0004009F" w:csb1="00000000"/>
  </w:font>
  <w:font w:name="等线">
    <w:altName w:val="宋体"/>
    <w:panose1 w:val="02010600030101010101"/>
    <w:charset w:val="86"/>
    <w:family w:val="auto"/>
    <w:pitch w:val="default"/>
    <w:sig w:usb0="00000000" w:usb1="00000000" w:usb2="00000016" w:usb3="00000000" w:csb0="0004000F" w:csb1="00000000"/>
  </w:font>
  <w:font w:name="华文仿宋">
    <w:altName w:val="仿宋_GB2312"/>
    <w:panose1 w:val="02010600040101010101"/>
    <w:charset w:val="86"/>
    <w:family w:val="auto"/>
    <w:pitch w:val="default"/>
    <w:sig w:usb0="00000000" w:usb1="00000000" w:usb2="00000010" w:usb3="00000000" w:csb0="0004009F" w:csb1="00000000"/>
  </w:font>
  <w:font w:name="Lucida Sans">
    <w:panose1 w:val="020B0602030504020204"/>
    <w:charset w:val="00"/>
    <w:family w:val="auto"/>
    <w:pitch w:val="default"/>
    <w:sig w:usb0="00000000" w:usb1="00000000" w:usb2="00000000" w:usb3="00000000" w:csb0="00000000" w:csb1="00000000"/>
  </w:font>
  <w:font w:name="Shruti">
    <w:panose1 w:val="02000500000000000000"/>
    <w:charset w:val="00"/>
    <w:family w:val="auto"/>
    <w:pitch w:val="default"/>
    <w:sig w:usb0="0004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85095979"/>
    </w:sdtPr>
    <w:sdtContent>
      <w:p>
        <w:pPr>
          <w:pStyle w:val="58"/>
          <w:ind w:firstLine="360"/>
          <w:jc w:val="center"/>
        </w:pPr>
        <w:r>
          <w:fldChar w:fldCharType="begin"/>
        </w:r>
        <w:r>
          <w:instrText xml:space="preserve">PAGE   \* MERGEFORMAT</w:instrText>
        </w:r>
        <w:r>
          <w:fldChar w:fldCharType="separate"/>
        </w:r>
        <w:r>
          <w:rPr>
            <w:lang w:val="zh-CN"/>
          </w:rPr>
          <w:t>104</w:t>
        </w:r>
        <w:r>
          <w:fldChar w:fldCharType="end"/>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15173227"/>
      <w:docPartObj>
        <w:docPartGallery w:val="autotext"/>
      </w:docPartObj>
    </w:sdtPr>
    <w:sdtContent>
      <w:p>
        <w:pPr>
          <w:pStyle w:val="58"/>
          <w:ind w:firstLine="360"/>
          <w:jc w:val="center"/>
        </w:pPr>
        <w:r>
          <w:fldChar w:fldCharType="begin"/>
        </w:r>
        <w:r>
          <w:instrText xml:space="preserve">PAGE   \* MERGEFORMAT</w:instrText>
        </w:r>
        <w:r>
          <w:fldChar w:fldCharType="separate"/>
        </w:r>
        <w:r>
          <w:rPr>
            <w:lang w:val="zh-CN"/>
          </w:rPr>
          <w:t>131</w:t>
        </w:r>
        <w:r>
          <w:fldChar w:fldCharType="end"/>
        </w:r>
      </w:p>
    </w:sdtContent>
  </w:sdt>
  <w:p>
    <w:pPr>
      <w:pStyle w:val="58"/>
      <w:ind w:firstLine="360"/>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002388937"/>
    </w:sdtPr>
    <w:sdtContent>
      <w:p>
        <w:pPr>
          <w:pStyle w:val="58"/>
          <w:ind w:firstLine="360"/>
          <w:jc w:val="center"/>
        </w:pP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8"/>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pBdr>
        <w:bottom w:val="none" w:color="auto" w:sz="0" w:space="0"/>
      </w:pBdr>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ckThinSmallGap" w:color="auto" w:sz="18" w:space="1"/>
      </w:pBdr>
      <w:tabs>
        <w:tab w:val="center" w:pos="4156"/>
        <w:tab w:val="left" w:pos="6358"/>
        <w:tab w:val="right" w:pos="8306"/>
      </w:tabs>
      <w:spacing w:line="240" w:lineRule="auto"/>
      <w:ind w:firstLine="0" w:firstLineChars="0"/>
      <w:jc w:val="center"/>
      <w:rPr>
        <w:sz w:val="18"/>
        <w:szCs w:val="18"/>
      </w:rPr>
    </w:pPr>
    <w:r>
      <w:rPr>
        <w:rFonts w:hint="eastAsia"/>
        <w:sz w:val="18"/>
        <w:szCs w:val="18"/>
      </w:rPr>
      <w:t>资阳市中心城区常规公交发展规划（201</w:t>
    </w:r>
    <w:r>
      <w:rPr>
        <w:sz w:val="18"/>
        <w:szCs w:val="18"/>
      </w:rPr>
      <w:t>8</w:t>
    </w:r>
    <w:r>
      <w:rPr>
        <w:rFonts w:hint="eastAsia"/>
        <w:sz w:val="18"/>
        <w:szCs w:val="18"/>
      </w:rPr>
      <w:t>-20</w:t>
    </w:r>
    <w:r>
      <w:rPr>
        <w:sz w:val="18"/>
        <w:szCs w:val="18"/>
      </w:rPr>
      <w:t>3</w:t>
    </w:r>
    <w:r>
      <w:rPr>
        <w:rFonts w:hint="eastAsia"/>
        <w:sz w:val="18"/>
        <w:szCs w:val="18"/>
      </w:rPr>
      <w:t>0）</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ind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ind w:firstLine="36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thickThinSmallGap" w:color="auto" w:sz="18" w:space="1"/>
      </w:pBdr>
      <w:tabs>
        <w:tab w:val="center" w:pos="4156"/>
        <w:tab w:val="left" w:pos="6358"/>
        <w:tab w:val="right" w:pos="8306"/>
      </w:tabs>
      <w:spacing w:line="240" w:lineRule="auto"/>
      <w:ind w:firstLine="0" w:firstLineChars="0"/>
      <w:jc w:val="center"/>
      <w:rPr>
        <w:sz w:val="18"/>
        <w:szCs w:val="18"/>
      </w:rPr>
    </w:pPr>
    <w:r>
      <w:rPr>
        <w:rFonts w:hint="eastAsia"/>
        <w:sz w:val="18"/>
        <w:szCs w:val="18"/>
      </w:rPr>
      <w:t>资阳市城市公共交通发展规划（201</w:t>
    </w:r>
    <w:r>
      <w:rPr>
        <w:sz w:val="18"/>
        <w:szCs w:val="18"/>
      </w:rPr>
      <w:t>8</w:t>
    </w:r>
    <w:r>
      <w:rPr>
        <w:rFonts w:hint="eastAsia"/>
        <w:sz w:val="18"/>
        <w:szCs w:val="18"/>
      </w:rPr>
      <w:t>-20</w:t>
    </w:r>
    <w:r>
      <w:rPr>
        <w:sz w:val="18"/>
        <w:szCs w:val="18"/>
      </w:rPr>
      <w:t>3</w:t>
    </w:r>
    <w:r>
      <w:rPr>
        <w:rFonts w:hint="eastAsia"/>
        <w:sz w:val="18"/>
        <w:szCs w:val="18"/>
      </w:rPr>
      <w:t>0）</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ind w:firstLine="360"/>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1"/>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69"/>
      <w:lvlText w:val="%1."/>
      <w:lvlJc w:val="left"/>
      <w:pPr>
        <w:tabs>
          <w:tab w:val="left" w:pos="2040"/>
        </w:tabs>
        <w:ind w:left="2040" w:leftChars="800" w:hanging="360" w:hangingChars="200"/>
      </w:pPr>
    </w:lvl>
  </w:abstractNum>
  <w:abstractNum w:abstractNumId="1">
    <w:nsid w:val="FFFFFF7D"/>
    <w:multiLevelType w:val="singleLevel"/>
    <w:tmpl w:val="FFFFFF7D"/>
    <w:lvl w:ilvl="0" w:tentative="0">
      <w:start w:val="1"/>
      <w:numFmt w:val="decimal"/>
      <w:pStyle w:val="50"/>
      <w:lvlText w:val="%1."/>
      <w:lvlJc w:val="left"/>
      <w:pPr>
        <w:tabs>
          <w:tab w:val="left" w:pos="1620"/>
        </w:tabs>
        <w:ind w:left="1620" w:leftChars="600" w:hanging="360" w:hangingChars="200"/>
      </w:pPr>
    </w:lvl>
  </w:abstractNum>
  <w:abstractNum w:abstractNumId="2">
    <w:nsid w:val="FFFFFF7E"/>
    <w:multiLevelType w:val="singleLevel"/>
    <w:tmpl w:val="FFFFFF7E"/>
    <w:lvl w:ilvl="0" w:tentative="0">
      <w:start w:val="1"/>
      <w:numFmt w:val="decimal"/>
      <w:pStyle w:val="39"/>
      <w:lvlText w:val="%1."/>
      <w:lvlJc w:val="left"/>
      <w:pPr>
        <w:tabs>
          <w:tab w:val="left" w:pos="1200"/>
        </w:tabs>
        <w:ind w:left="1200" w:leftChars="400" w:hanging="360" w:hangingChars="200"/>
      </w:pPr>
    </w:lvl>
  </w:abstractNum>
  <w:abstractNum w:abstractNumId="3">
    <w:nsid w:val="FFFFFF7F"/>
    <w:multiLevelType w:val="singleLevel"/>
    <w:tmpl w:val="FFFFFF7F"/>
    <w:lvl w:ilvl="0" w:tentative="0">
      <w:start w:val="1"/>
      <w:numFmt w:val="decimal"/>
      <w:pStyle w:val="18"/>
      <w:lvlText w:val="%1."/>
      <w:lvlJc w:val="left"/>
      <w:pPr>
        <w:tabs>
          <w:tab w:val="left" w:pos="780"/>
        </w:tabs>
        <w:ind w:left="780" w:leftChars="200" w:hanging="360" w:hangingChars="200"/>
      </w:pPr>
    </w:lvl>
  </w:abstractNum>
  <w:abstractNum w:abstractNumId="4">
    <w:nsid w:val="FFFFFF80"/>
    <w:multiLevelType w:val="singleLevel"/>
    <w:tmpl w:val="FFFFFF80"/>
    <w:lvl w:ilvl="0" w:tentative="0">
      <w:start w:val="1"/>
      <w:numFmt w:val="bullet"/>
      <w:pStyle w:val="49"/>
      <w:lvlText w:val=""/>
      <w:lvlJc w:val="left"/>
      <w:pPr>
        <w:tabs>
          <w:tab w:val="left" w:pos="2040"/>
        </w:tabs>
        <w:ind w:left="2040" w:leftChars="800" w:hanging="360" w:hangingChars="200"/>
      </w:pPr>
      <w:rPr>
        <w:rFonts w:hint="default" w:ascii="Wingdings" w:hAnsi="Wingdings"/>
      </w:rPr>
    </w:lvl>
  </w:abstractNum>
  <w:abstractNum w:abstractNumId="5">
    <w:nsid w:val="FFFFFF81"/>
    <w:multiLevelType w:val="singleLevel"/>
    <w:tmpl w:val="FFFFFF81"/>
    <w:lvl w:ilvl="0" w:tentative="0">
      <w:start w:val="1"/>
      <w:numFmt w:val="bullet"/>
      <w:pStyle w:val="22"/>
      <w:lvlText w:val=""/>
      <w:lvlJc w:val="left"/>
      <w:pPr>
        <w:tabs>
          <w:tab w:val="left" w:pos="1620"/>
        </w:tabs>
        <w:ind w:left="1620" w:leftChars="600" w:hanging="360" w:hangingChars="200"/>
      </w:pPr>
      <w:rPr>
        <w:rFonts w:hint="default" w:ascii="Wingdings" w:hAnsi="Wingdings"/>
      </w:rPr>
    </w:lvl>
  </w:abstractNum>
  <w:abstractNum w:abstractNumId="6">
    <w:nsid w:val="FFFFFF82"/>
    <w:multiLevelType w:val="singleLevel"/>
    <w:tmpl w:val="FFFFFF82"/>
    <w:lvl w:ilvl="0" w:tentative="0">
      <w:start w:val="1"/>
      <w:numFmt w:val="bullet"/>
      <w:pStyle w:val="37"/>
      <w:lvlText w:val=""/>
      <w:lvlJc w:val="left"/>
      <w:pPr>
        <w:tabs>
          <w:tab w:val="left" w:pos="1200"/>
        </w:tabs>
        <w:ind w:left="1200" w:leftChars="400" w:hanging="360" w:hangingChars="200"/>
      </w:pPr>
      <w:rPr>
        <w:rFonts w:hint="default" w:ascii="Wingdings" w:hAnsi="Wingdings"/>
      </w:rPr>
    </w:lvl>
  </w:abstractNum>
  <w:abstractNum w:abstractNumId="7">
    <w:nsid w:val="FFFFFF83"/>
    <w:multiLevelType w:val="singleLevel"/>
    <w:tmpl w:val="FFFFFF83"/>
    <w:lvl w:ilvl="0" w:tentative="0">
      <w:start w:val="1"/>
      <w:numFmt w:val="bullet"/>
      <w:pStyle w:val="43"/>
      <w:lvlText w:val=""/>
      <w:lvlJc w:val="left"/>
      <w:pPr>
        <w:tabs>
          <w:tab w:val="left" w:pos="780"/>
        </w:tabs>
        <w:ind w:left="780" w:leftChars="200" w:hanging="360" w:hangingChars="200"/>
      </w:pPr>
      <w:rPr>
        <w:rFonts w:hint="default" w:ascii="Wingdings" w:hAnsi="Wingdings"/>
      </w:rPr>
    </w:lvl>
  </w:abstractNum>
  <w:abstractNum w:abstractNumId="8">
    <w:nsid w:val="FFFFFF88"/>
    <w:multiLevelType w:val="singleLevel"/>
    <w:tmpl w:val="FFFFFF88"/>
    <w:lvl w:ilvl="0" w:tentative="0">
      <w:start w:val="1"/>
      <w:numFmt w:val="decimal"/>
      <w:pStyle w:val="25"/>
      <w:lvlText w:val="%1."/>
      <w:lvlJc w:val="left"/>
      <w:pPr>
        <w:tabs>
          <w:tab w:val="left" w:pos="360"/>
        </w:tabs>
        <w:ind w:left="360" w:hanging="360" w:hangingChars="200"/>
      </w:pPr>
    </w:lvl>
  </w:abstractNum>
  <w:abstractNum w:abstractNumId="9">
    <w:nsid w:val="FFFFFF89"/>
    <w:multiLevelType w:val="singleLevel"/>
    <w:tmpl w:val="FFFFFF89"/>
    <w:lvl w:ilvl="0" w:tentative="0">
      <w:start w:val="1"/>
      <w:numFmt w:val="bullet"/>
      <w:pStyle w:val="29"/>
      <w:lvlText w:val=""/>
      <w:lvlJc w:val="left"/>
      <w:pPr>
        <w:tabs>
          <w:tab w:val="left" w:pos="360"/>
        </w:tabs>
        <w:ind w:left="360" w:hanging="360" w:hangingChars="200"/>
      </w:pPr>
      <w:rPr>
        <w:rFonts w:hint="default" w:ascii="Wingdings" w:hAnsi="Wingdings"/>
      </w:rPr>
    </w:lvl>
  </w:abstractNum>
  <w:abstractNum w:abstractNumId="10">
    <w:nsid w:val="1F5116BD"/>
    <w:multiLevelType w:val="multilevel"/>
    <w:tmpl w:val="1F5116BD"/>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abstractNum w:abstractNumId="11">
    <w:nsid w:val="32AB1049"/>
    <w:multiLevelType w:val="multilevel"/>
    <w:tmpl w:val="32AB1049"/>
    <w:lvl w:ilvl="0" w:tentative="0">
      <w:start w:val="1"/>
      <w:numFmt w:val="decimal"/>
      <w:pStyle w:val="133"/>
      <w:lvlText w:val="图5-%1 "/>
      <w:lvlJc w:val="center"/>
      <w:pPr>
        <w:tabs>
          <w:tab w:val="left" w:pos="567"/>
        </w:tabs>
        <w:ind w:left="0" w:firstLine="0"/>
      </w:pPr>
      <w:rPr>
        <w:rFonts w:hint="eastAsia" w:eastAsia="宋体"/>
        <w:b w:val="0"/>
        <w:i w:val="0"/>
        <w:kern w:val="10"/>
        <w:sz w:val="21"/>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2">
    <w:nsid w:val="747876D6"/>
    <w:multiLevelType w:val="multilevel"/>
    <w:tmpl w:val="747876D6"/>
    <w:lvl w:ilvl="0" w:tentative="0">
      <w:start w:val="1"/>
      <w:numFmt w:val="bullet"/>
      <w:lvlText w:val=""/>
      <w:lvlJc w:val="left"/>
      <w:pPr>
        <w:ind w:left="900" w:hanging="420"/>
      </w:pPr>
      <w:rPr>
        <w:rFonts w:hint="default" w:ascii="Wingdings" w:hAnsi="Wingdings"/>
      </w:rPr>
    </w:lvl>
    <w:lvl w:ilvl="1" w:tentative="0">
      <w:start w:val="1"/>
      <w:numFmt w:val="bullet"/>
      <w:lvlText w:val=""/>
      <w:lvlJc w:val="left"/>
      <w:pPr>
        <w:ind w:left="1320" w:hanging="420"/>
      </w:pPr>
      <w:rPr>
        <w:rFonts w:hint="default" w:ascii="Wingdings" w:hAnsi="Wingdings"/>
      </w:rPr>
    </w:lvl>
    <w:lvl w:ilvl="2" w:tentative="0">
      <w:start w:val="1"/>
      <w:numFmt w:val="bullet"/>
      <w:lvlText w:val=""/>
      <w:lvlJc w:val="left"/>
      <w:pPr>
        <w:ind w:left="1740" w:hanging="420"/>
      </w:pPr>
      <w:rPr>
        <w:rFonts w:hint="default" w:ascii="Wingdings" w:hAnsi="Wingdings"/>
      </w:rPr>
    </w:lvl>
    <w:lvl w:ilvl="3" w:tentative="0">
      <w:start w:val="1"/>
      <w:numFmt w:val="bullet"/>
      <w:lvlText w:val=""/>
      <w:lvlJc w:val="left"/>
      <w:pPr>
        <w:ind w:left="2160" w:hanging="420"/>
      </w:pPr>
      <w:rPr>
        <w:rFonts w:hint="default" w:ascii="Wingdings" w:hAnsi="Wingdings"/>
      </w:rPr>
    </w:lvl>
    <w:lvl w:ilvl="4" w:tentative="0">
      <w:start w:val="1"/>
      <w:numFmt w:val="bullet"/>
      <w:lvlText w:val=""/>
      <w:lvlJc w:val="left"/>
      <w:pPr>
        <w:ind w:left="2580" w:hanging="420"/>
      </w:pPr>
      <w:rPr>
        <w:rFonts w:hint="default" w:ascii="Wingdings" w:hAnsi="Wingdings"/>
      </w:rPr>
    </w:lvl>
    <w:lvl w:ilvl="5" w:tentative="0">
      <w:start w:val="1"/>
      <w:numFmt w:val="bullet"/>
      <w:lvlText w:val=""/>
      <w:lvlJc w:val="left"/>
      <w:pPr>
        <w:ind w:left="3000" w:hanging="420"/>
      </w:pPr>
      <w:rPr>
        <w:rFonts w:hint="default" w:ascii="Wingdings" w:hAnsi="Wingdings"/>
      </w:rPr>
    </w:lvl>
    <w:lvl w:ilvl="6" w:tentative="0">
      <w:start w:val="1"/>
      <w:numFmt w:val="bullet"/>
      <w:lvlText w:val=""/>
      <w:lvlJc w:val="left"/>
      <w:pPr>
        <w:ind w:left="3420" w:hanging="420"/>
      </w:pPr>
      <w:rPr>
        <w:rFonts w:hint="default" w:ascii="Wingdings" w:hAnsi="Wingdings"/>
      </w:rPr>
    </w:lvl>
    <w:lvl w:ilvl="7" w:tentative="0">
      <w:start w:val="1"/>
      <w:numFmt w:val="bullet"/>
      <w:lvlText w:val=""/>
      <w:lvlJc w:val="left"/>
      <w:pPr>
        <w:ind w:left="3840" w:hanging="420"/>
      </w:pPr>
      <w:rPr>
        <w:rFonts w:hint="default" w:ascii="Wingdings" w:hAnsi="Wingdings"/>
      </w:rPr>
    </w:lvl>
    <w:lvl w:ilvl="8" w:tentative="0">
      <w:start w:val="1"/>
      <w:numFmt w:val="bullet"/>
      <w:lvlText w:val=""/>
      <w:lvlJc w:val="left"/>
      <w:pPr>
        <w:ind w:left="4260" w:hanging="420"/>
      </w:pPr>
      <w:rPr>
        <w:rFonts w:hint="default" w:ascii="Wingdings" w:hAnsi="Wingdings"/>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1"/>
  </w:num>
  <w:num w:numId="12">
    <w:abstractNumId w:val="12"/>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2"/>
  <w:bordersDoNotSurroundHeader w:val="1"/>
  <w:bordersDoNotSurroundFooter w:val="1"/>
  <w:hideSpellingErrors/>
  <w:documentProtection w:enforcement="0"/>
  <w:defaultTabStop w:val="720"/>
  <w:drawingGridHorizontalSpacing w:val="120"/>
  <w:displayHorizontalDrawingGridEvery w:val="2"/>
  <w:displayVerticalDrawingGridEvery w:val="2"/>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1F03"/>
    <w:rsid w:val="000006FF"/>
    <w:rsid w:val="00000E07"/>
    <w:rsid w:val="00001E15"/>
    <w:rsid w:val="00003B90"/>
    <w:rsid w:val="0000661D"/>
    <w:rsid w:val="00010E73"/>
    <w:rsid w:val="000114CE"/>
    <w:rsid w:val="00012378"/>
    <w:rsid w:val="0001290F"/>
    <w:rsid w:val="00012AD0"/>
    <w:rsid w:val="0001346C"/>
    <w:rsid w:val="00013B0D"/>
    <w:rsid w:val="000141E1"/>
    <w:rsid w:val="00016349"/>
    <w:rsid w:val="00017D17"/>
    <w:rsid w:val="00017E40"/>
    <w:rsid w:val="0002239B"/>
    <w:rsid w:val="0002349F"/>
    <w:rsid w:val="00023918"/>
    <w:rsid w:val="00023A79"/>
    <w:rsid w:val="0002713A"/>
    <w:rsid w:val="0002713B"/>
    <w:rsid w:val="000275D5"/>
    <w:rsid w:val="000275EA"/>
    <w:rsid w:val="00030411"/>
    <w:rsid w:val="00030A6E"/>
    <w:rsid w:val="00031DF4"/>
    <w:rsid w:val="00032877"/>
    <w:rsid w:val="00036595"/>
    <w:rsid w:val="00040316"/>
    <w:rsid w:val="00041487"/>
    <w:rsid w:val="000418EE"/>
    <w:rsid w:val="00042075"/>
    <w:rsid w:val="00043002"/>
    <w:rsid w:val="000445DF"/>
    <w:rsid w:val="00045DE2"/>
    <w:rsid w:val="00045F78"/>
    <w:rsid w:val="00046F24"/>
    <w:rsid w:val="00047A91"/>
    <w:rsid w:val="00047EE2"/>
    <w:rsid w:val="00050781"/>
    <w:rsid w:val="000514CC"/>
    <w:rsid w:val="00051FAF"/>
    <w:rsid w:val="000537F8"/>
    <w:rsid w:val="00053B62"/>
    <w:rsid w:val="00054D5C"/>
    <w:rsid w:val="00054F78"/>
    <w:rsid w:val="00060BEB"/>
    <w:rsid w:val="00062459"/>
    <w:rsid w:val="000627B5"/>
    <w:rsid w:val="00062A0A"/>
    <w:rsid w:val="00066468"/>
    <w:rsid w:val="000709F4"/>
    <w:rsid w:val="00070A8D"/>
    <w:rsid w:val="00070B21"/>
    <w:rsid w:val="00071376"/>
    <w:rsid w:val="0007242C"/>
    <w:rsid w:val="00073970"/>
    <w:rsid w:val="00074B8E"/>
    <w:rsid w:val="00080613"/>
    <w:rsid w:val="00081369"/>
    <w:rsid w:val="000819F5"/>
    <w:rsid w:val="00082C4A"/>
    <w:rsid w:val="000833FC"/>
    <w:rsid w:val="00083413"/>
    <w:rsid w:val="00085156"/>
    <w:rsid w:val="00085710"/>
    <w:rsid w:val="00085FF0"/>
    <w:rsid w:val="00087047"/>
    <w:rsid w:val="000874F6"/>
    <w:rsid w:val="00091279"/>
    <w:rsid w:val="00093C5A"/>
    <w:rsid w:val="0009491B"/>
    <w:rsid w:val="000953F3"/>
    <w:rsid w:val="000954CA"/>
    <w:rsid w:val="000A0FCF"/>
    <w:rsid w:val="000A2C6D"/>
    <w:rsid w:val="000A34D3"/>
    <w:rsid w:val="000A40A0"/>
    <w:rsid w:val="000A4F7C"/>
    <w:rsid w:val="000A6142"/>
    <w:rsid w:val="000A6229"/>
    <w:rsid w:val="000A7268"/>
    <w:rsid w:val="000A72C9"/>
    <w:rsid w:val="000A7854"/>
    <w:rsid w:val="000B05EC"/>
    <w:rsid w:val="000B23C2"/>
    <w:rsid w:val="000B3582"/>
    <w:rsid w:val="000B47DA"/>
    <w:rsid w:val="000B5D13"/>
    <w:rsid w:val="000B628B"/>
    <w:rsid w:val="000B698A"/>
    <w:rsid w:val="000B7A09"/>
    <w:rsid w:val="000C2911"/>
    <w:rsid w:val="000C2D27"/>
    <w:rsid w:val="000C379D"/>
    <w:rsid w:val="000C5F96"/>
    <w:rsid w:val="000C5F9C"/>
    <w:rsid w:val="000C61D3"/>
    <w:rsid w:val="000D0979"/>
    <w:rsid w:val="000D0ADD"/>
    <w:rsid w:val="000D19EB"/>
    <w:rsid w:val="000D2646"/>
    <w:rsid w:val="000D4AC4"/>
    <w:rsid w:val="000D5AF9"/>
    <w:rsid w:val="000D6D4E"/>
    <w:rsid w:val="000D73A6"/>
    <w:rsid w:val="000E0830"/>
    <w:rsid w:val="000E0BDE"/>
    <w:rsid w:val="000E17B8"/>
    <w:rsid w:val="000E1919"/>
    <w:rsid w:val="000E1948"/>
    <w:rsid w:val="000E39DD"/>
    <w:rsid w:val="000E56E6"/>
    <w:rsid w:val="000E586A"/>
    <w:rsid w:val="000E74F5"/>
    <w:rsid w:val="000F0448"/>
    <w:rsid w:val="000F05D4"/>
    <w:rsid w:val="000F0F84"/>
    <w:rsid w:val="000F13F4"/>
    <w:rsid w:val="000F177E"/>
    <w:rsid w:val="000F2705"/>
    <w:rsid w:val="000F302C"/>
    <w:rsid w:val="000F363C"/>
    <w:rsid w:val="000F4497"/>
    <w:rsid w:val="000F4E8D"/>
    <w:rsid w:val="000F6476"/>
    <w:rsid w:val="000F6BCE"/>
    <w:rsid w:val="000F7778"/>
    <w:rsid w:val="00101C86"/>
    <w:rsid w:val="001022D6"/>
    <w:rsid w:val="00102D3B"/>
    <w:rsid w:val="001063A5"/>
    <w:rsid w:val="00106AFB"/>
    <w:rsid w:val="00106B7F"/>
    <w:rsid w:val="00106DF2"/>
    <w:rsid w:val="00110191"/>
    <w:rsid w:val="00110FFD"/>
    <w:rsid w:val="00111216"/>
    <w:rsid w:val="00111DF2"/>
    <w:rsid w:val="0011242E"/>
    <w:rsid w:val="001126E6"/>
    <w:rsid w:val="001140E8"/>
    <w:rsid w:val="00114232"/>
    <w:rsid w:val="0011732C"/>
    <w:rsid w:val="00117FE3"/>
    <w:rsid w:val="00120813"/>
    <w:rsid w:val="00120E92"/>
    <w:rsid w:val="00125932"/>
    <w:rsid w:val="001269F9"/>
    <w:rsid w:val="00126F96"/>
    <w:rsid w:val="0013132E"/>
    <w:rsid w:val="0013180B"/>
    <w:rsid w:val="001325BD"/>
    <w:rsid w:val="00132CF6"/>
    <w:rsid w:val="00133440"/>
    <w:rsid w:val="00133C4A"/>
    <w:rsid w:val="001344C8"/>
    <w:rsid w:val="001351F9"/>
    <w:rsid w:val="001352E5"/>
    <w:rsid w:val="00135BEF"/>
    <w:rsid w:val="001411D5"/>
    <w:rsid w:val="00141304"/>
    <w:rsid w:val="001465FA"/>
    <w:rsid w:val="0014663D"/>
    <w:rsid w:val="001468E8"/>
    <w:rsid w:val="00147226"/>
    <w:rsid w:val="0015021F"/>
    <w:rsid w:val="00150A48"/>
    <w:rsid w:val="00152604"/>
    <w:rsid w:val="001526BF"/>
    <w:rsid w:val="001532E2"/>
    <w:rsid w:val="0015436F"/>
    <w:rsid w:val="00156BD1"/>
    <w:rsid w:val="0015788D"/>
    <w:rsid w:val="0016016D"/>
    <w:rsid w:val="001605AF"/>
    <w:rsid w:val="001605F1"/>
    <w:rsid w:val="0016064D"/>
    <w:rsid w:val="00160F4A"/>
    <w:rsid w:val="001620FD"/>
    <w:rsid w:val="00164CDF"/>
    <w:rsid w:val="00166363"/>
    <w:rsid w:val="00167118"/>
    <w:rsid w:val="00173790"/>
    <w:rsid w:val="00175115"/>
    <w:rsid w:val="00175373"/>
    <w:rsid w:val="00180B60"/>
    <w:rsid w:val="00180CD6"/>
    <w:rsid w:val="001813FA"/>
    <w:rsid w:val="0018197F"/>
    <w:rsid w:val="00182F94"/>
    <w:rsid w:val="00184DD5"/>
    <w:rsid w:val="0018539D"/>
    <w:rsid w:val="001854F1"/>
    <w:rsid w:val="00187B30"/>
    <w:rsid w:val="0019083F"/>
    <w:rsid w:val="00191424"/>
    <w:rsid w:val="0019255B"/>
    <w:rsid w:val="001925C5"/>
    <w:rsid w:val="00192B09"/>
    <w:rsid w:val="001934FE"/>
    <w:rsid w:val="00193A88"/>
    <w:rsid w:val="00193CD6"/>
    <w:rsid w:val="001A1DD5"/>
    <w:rsid w:val="001A263B"/>
    <w:rsid w:val="001A2ED7"/>
    <w:rsid w:val="001A3764"/>
    <w:rsid w:val="001A3F5C"/>
    <w:rsid w:val="001A4BE6"/>
    <w:rsid w:val="001A4CF0"/>
    <w:rsid w:val="001A5D61"/>
    <w:rsid w:val="001A5EB2"/>
    <w:rsid w:val="001A5F91"/>
    <w:rsid w:val="001A6EAA"/>
    <w:rsid w:val="001B1598"/>
    <w:rsid w:val="001B21BE"/>
    <w:rsid w:val="001B5321"/>
    <w:rsid w:val="001B7479"/>
    <w:rsid w:val="001C2DB4"/>
    <w:rsid w:val="001C50C1"/>
    <w:rsid w:val="001C5E3F"/>
    <w:rsid w:val="001C756B"/>
    <w:rsid w:val="001C7D52"/>
    <w:rsid w:val="001D1BB1"/>
    <w:rsid w:val="001D208F"/>
    <w:rsid w:val="001D352D"/>
    <w:rsid w:val="001D53D0"/>
    <w:rsid w:val="001D736B"/>
    <w:rsid w:val="001E04FF"/>
    <w:rsid w:val="001E0C64"/>
    <w:rsid w:val="001E40E4"/>
    <w:rsid w:val="001E624A"/>
    <w:rsid w:val="001E635C"/>
    <w:rsid w:val="001E701D"/>
    <w:rsid w:val="001F0B67"/>
    <w:rsid w:val="001F1AAB"/>
    <w:rsid w:val="001F1E16"/>
    <w:rsid w:val="001F223F"/>
    <w:rsid w:val="001F475C"/>
    <w:rsid w:val="001F4A64"/>
    <w:rsid w:val="001F4CE9"/>
    <w:rsid w:val="001F54B3"/>
    <w:rsid w:val="001F606B"/>
    <w:rsid w:val="001F68F7"/>
    <w:rsid w:val="001F6970"/>
    <w:rsid w:val="001F6B57"/>
    <w:rsid w:val="001F71D6"/>
    <w:rsid w:val="001F7552"/>
    <w:rsid w:val="002008B7"/>
    <w:rsid w:val="0020090C"/>
    <w:rsid w:val="0020162D"/>
    <w:rsid w:val="00203749"/>
    <w:rsid w:val="00204C35"/>
    <w:rsid w:val="0020556E"/>
    <w:rsid w:val="00207312"/>
    <w:rsid w:val="00210403"/>
    <w:rsid w:val="00211966"/>
    <w:rsid w:val="00211E22"/>
    <w:rsid w:val="00213184"/>
    <w:rsid w:val="002131AB"/>
    <w:rsid w:val="0021465A"/>
    <w:rsid w:val="0021595C"/>
    <w:rsid w:val="00216CD8"/>
    <w:rsid w:val="002201BF"/>
    <w:rsid w:val="002202B6"/>
    <w:rsid w:val="00221E2C"/>
    <w:rsid w:val="00223F1B"/>
    <w:rsid w:val="00224C0D"/>
    <w:rsid w:val="002258C7"/>
    <w:rsid w:val="00225A41"/>
    <w:rsid w:val="00225AD7"/>
    <w:rsid w:val="00226515"/>
    <w:rsid w:val="00226957"/>
    <w:rsid w:val="00226D4A"/>
    <w:rsid w:val="00230D5E"/>
    <w:rsid w:val="00233BBE"/>
    <w:rsid w:val="002340A2"/>
    <w:rsid w:val="00234B36"/>
    <w:rsid w:val="00234E32"/>
    <w:rsid w:val="00240813"/>
    <w:rsid w:val="00241AFA"/>
    <w:rsid w:val="00242896"/>
    <w:rsid w:val="00243A52"/>
    <w:rsid w:val="002441F0"/>
    <w:rsid w:val="00246576"/>
    <w:rsid w:val="0024662B"/>
    <w:rsid w:val="002467B2"/>
    <w:rsid w:val="00247D3B"/>
    <w:rsid w:val="00247D96"/>
    <w:rsid w:val="0025159E"/>
    <w:rsid w:val="002518FB"/>
    <w:rsid w:val="002557F3"/>
    <w:rsid w:val="00255E5F"/>
    <w:rsid w:val="002560B9"/>
    <w:rsid w:val="00257FAF"/>
    <w:rsid w:val="002600E9"/>
    <w:rsid w:val="00260190"/>
    <w:rsid w:val="002603A8"/>
    <w:rsid w:val="002609A5"/>
    <w:rsid w:val="00262FC2"/>
    <w:rsid w:val="00265871"/>
    <w:rsid w:val="0027101F"/>
    <w:rsid w:val="00271554"/>
    <w:rsid w:val="002729DF"/>
    <w:rsid w:val="00272B3E"/>
    <w:rsid w:val="00274831"/>
    <w:rsid w:val="00275844"/>
    <w:rsid w:val="0027735E"/>
    <w:rsid w:val="00281386"/>
    <w:rsid w:val="00282994"/>
    <w:rsid w:val="00283A1C"/>
    <w:rsid w:val="002877A0"/>
    <w:rsid w:val="002878F6"/>
    <w:rsid w:val="002925A7"/>
    <w:rsid w:val="002947AF"/>
    <w:rsid w:val="00295D1E"/>
    <w:rsid w:val="00296587"/>
    <w:rsid w:val="002A0942"/>
    <w:rsid w:val="002A0D13"/>
    <w:rsid w:val="002A0D94"/>
    <w:rsid w:val="002A0E2D"/>
    <w:rsid w:val="002A24EA"/>
    <w:rsid w:val="002A3BC6"/>
    <w:rsid w:val="002A54FE"/>
    <w:rsid w:val="002A5B28"/>
    <w:rsid w:val="002A5B98"/>
    <w:rsid w:val="002A680B"/>
    <w:rsid w:val="002A791E"/>
    <w:rsid w:val="002A79D9"/>
    <w:rsid w:val="002B0078"/>
    <w:rsid w:val="002B1B38"/>
    <w:rsid w:val="002B1C8A"/>
    <w:rsid w:val="002B1E46"/>
    <w:rsid w:val="002B2D44"/>
    <w:rsid w:val="002B2F02"/>
    <w:rsid w:val="002B32D2"/>
    <w:rsid w:val="002B3A0E"/>
    <w:rsid w:val="002B4518"/>
    <w:rsid w:val="002B4B36"/>
    <w:rsid w:val="002B4D34"/>
    <w:rsid w:val="002B500A"/>
    <w:rsid w:val="002B641F"/>
    <w:rsid w:val="002B6AEB"/>
    <w:rsid w:val="002B6F3C"/>
    <w:rsid w:val="002B7F1E"/>
    <w:rsid w:val="002C2EBD"/>
    <w:rsid w:val="002C3047"/>
    <w:rsid w:val="002C5134"/>
    <w:rsid w:val="002C5251"/>
    <w:rsid w:val="002D24E4"/>
    <w:rsid w:val="002D57EC"/>
    <w:rsid w:val="002D6134"/>
    <w:rsid w:val="002D61FF"/>
    <w:rsid w:val="002E021A"/>
    <w:rsid w:val="002E09CC"/>
    <w:rsid w:val="002E1DA7"/>
    <w:rsid w:val="002E20B5"/>
    <w:rsid w:val="002E2169"/>
    <w:rsid w:val="002E250B"/>
    <w:rsid w:val="002E2842"/>
    <w:rsid w:val="002E31F3"/>
    <w:rsid w:val="002E3D87"/>
    <w:rsid w:val="002E4D5E"/>
    <w:rsid w:val="002E4E8A"/>
    <w:rsid w:val="002E5FC7"/>
    <w:rsid w:val="002E6E67"/>
    <w:rsid w:val="002E702C"/>
    <w:rsid w:val="002E7100"/>
    <w:rsid w:val="002F013D"/>
    <w:rsid w:val="002F01B9"/>
    <w:rsid w:val="002F01E4"/>
    <w:rsid w:val="002F0DAA"/>
    <w:rsid w:val="002F22A8"/>
    <w:rsid w:val="002F4348"/>
    <w:rsid w:val="002F54E3"/>
    <w:rsid w:val="002F6129"/>
    <w:rsid w:val="002F6761"/>
    <w:rsid w:val="002F6B85"/>
    <w:rsid w:val="002F7B2D"/>
    <w:rsid w:val="003002D0"/>
    <w:rsid w:val="00301BBC"/>
    <w:rsid w:val="003020F4"/>
    <w:rsid w:val="00307EF6"/>
    <w:rsid w:val="00311737"/>
    <w:rsid w:val="00311B8E"/>
    <w:rsid w:val="00312552"/>
    <w:rsid w:val="0031653E"/>
    <w:rsid w:val="00316547"/>
    <w:rsid w:val="003176A2"/>
    <w:rsid w:val="00317A7C"/>
    <w:rsid w:val="00317D2A"/>
    <w:rsid w:val="003203D4"/>
    <w:rsid w:val="0032123A"/>
    <w:rsid w:val="00321C1A"/>
    <w:rsid w:val="00323B43"/>
    <w:rsid w:val="00324077"/>
    <w:rsid w:val="0032573F"/>
    <w:rsid w:val="00325906"/>
    <w:rsid w:val="00325924"/>
    <w:rsid w:val="00325991"/>
    <w:rsid w:val="003269CD"/>
    <w:rsid w:val="003270A3"/>
    <w:rsid w:val="00327C93"/>
    <w:rsid w:val="00327CC4"/>
    <w:rsid w:val="003307F6"/>
    <w:rsid w:val="00332B04"/>
    <w:rsid w:val="003337B8"/>
    <w:rsid w:val="003348A7"/>
    <w:rsid w:val="003349D0"/>
    <w:rsid w:val="0033524B"/>
    <w:rsid w:val="00335441"/>
    <w:rsid w:val="00336679"/>
    <w:rsid w:val="00336D53"/>
    <w:rsid w:val="00337A8C"/>
    <w:rsid w:val="00341CB4"/>
    <w:rsid w:val="00342157"/>
    <w:rsid w:val="00343140"/>
    <w:rsid w:val="00343CC4"/>
    <w:rsid w:val="00344C16"/>
    <w:rsid w:val="003462C4"/>
    <w:rsid w:val="0035120E"/>
    <w:rsid w:val="003520B9"/>
    <w:rsid w:val="003527A4"/>
    <w:rsid w:val="003542C5"/>
    <w:rsid w:val="00355232"/>
    <w:rsid w:val="003618CE"/>
    <w:rsid w:val="00361A46"/>
    <w:rsid w:val="0036223D"/>
    <w:rsid w:val="003622EA"/>
    <w:rsid w:val="003632E8"/>
    <w:rsid w:val="003650E8"/>
    <w:rsid w:val="00365887"/>
    <w:rsid w:val="00366309"/>
    <w:rsid w:val="00366830"/>
    <w:rsid w:val="00367DFB"/>
    <w:rsid w:val="00370315"/>
    <w:rsid w:val="00370535"/>
    <w:rsid w:val="0037060D"/>
    <w:rsid w:val="00373364"/>
    <w:rsid w:val="0037502F"/>
    <w:rsid w:val="003751CF"/>
    <w:rsid w:val="00376738"/>
    <w:rsid w:val="00376BBD"/>
    <w:rsid w:val="0037726E"/>
    <w:rsid w:val="00380E55"/>
    <w:rsid w:val="003816B2"/>
    <w:rsid w:val="00381728"/>
    <w:rsid w:val="00381826"/>
    <w:rsid w:val="0038243D"/>
    <w:rsid w:val="003834FA"/>
    <w:rsid w:val="00391C62"/>
    <w:rsid w:val="00392965"/>
    <w:rsid w:val="00393040"/>
    <w:rsid w:val="00394F66"/>
    <w:rsid w:val="00397A4F"/>
    <w:rsid w:val="00397AFF"/>
    <w:rsid w:val="003A0010"/>
    <w:rsid w:val="003A0FDA"/>
    <w:rsid w:val="003A108B"/>
    <w:rsid w:val="003A14F2"/>
    <w:rsid w:val="003A1F0D"/>
    <w:rsid w:val="003A22AA"/>
    <w:rsid w:val="003A370B"/>
    <w:rsid w:val="003A46DC"/>
    <w:rsid w:val="003A6BE7"/>
    <w:rsid w:val="003A6E1F"/>
    <w:rsid w:val="003B32F1"/>
    <w:rsid w:val="003B7D32"/>
    <w:rsid w:val="003C1739"/>
    <w:rsid w:val="003C25EF"/>
    <w:rsid w:val="003C2F76"/>
    <w:rsid w:val="003C37BF"/>
    <w:rsid w:val="003C3F43"/>
    <w:rsid w:val="003C478D"/>
    <w:rsid w:val="003C4DA9"/>
    <w:rsid w:val="003C4E0D"/>
    <w:rsid w:val="003C62F9"/>
    <w:rsid w:val="003C6EE1"/>
    <w:rsid w:val="003D0726"/>
    <w:rsid w:val="003D0949"/>
    <w:rsid w:val="003D1EB5"/>
    <w:rsid w:val="003D37D8"/>
    <w:rsid w:val="003D4A2F"/>
    <w:rsid w:val="003D4B10"/>
    <w:rsid w:val="003D506E"/>
    <w:rsid w:val="003D52A7"/>
    <w:rsid w:val="003D68E9"/>
    <w:rsid w:val="003E03B1"/>
    <w:rsid w:val="003E0ED1"/>
    <w:rsid w:val="003E196C"/>
    <w:rsid w:val="003E217F"/>
    <w:rsid w:val="003E2B17"/>
    <w:rsid w:val="003E316E"/>
    <w:rsid w:val="003E3799"/>
    <w:rsid w:val="003E3E3D"/>
    <w:rsid w:val="003E422F"/>
    <w:rsid w:val="003E5A78"/>
    <w:rsid w:val="003E63D9"/>
    <w:rsid w:val="003E70F0"/>
    <w:rsid w:val="003E7B36"/>
    <w:rsid w:val="003E7CC6"/>
    <w:rsid w:val="003F4236"/>
    <w:rsid w:val="003F5C5A"/>
    <w:rsid w:val="003F5E70"/>
    <w:rsid w:val="003F7CD0"/>
    <w:rsid w:val="00400D6A"/>
    <w:rsid w:val="00402A9A"/>
    <w:rsid w:val="0040328E"/>
    <w:rsid w:val="00403377"/>
    <w:rsid w:val="004034AF"/>
    <w:rsid w:val="00403988"/>
    <w:rsid w:val="00403DC5"/>
    <w:rsid w:val="00403F74"/>
    <w:rsid w:val="0040562F"/>
    <w:rsid w:val="00405EFF"/>
    <w:rsid w:val="00406C0A"/>
    <w:rsid w:val="0040700C"/>
    <w:rsid w:val="0041001D"/>
    <w:rsid w:val="00410AEE"/>
    <w:rsid w:val="0041103B"/>
    <w:rsid w:val="00414401"/>
    <w:rsid w:val="00415887"/>
    <w:rsid w:val="00417349"/>
    <w:rsid w:val="00421FFF"/>
    <w:rsid w:val="0042250B"/>
    <w:rsid w:val="004229CE"/>
    <w:rsid w:val="00423B35"/>
    <w:rsid w:val="004245DF"/>
    <w:rsid w:val="00425FD4"/>
    <w:rsid w:val="004262E8"/>
    <w:rsid w:val="0042643C"/>
    <w:rsid w:val="0042738E"/>
    <w:rsid w:val="00427C15"/>
    <w:rsid w:val="00432270"/>
    <w:rsid w:val="00432998"/>
    <w:rsid w:val="00432B66"/>
    <w:rsid w:val="00435550"/>
    <w:rsid w:val="004358AB"/>
    <w:rsid w:val="004371FD"/>
    <w:rsid w:val="004377D7"/>
    <w:rsid w:val="00440A49"/>
    <w:rsid w:val="0044155E"/>
    <w:rsid w:val="004416C7"/>
    <w:rsid w:val="0044370A"/>
    <w:rsid w:val="004438CB"/>
    <w:rsid w:val="0044411A"/>
    <w:rsid w:val="00444943"/>
    <w:rsid w:val="00444AA9"/>
    <w:rsid w:val="0044516C"/>
    <w:rsid w:val="004458AF"/>
    <w:rsid w:val="0044625C"/>
    <w:rsid w:val="00447153"/>
    <w:rsid w:val="004471ED"/>
    <w:rsid w:val="00451976"/>
    <w:rsid w:val="004525EE"/>
    <w:rsid w:val="00452BD7"/>
    <w:rsid w:val="00453056"/>
    <w:rsid w:val="004543C4"/>
    <w:rsid w:val="00454D2D"/>
    <w:rsid w:val="00456B3A"/>
    <w:rsid w:val="00456BE6"/>
    <w:rsid w:val="004570FC"/>
    <w:rsid w:val="00460A0E"/>
    <w:rsid w:val="0046118D"/>
    <w:rsid w:val="00461667"/>
    <w:rsid w:val="0046194A"/>
    <w:rsid w:val="00462A6D"/>
    <w:rsid w:val="00463086"/>
    <w:rsid w:val="00463896"/>
    <w:rsid w:val="00465123"/>
    <w:rsid w:val="004657C6"/>
    <w:rsid w:val="00466DD1"/>
    <w:rsid w:val="00467438"/>
    <w:rsid w:val="00467E86"/>
    <w:rsid w:val="00471498"/>
    <w:rsid w:val="00471D33"/>
    <w:rsid w:val="00472468"/>
    <w:rsid w:val="00472D0D"/>
    <w:rsid w:val="004732C8"/>
    <w:rsid w:val="00473329"/>
    <w:rsid w:val="00476B70"/>
    <w:rsid w:val="00476F87"/>
    <w:rsid w:val="00482D6B"/>
    <w:rsid w:val="0048308F"/>
    <w:rsid w:val="004842A6"/>
    <w:rsid w:val="0048647A"/>
    <w:rsid w:val="00487C0D"/>
    <w:rsid w:val="00490B74"/>
    <w:rsid w:val="00491923"/>
    <w:rsid w:val="00491FF7"/>
    <w:rsid w:val="00492240"/>
    <w:rsid w:val="004922FD"/>
    <w:rsid w:val="004925D8"/>
    <w:rsid w:val="00492AEB"/>
    <w:rsid w:val="00493DBC"/>
    <w:rsid w:val="00497023"/>
    <w:rsid w:val="00497F37"/>
    <w:rsid w:val="004A1343"/>
    <w:rsid w:val="004A13BA"/>
    <w:rsid w:val="004A17E7"/>
    <w:rsid w:val="004A4364"/>
    <w:rsid w:val="004A6457"/>
    <w:rsid w:val="004A662F"/>
    <w:rsid w:val="004A6D11"/>
    <w:rsid w:val="004A788A"/>
    <w:rsid w:val="004B0897"/>
    <w:rsid w:val="004B0A1A"/>
    <w:rsid w:val="004B55C5"/>
    <w:rsid w:val="004B5BC8"/>
    <w:rsid w:val="004B7259"/>
    <w:rsid w:val="004C0859"/>
    <w:rsid w:val="004C1230"/>
    <w:rsid w:val="004C27D3"/>
    <w:rsid w:val="004C2E1F"/>
    <w:rsid w:val="004C5C4E"/>
    <w:rsid w:val="004C6F99"/>
    <w:rsid w:val="004C7639"/>
    <w:rsid w:val="004C7D35"/>
    <w:rsid w:val="004D00A3"/>
    <w:rsid w:val="004D04DF"/>
    <w:rsid w:val="004D092E"/>
    <w:rsid w:val="004D34E8"/>
    <w:rsid w:val="004D4DC2"/>
    <w:rsid w:val="004D4EE7"/>
    <w:rsid w:val="004D5FF5"/>
    <w:rsid w:val="004D6331"/>
    <w:rsid w:val="004E0B56"/>
    <w:rsid w:val="004E241D"/>
    <w:rsid w:val="004E244D"/>
    <w:rsid w:val="004E3281"/>
    <w:rsid w:val="004E5938"/>
    <w:rsid w:val="004E78AF"/>
    <w:rsid w:val="004F172F"/>
    <w:rsid w:val="004F202E"/>
    <w:rsid w:val="004F3AEA"/>
    <w:rsid w:val="004F4C55"/>
    <w:rsid w:val="004F5CAD"/>
    <w:rsid w:val="004F6CCA"/>
    <w:rsid w:val="004F7A9F"/>
    <w:rsid w:val="00500037"/>
    <w:rsid w:val="00501316"/>
    <w:rsid w:val="00502F11"/>
    <w:rsid w:val="0050321D"/>
    <w:rsid w:val="00504764"/>
    <w:rsid w:val="00504A1F"/>
    <w:rsid w:val="00507685"/>
    <w:rsid w:val="00510933"/>
    <w:rsid w:val="0051093E"/>
    <w:rsid w:val="005112D5"/>
    <w:rsid w:val="005117A0"/>
    <w:rsid w:val="00512162"/>
    <w:rsid w:val="00513794"/>
    <w:rsid w:val="005144B9"/>
    <w:rsid w:val="005158DA"/>
    <w:rsid w:val="0051657C"/>
    <w:rsid w:val="00516694"/>
    <w:rsid w:val="005169F8"/>
    <w:rsid w:val="00516BBD"/>
    <w:rsid w:val="005177AF"/>
    <w:rsid w:val="00520FED"/>
    <w:rsid w:val="00521350"/>
    <w:rsid w:val="0052158F"/>
    <w:rsid w:val="00521655"/>
    <w:rsid w:val="00522C68"/>
    <w:rsid w:val="005241E2"/>
    <w:rsid w:val="0052466B"/>
    <w:rsid w:val="00524FA9"/>
    <w:rsid w:val="005259F8"/>
    <w:rsid w:val="00526506"/>
    <w:rsid w:val="005270AF"/>
    <w:rsid w:val="00527246"/>
    <w:rsid w:val="005325EA"/>
    <w:rsid w:val="00532812"/>
    <w:rsid w:val="00534DF2"/>
    <w:rsid w:val="00535336"/>
    <w:rsid w:val="00535B7A"/>
    <w:rsid w:val="00536FFC"/>
    <w:rsid w:val="00537CFF"/>
    <w:rsid w:val="0054038D"/>
    <w:rsid w:val="00540476"/>
    <w:rsid w:val="00541321"/>
    <w:rsid w:val="005416FC"/>
    <w:rsid w:val="00541E4F"/>
    <w:rsid w:val="0054278E"/>
    <w:rsid w:val="00544672"/>
    <w:rsid w:val="0054640B"/>
    <w:rsid w:val="00546CDC"/>
    <w:rsid w:val="005473E2"/>
    <w:rsid w:val="00547E8A"/>
    <w:rsid w:val="00550163"/>
    <w:rsid w:val="00550EE7"/>
    <w:rsid w:val="00551CB5"/>
    <w:rsid w:val="00552465"/>
    <w:rsid w:val="00552BF2"/>
    <w:rsid w:val="00552DE5"/>
    <w:rsid w:val="00555062"/>
    <w:rsid w:val="00556CB6"/>
    <w:rsid w:val="00556DB1"/>
    <w:rsid w:val="00557AB1"/>
    <w:rsid w:val="00557EF9"/>
    <w:rsid w:val="00560948"/>
    <w:rsid w:val="00560B69"/>
    <w:rsid w:val="0056109A"/>
    <w:rsid w:val="005626CE"/>
    <w:rsid w:val="00563421"/>
    <w:rsid w:val="005639E4"/>
    <w:rsid w:val="00564CDA"/>
    <w:rsid w:val="0056613C"/>
    <w:rsid w:val="0056725B"/>
    <w:rsid w:val="005679EC"/>
    <w:rsid w:val="00567C1F"/>
    <w:rsid w:val="00572371"/>
    <w:rsid w:val="00572CAB"/>
    <w:rsid w:val="00573AC8"/>
    <w:rsid w:val="0057461F"/>
    <w:rsid w:val="005754A2"/>
    <w:rsid w:val="00575BEA"/>
    <w:rsid w:val="00580570"/>
    <w:rsid w:val="00581966"/>
    <w:rsid w:val="00582D42"/>
    <w:rsid w:val="00583207"/>
    <w:rsid w:val="005833EB"/>
    <w:rsid w:val="0058378E"/>
    <w:rsid w:val="00584020"/>
    <w:rsid w:val="00584E21"/>
    <w:rsid w:val="005861FD"/>
    <w:rsid w:val="00587228"/>
    <w:rsid w:val="00587D38"/>
    <w:rsid w:val="00590613"/>
    <w:rsid w:val="005936B5"/>
    <w:rsid w:val="00594131"/>
    <w:rsid w:val="005951DA"/>
    <w:rsid w:val="00595A5B"/>
    <w:rsid w:val="00596A4F"/>
    <w:rsid w:val="00596A5C"/>
    <w:rsid w:val="00596CD0"/>
    <w:rsid w:val="005978A1"/>
    <w:rsid w:val="005A02D2"/>
    <w:rsid w:val="005A102D"/>
    <w:rsid w:val="005A1614"/>
    <w:rsid w:val="005A19E1"/>
    <w:rsid w:val="005A4642"/>
    <w:rsid w:val="005A4935"/>
    <w:rsid w:val="005A4DC4"/>
    <w:rsid w:val="005A55D9"/>
    <w:rsid w:val="005A59B2"/>
    <w:rsid w:val="005A5D97"/>
    <w:rsid w:val="005A79E1"/>
    <w:rsid w:val="005B08DE"/>
    <w:rsid w:val="005B1941"/>
    <w:rsid w:val="005B257D"/>
    <w:rsid w:val="005B27BC"/>
    <w:rsid w:val="005B31F0"/>
    <w:rsid w:val="005B338D"/>
    <w:rsid w:val="005B5864"/>
    <w:rsid w:val="005B6CBC"/>
    <w:rsid w:val="005C38C4"/>
    <w:rsid w:val="005C7516"/>
    <w:rsid w:val="005D0390"/>
    <w:rsid w:val="005D1D74"/>
    <w:rsid w:val="005D2829"/>
    <w:rsid w:val="005D2862"/>
    <w:rsid w:val="005D32C5"/>
    <w:rsid w:val="005D4127"/>
    <w:rsid w:val="005D416A"/>
    <w:rsid w:val="005D4843"/>
    <w:rsid w:val="005D7AA2"/>
    <w:rsid w:val="005D7D1B"/>
    <w:rsid w:val="005E0AE0"/>
    <w:rsid w:val="005E19F2"/>
    <w:rsid w:val="005E1F97"/>
    <w:rsid w:val="005E281C"/>
    <w:rsid w:val="005E452B"/>
    <w:rsid w:val="005E4DEE"/>
    <w:rsid w:val="005E5563"/>
    <w:rsid w:val="005E73CB"/>
    <w:rsid w:val="005E76FA"/>
    <w:rsid w:val="005E7D48"/>
    <w:rsid w:val="005F1454"/>
    <w:rsid w:val="005F17F5"/>
    <w:rsid w:val="005F28D8"/>
    <w:rsid w:val="005F3054"/>
    <w:rsid w:val="005F346D"/>
    <w:rsid w:val="005F3875"/>
    <w:rsid w:val="005F4426"/>
    <w:rsid w:val="005F4D43"/>
    <w:rsid w:val="005F5FA5"/>
    <w:rsid w:val="005F6F7D"/>
    <w:rsid w:val="0060267F"/>
    <w:rsid w:val="00603586"/>
    <w:rsid w:val="00603A43"/>
    <w:rsid w:val="00604DCE"/>
    <w:rsid w:val="006052A4"/>
    <w:rsid w:val="00605580"/>
    <w:rsid w:val="00605ECB"/>
    <w:rsid w:val="00606AD8"/>
    <w:rsid w:val="00606FA7"/>
    <w:rsid w:val="00610030"/>
    <w:rsid w:val="006107E9"/>
    <w:rsid w:val="0061209B"/>
    <w:rsid w:val="00612BAD"/>
    <w:rsid w:val="006141D3"/>
    <w:rsid w:val="00614F9A"/>
    <w:rsid w:val="006159B7"/>
    <w:rsid w:val="00615B1E"/>
    <w:rsid w:val="006175F1"/>
    <w:rsid w:val="006204D7"/>
    <w:rsid w:val="00620FFA"/>
    <w:rsid w:val="00621D53"/>
    <w:rsid w:val="00622705"/>
    <w:rsid w:val="00624E50"/>
    <w:rsid w:val="00625F71"/>
    <w:rsid w:val="00627A33"/>
    <w:rsid w:val="00630338"/>
    <w:rsid w:val="00630552"/>
    <w:rsid w:val="006306CE"/>
    <w:rsid w:val="00630E5B"/>
    <w:rsid w:val="006319FE"/>
    <w:rsid w:val="00631F06"/>
    <w:rsid w:val="00632D22"/>
    <w:rsid w:val="00632ED7"/>
    <w:rsid w:val="006332AA"/>
    <w:rsid w:val="00633A65"/>
    <w:rsid w:val="00633CC4"/>
    <w:rsid w:val="0063441D"/>
    <w:rsid w:val="0063489F"/>
    <w:rsid w:val="006350C6"/>
    <w:rsid w:val="0063514A"/>
    <w:rsid w:val="006368EB"/>
    <w:rsid w:val="006368F2"/>
    <w:rsid w:val="006373CB"/>
    <w:rsid w:val="00637CD2"/>
    <w:rsid w:val="00640198"/>
    <w:rsid w:val="0064066B"/>
    <w:rsid w:val="00640E54"/>
    <w:rsid w:val="00643119"/>
    <w:rsid w:val="00643214"/>
    <w:rsid w:val="00643FD7"/>
    <w:rsid w:val="00644136"/>
    <w:rsid w:val="00644C90"/>
    <w:rsid w:val="006466B1"/>
    <w:rsid w:val="00647071"/>
    <w:rsid w:val="00650546"/>
    <w:rsid w:val="00650591"/>
    <w:rsid w:val="006539B0"/>
    <w:rsid w:val="006541D4"/>
    <w:rsid w:val="006546CE"/>
    <w:rsid w:val="00655E68"/>
    <w:rsid w:val="00656A51"/>
    <w:rsid w:val="00660347"/>
    <w:rsid w:val="006603AC"/>
    <w:rsid w:val="006610D7"/>
    <w:rsid w:val="00662519"/>
    <w:rsid w:val="006625D3"/>
    <w:rsid w:val="006641AD"/>
    <w:rsid w:val="00664FD5"/>
    <w:rsid w:val="0066600F"/>
    <w:rsid w:val="006660DA"/>
    <w:rsid w:val="0066707F"/>
    <w:rsid w:val="00667C65"/>
    <w:rsid w:val="00670902"/>
    <w:rsid w:val="00673692"/>
    <w:rsid w:val="0067451E"/>
    <w:rsid w:val="006760D6"/>
    <w:rsid w:val="00676D67"/>
    <w:rsid w:val="00676DB8"/>
    <w:rsid w:val="00677920"/>
    <w:rsid w:val="00680F1F"/>
    <w:rsid w:val="00685871"/>
    <w:rsid w:val="00686074"/>
    <w:rsid w:val="006873E1"/>
    <w:rsid w:val="006876E4"/>
    <w:rsid w:val="006876F9"/>
    <w:rsid w:val="00690FDE"/>
    <w:rsid w:val="006938BB"/>
    <w:rsid w:val="00693A61"/>
    <w:rsid w:val="00694490"/>
    <w:rsid w:val="00695EEF"/>
    <w:rsid w:val="006961DA"/>
    <w:rsid w:val="00697215"/>
    <w:rsid w:val="006A0550"/>
    <w:rsid w:val="006A05BB"/>
    <w:rsid w:val="006A492E"/>
    <w:rsid w:val="006A5A5B"/>
    <w:rsid w:val="006A746E"/>
    <w:rsid w:val="006A7BCC"/>
    <w:rsid w:val="006A7DF4"/>
    <w:rsid w:val="006B0245"/>
    <w:rsid w:val="006B0A96"/>
    <w:rsid w:val="006B121F"/>
    <w:rsid w:val="006B210F"/>
    <w:rsid w:val="006B5278"/>
    <w:rsid w:val="006B6711"/>
    <w:rsid w:val="006B7AAB"/>
    <w:rsid w:val="006C03B1"/>
    <w:rsid w:val="006C14B2"/>
    <w:rsid w:val="006C17CC"/>
    <w:rsid w:val="006C1AEB"/>
    <w:rsid w:val="006C31B5"/>
    <w:rsid w:val="006C335A"/>
    <w:rsid w:val="006C3F69"/>
    <w:rsid w:val="006C428D"/>
    <w:rsid w:val="006C5BB1"/>
    <w:rsid w:val="006C6D4F"/>
    <w:rsid w:val="006D00F3"/>
    <w:rsid w:val="006D114E"/>
    <w:rsid w:val="006D1193"/>
    <w:rsid w:val="006D1330"/>
    <w:rsid w:val="006D135C"/>
    <w:rsid w:val="006D2C40"/>
    <w:rsid w:val="006D2CC4"/>
    <w:rsid w:val="006D2F57"/>
    <w:rsid w:val="006D2FFB"/>
    <w:rsid w:val="006D43B3"/>
    <w:rsid w:val="006D45DB"/>
    <w:rsid w:val="006D5535"/>
    <w:rsid w:val="006D55DA"/>
    <w:rsid w:val="006D7D5A"/>
    <w:rsid w:val="006E070C"/>
    <w:rsid w:val="006E1235"/>
    <w:rsid w:val="006E1BAC"/>
    <w:rsid w:val="006E2761"/>
    <w:rsid w:val="006E3506"/>
    <w:rsid w:val="006E3BA1"/>
    <w:rsid w:val="006E3C5C"/>
    <w:rsid w:val="006E4D3A"/>
    <w:rsid w:val="006E6E33"/>
    <w:rsid w:val="006F0290"/>
    <w:rsid w:val="006F073B"/>
    <w:rsid w:val="006F09FC"/>
    <w:rsid w:val="006F384C"/>
    <w:rsid w:val="006F5083"/>
    <w:rsid w:val="006F5379"/>
    <w:rsid w:val="006F586E"/>
    <w:rsid w:val="006F5B24"/>
    <w:rsid w:val="006F79BC"/>
    <w:rsid w:val="00701E36"/>
    <w:rsid w:val="00702C2E"/>
    <w:rsid w:val="007049DC"/>
    <w:rsid w:val="00705F65"/>
    <w:rsid w:val="00706EBF"/>
    <w:rsid w:val="0071133C"/>
    <w:rsid w:val="007114E8"/>
    <w:rsid w:val="00712335"/>
    <w:rsid w:val="00712814"/>
    <w:rsid w:val="00712BD0"/>
    <w:rsid w:val="00714D79"/>
    <w:rsid w:val="00714F18"/>
    <w:rsid w:val="00715AD9"/>
    <w:rsid w:val="00715EA0"/>
    <w:rsid w:val="007169B7"/>
    <w:rsid w:val="00717F18"/>
    <w:rsid w:val="00722182"/>
    <w:rsid w:val="007229E9"/>
    <w:rsid w:val="00723F76"/>
    <w:rsid w:val="00726C03"/>
    <w:rsid w:val="00726E22"/>
    <w:rsid w:val="00727213"/>
    <w:rsid w:val="007274F6"/>
    <w:rsid w:val="007300AC"/>
    <w:rsid w:val="00730A7C"/>
    <w:rsid w:val="00730EA9"/>
    <w:rsid w:val="00731EAE"/>
    <w:rsid w:val="007320F7"/>
    <w:rsid w:val="00732203"/>
    <w:rsid w:val="00732385"/>
    <w:rsid w:val="00734A17"/>
    <w:rsid w:val="00740684"/>
    <w:rsid w:val="007425CE"/>
    <w:rsid w:val="00742C0D"/>
    <w:rsid w:val="00744B8F"/>
    <w:rsid w:val="00744DE6"/>
    <w:rsid w:val="007460AD"/>
    <w:rsid w:val="00746659"/>
    <w:rsid w:val="00751473"/>
    <w:rsid w:val="0075190D"/>
    <w:rsid w:val="0075346B"/>
    <w:rsid w:val="00756955"/>
    <w:rsid w:val="00756B1A"/>
    <w:rsid w:val="00756BB1"/>
    <w:rsid w:val="00757C81"/>
    <w:rsid w:val="00760D7B"/>
    <w:rsid w:val="00761396"/>
    <w:rsid w:val="00761B3B"/>
    <w:rsid w:val="00763929"/>
    <w:rsid w:val="00764662"/>
    <w:rsid w:val="007649FE"/>
    <w:rsid w:val="007651D5"/>
    <w:rsid w:val="007653C8"/>
    <w:rsid w:val="00765643"/>
    <w:rsid w:val="007669A9"/>
    <w:rsid w:val="00766D90"/>
    <w:rsid w:val="0077184B"/>
    <w:rsid w:val="00771AA5"/>
    <w:rsid w:val="00772C81"/>
    <w:rsid w:val="0077317C"/>
    <w:rsid w:val="007742F4"/>
    <w:rsid w:val="00774EAF"/>
    <w:rsid w:val="0077543D"/>
    <w:rsid w:val="0077600C"/>
    <w:rsid w:val="00777CEB"/>
    <w:rsid w:val="00777EFF"/>
    <w:rsid w:val="00782410"/>
    <w:rsid w:val="0078350F"/>
    <w:rsid w:val="007871D6"/>
    <w:rsid w:val="00790FF1"/>
    <w:rsid w:val="00791338"/>
    <w:rsid w:val="00791C72"/>
    <w:rsid w:val="00792027"/>
    <w:rsid w:val="0079229C"/>
    <w:rsid w:val="007927A8"/>
    <w:rsid w:val="00792D31"/>
    <w:rsid w:val="00794A59"/>
    <w:rsid w:val="00795030"/>
    <w:rsid w:val="00795044"/>
    <w:rsid w:val="007A1D75"/>
    <w:rsid w:val="007A203F"/>
    <w:rsid w:val="007A37DD"/>
    <w:rsid w:val="007A756C"/>
    <w:rsid w:val="007B28BD"/>
    <w:rsid w:val="007B3C7F"/>
    <w:rsid w:val="007B648A"/>
    <w:rsid w:val="007B7613"/>
    <w:rsid w:val="007C036C"/>
    <w:rsid w:val="007C03F7"/>
    <w:rsid w:val="007C2857"/>
    <w:rsid w:val="007C3A68"/>
    <w:rsid w:val="007C4359"/>
    <w:rsid w:val="007C5F7B"/>
    <w:rsid w:val="007C6C07"/>
    <w:rsid w:val="007C7335"/>
    <w:rsid w:val="007D1388"/>
    <w:rsid w:val="007D1F39"/>
    <w:rsid w:val="007D1FA4"/>
    <w:rsid w:val="007D2BDA"/>
    <w:rsid w:val="007D5C7B"/>
    <w:rsid w:val="007D621E"/>
    <w:rsid w:val="007E1A81"/>
    <w:rsid w:val="007E22B3"/>
    <w:rsid w:val="007E233B"/>
    <w:rsid w:val="007E244F"/>
    <w:rsid w:val="007E3AFB"/>
    <w:rsid w:val="007E55B8"/>
    <w:rsid w:val="007E5EE9"/>
    <w:rsid w:val="007E6CCA"/>
    <w:rsid w:val="007F0247"/>
    <w:rsid w:val="007F1732"/>
    <w:rsid w:val="007F1952"/>
    <w:rsid w:val="007F1DC7"/>
    <w:rsid w:val="007F5948"/>
    <w:rsid w:val="007F6217"/>
    <w:rsid w:val="007F62A9"/>
    <w:rsid w:val="007F7122"/>
    <w:rsid w:val="007F79EC"/>
    <w:rsid w:val="00800332"/>
    <w:rsid w:val="008004E2"/>
    <w:rsid w:val="00801857"/>
    <w:rsid w:val="00801ACA"/>
    <w:rsid w:val="00801C6D"/>
    <w:rsid w:val="00802539"/>
    <w:rsid w:val="008026CC"/>
    <w:rsid w:val="00803044"/>
    <w:rsid w:val="00805CE4"/>
    <w:rsid w:val="0080683B"/>
    <w:rsid w:val="008103DD"/>
    <w:rsid w:val="008140D2"/>
    <w:rsid w:val="008149E5"/>
    <w:rsid w:val="00814B67"/>
    <w:rsid w:val="0081585D"/>
    <w:rsid w:val="00817921"/>
    <w:rsid w:val="00820470"/>
    <w:rsid w:val="008208AF"/>
    <w:rsid w:val="00821B74"/>
    <w:rsid w:val="0082210B"/>
    <w:rsid w:val="00822E4F"/>
    <w:rsid w:val="00824FF3"/>
    <w:rsid w:val="00825154"/>
    <w:rsid w:val="00825448"/>
    <w:rsid w:val="008262F9"/>
    <w:rsid w:val="00826EEB"/>
    <w:rsid w:val="00827B1E"/>
    <w:rsid w:val="00831BC5"/>
    <w:rsid w:val="00833420"/>
    <w:rsid w:val="0083471C"/>
    <w:rsid w:val="0083477D"/>
    <w:rsid w:val="00835D14"/>
    <w:rsid w:val="00837A0F"/>
    <w:rsid w:val="00840625"/>
    <w:rsid w:val="00840AFD"/>
    <w:rsid w:val="00840DC4"/>
    <w:rsid w:val="00841355"/>
    <w:rsid w:val="00841B6B"/>
    <w:rsid w:val="0084539D"/>
    <w:rsid w:val="0084547E"/>
    <w:rsid w:val="00847464"/>
    <w:rsid w:val="00847D5F"/>
    <w:rsid w:val="00851727"/>
    <w:rsid w:val="00852F47"/>
    <w:rsid w:val="00854988"/>
    <w:rsid w:val="00855009"/>
    <w:rsid w:val="00856CD5"/>
    <w:rsid w:val="0086118D"/>
    <w:rsid w:val="00861446"/>
    <w:rsid w:val="0086162F"/>
    <w:rsid w:val="00864254"/>
    <w:rsid w:val="00864711"/>
    <w:rsid w:val="00865690"/>
    <w:rsid w:val="0086763E"/>
    <w:rsid w:val="00870ACB"/>
    <w:rsid w:val="0087269D"/>
    <w:rsid w:val="0087356D"/>
    <w:rsid w:val="00873682"/>
    <w:rsid w:val="00873CB7"/>
    <w:rsid w:val="00874DCC"/>
    <w:rsid w:val="00876A3E"/>
    <w:rsid w:val="008774AA"/>
    <w:rsid w:val="00880F32"/>
    <w:rsid w:val="0088133A"/>
    <w:rsid w:val="00883100"/>
    <w:rsid w:val="00886E4F"/>
    <w:rsid w:val="00887381"/>
    <w:rsid w:val="008877AE"/>
    <w:rsid w:val="00887CC3"/>
    <w:rsid w:val="00891757"/>
    <w:rsid w:val="00892379"/>
    <w:rsid w:val="008926D1"/>
    <w:rsid w:val="00892980"/>
    <w:rsid w:val="00892BD5"/>
    <w:rsid w:val="0089360E"/>
    <w:rsid w:val="00893A36"/>
    <w:rsid w:val="00893DCD"/>
    <w:rsid w:val="00894C5C"/>
    <w:rsid w:val="008955E0"/>
    <w:rsid w:val="00896B93"/>
    <w:rsid w:val="00896FF8"/>
    <w:rsid w:val="00897AA9"/>
    <w:rsid w:val="008A23BA"/>
    <w:rsid w:val="008A255A"/>
    <w:rsid w:val="008A2D96"/>
    <w:rsid w:val="008A7BDA"/>
    <w:rsid w:val="008A7F70"/>
    <w:rsid w:val="008B0CE8"/>
    <w:rsid w:val="008B26B6"/>
    <w:rsid w:val="008B2E94"/>
    <w:rsid w:val="008B3A0F"/>
    <w:rsid w:val="008B4DA4"/>
    <w:rsid w:val="008B4EEB"/>
    <w:rsid w:val="008B52FB"/>
    <w:rsid w:val="008B5328"/>
    <w:rsid w:val="008B643E"/>
    <w:rsid w:val="008B65F9"/>
    <w:rsid w:val="008B76F9"/>
    <w:rsid w:val="008B7726"/>
    <w:rsid w:val="008C08CE"/>
    <w:rsid w:val="008C1D40"/>
    <w:rsid w:val="008C1E69"/>
    <w:rsid w:val="008C2C15"/>
    <w:rsid w:val="008C3A19"/>
    <w:rsid w:val="008C5357"/>
    <w:rsid w:val="008C5617"/>
    <w:rsid w:val="008C5D2F"/>
    <w:rsid w:val="008C6C40"/>
    <w:rsid w:val="008C720A"/>
    <w:rsid w:val="008D059E"/>
    <w:rsid w:val="008D09F4"/>
    <w:rsid w:val="008D18E6"/>
    <w:rsid w:val="008D3190"/>
    <w:rsid w:val="008D3A5A"/>
    <w:rsid w:val="008D4483"/>
    <w:rsid w:val="008D46F2"/>
    <w:rsid w:val="008D4B57"/>
    <w:rsid w:val="008D4F2C"/>
    <w:rsid w:val="008D65DB"/>
    <w:rsid w:val="008D6693"/>
    <w:rsid w:val="008D6C55"/>
    <w:rsid w:val="008E0FE7"/>
    <w:rsid w:val="008E1339"/>
    <w:rsid w:val="008E1390"/>
    <w:rsid w:val="008E1C2B"/>
    <w:rsid w:val="008E554A"/>
    <w:rsid w:val="008E579E"/>
    <w:rsid w:val="008F09A5"/>
    <w:rsid w:val="008F270C"/>
    <w:rsid w:val="008F3496"/>
    <w:rsid w:val="008F355A"/>
    <w:rsid w:val="008F60FE"/>
    <w:rsid w:val="008F61AA"/>
    <w:rsid w:val="008F6378"/>
    <w:rsid w:val="008F76FE"/>
    <w:rsid w:val="008F7846"/>
    <w:rsid w:val="009005EE"/>
    <w:rsid w:val="00900FB5"/>
    <w:rsid w:val="009021F6"/>
    <w:rsid w:val="00902644"/>
    <w:rsid w:val="00902FBC"/>
    <w:rsid w:val="00904D6F"/>
    <w:rsid w:val="00904F30"/>
    <w:rsid w:val="00905431"/>
    <w:rsid w:val="0090561D"/>
    <w:rsid w:val="009068E9"/>
    <w:rsid w:val="00906C54"/>
    <w:rsid w:val="00907CE9"/>
    <w:rsid w:val="009118FC"/>
    <w:rsid w:val="009131E5"/>
    <w:rsid w:val="00915051"/>
    <w:rsid w:val="00915528"/>
    <w:rsid w:val="00915590"/>
    <w:rsid w:val="009156AE"/>
    <w:rsid w:val="009157A2"/>
    <w:rsid w:val="0091614B"/>
    <w:rsid w:val="00916A9A"/>
    <w:rsid w:val="00917D10"/>
    <w:rsid w:val="00920E06"/>
    <w:rsid w:val="009223C6"/>
    <w:rsid w:val="009248D0"/>
    <w:rsid w:val="00924DE6"/>
    <w:rsid w:val="00925550"/>
    <w:rsid w:val="00925905"/>
    <w:rsid w:val="00925A26"/>
    <w:rsid w:val="00925B8A"/>
    <w:rsid w:val="00927555"/>
    <w:rsid w:val="009301D9"/>
    <w:rsid w:val="0093103D"/>
    <w:rsid w:val="009312BA"/>
    <w:rsid w:val="009323CE"/>
    <w:rsid w:val="00932988"/>
    <w:rsid w:val="009344FC"/>
    <w:rsid w:val="00934D6C"/>
    <w:rsid w:val="00936A08"/>
    <w:rsid w:val="00936E92"/>
    <w:rsid w:val="00937006"/>
    <w:rsid w:val="0093779F"/>
    <w:rsid w:val="00937D2E"/>
    <w:rsid w:val="00940067"/>
    <w:rsid w:val="0094033D"/>
    <w:rsid w:val="0094136A"/>
    <w:rsid w:val="0094369E"/>
    <w:rsid w:val="009437A3"/>
    <w:rsid w:val="00943E2C"/>
    <w:rsid w:val="0094470C"/>
    <w:rsid w:val="00947B00"/>
    <w:rsid w:val="009505A0"/>
    <w:rsid w:val="00951ABE"/>
    <w:rsid w:val="00952E0A"/>
    <w:rsid w:val="00953B83"/>
    <w:rsid w:val="00954320"/>
    <w:rsid w:val="00955F94"/>
    <w:rsid w:val="009563A2"/>
    <w:rsid w:val="009566B3"/>
    <w:rsid w:val="00956E5F"/>
    <w:rsid w:val="009574A2"/>
    <w:rsid w:val="00961FD0"/>
    <w:rsid w:val="009620A4"/>
    <w:rsid w:val="0096439C"/>
    <w:rsid w:val="0096475E"/>
    <w:rsid w:val="009658DD"/>
    <w:rsid w:val="00966032"/>
    <w:rsid w:val="0096787C"/>
    <w:rsid w:val="009707EB"/>
    <w:rsid w:val="009709E0"/>
    <w:rsid w:val="00970E51"/>
    <w:rsid w:val="00971878"/>
    <w:rsid w:val="00971CED"/>
    <w:rsid w:val="00973620"/>
    <w:rsid w:val="009739E1"/>
    <w:rsid w:val="00974DF1"/>
    <w:rsid w:val="00975B40"/>
    <w:rsid w:val="009804DC"/>
    <w:rsid w:val="00980D80"/>
    <w:rsid w:val="00981430"/>
    <w:rsid w:val="009815DD"/>
    <w:rsid w:val="00981AFF"/>
    <w:rsid w:val="00982098"/>
    <w:rsid w:val="009859BD"/>
    <w:rsid w:val="00986CC9"/>
    <w:rsid w:val="0099099D"/>
    <w:rsid w:val="00991664"/>
    <w:rsid w:val="00991B7A"/>
    <w:rsid w:val="00992379"/>
    <w:rsid w:val="0099600B"/>
    <w:rsid w:val="0099681C"/>
    <w:rsid w:val="00996DB3"/>
    <w:rsid w:val="009970AC"/>
    <w:rsid w:val="009972BB"/>
    <w:rsid w:val="009A00F9"/>
    <w:rsid w:val="009A25A9"/>
    <w:rsid w:val="009A3C92"/>
    <w:rsid w:val="009A6EF8"/>
    <w:rsid w:val="009A72CB"/>
    <w:rsid w:val="009B0C5B"/>
    <w:rsid w:val="009B1DC8"/>
    <w:rsid w:val="009B2615"/>
    <w:rsid w:val="009B2E73"/>
    <w:rsid w:val="009B304C"/>
    <w:rsid w:val="009B422B"/>
    <w:rsid w:val="009B434E"/>
    <w:rsid w:val="009B61E5"/>
    <w:rsid w:val="009B6FC8"/>
    <w:rsid w:val="009B7003"/>
    <w:rsid w:val="009C0F05"/>
    <w:rsid w:val="009C126B"/>
    <w:rsid w:val="009C2198"/>
    <w:rsid w:val="009C2AD8"/>
    <w:rsid w:val="009C2DB1"/>
    <w:rsid w:val="009C2DE9"/>
    <w:rsid w:val="009C3D1C"/>
    <w:rsid w:val="009C4A84"/>
    <w:rsid w:val="009C4B20"/>
    <w:rsid w:val="009C5B22"/>
    <w:rsid w:val="009C6FA0"/>
    <w:rsid w:val="009D019B"/>
    <w:rsid w:val="009D01AF"/>
    <w:rsid w:val="009D0E8B"/>
    <w:rsid w:val="009D0E99"/>
    <w:rsid w:val="009D1723"/>
    <w:rsid w:val="009D17CF"/>
    <w:rsid w:val="009D198B"/>
    <w:rsid w:val="009D1CD3"/>
    <w:rsid w:val="009D258C"/>
    <w:rsid w:val="009D3F0A"/>
    <w:rsid w:val="009D49CA"/>
    <w:rsid w:val="009D6833"/>
    <w:rsid w:val="009D76C2"/>
    <w:rsid w:val="009E067C"/>
    <w:rsid w:val="009E18DB"/>
    <w:rsid w:val="009E3319"/>
    <w:rsid w:val="009E3C5E"/>
    <w:rsid w:val="009E5D52"/>
    <w:rsid w:val="009E6222"/>
    <w:rsid w:val="009E772A"/>
    <w:rsid w:val="009E7C9C"/>
    <w:rsid w:val="009F0557"/>
    <w:rsid w:val="009F0AB4"/>
    <w:rsid w:val="009F1B80"/>
    <w:rsid w:val="009F2C0F"/>
    <w:rsid w:val="009F344A"/>
    <w:rsid w:val="009F41C7"/>
    <w:rsid w:val="009F57B1"/>
    <w:rsid w:val="009F75B6"/>
    <w:rsid w:val="00A018BB"/>
    <w:rsid w:val="00A03730"/>
    <w:rsid w:val="00A04A3A"/>
    <w:rsid w:val="00A04B81"/>
    <w:rsid w:val="00A04DE0"/>
    <w:rsid w:val="00A0515F"/>
    <w:rsid w:val="00A06E67"/>
    <w:rsid w:val="00A07ED5"/>
    <w:rsid w:val="00A100A1"/>
    <w:rsid w:val="00A11FAC"/>
    <w:rsid w:val="00A131B4"/>
    <w:rsid w:val="00A132CC"/>
    <w:rsid w:val="00A20A8A"/>
    <w:rsid w:val="00A20BAF"/>
    <w:rsid w:val="00A21318"/>
    <w:rsid w:val="00A24F4B"/>
    <w:rsid w:val="00A261AA"/>
    <w:rsid w:val="00A26378"/>
    <w:rsid w:val="00A271DB"/>
    <w:rsid w:val="00A31153"/>
    <w:rsid w:val="00A31368"/>
    <w:rsid w:val="00A317D1"/>
    <w:rsid w:val="00A31F81"/>
    <w:rsid w:val="00A322BE"/>
    <w:rsid w:val="00A32CCD"/>
    <w:rsid w:val="00A343EE"/>
    <w:rsid w:val="00A365E4"/>
    <w:rsid w:val="00A40CEA"/>
    <w:rsid w:val="00A420B7"/>
    <w:rsid w:val="00A42629"/>
    <w:rsid w:val="00A426E7"/>
    <w:rsid w:val="00A43D3D"/>
    <w:rsid w:val="00A45D7E"/>
    <w:rsid w:val="00A45E8F"/>
    <w:rsid w:val="00A45ECA"/>
    <w:rsid w:val="00A50207"/>
    <w:rsid w:val="00A50EC6"/>
    <w:rsid w:val="00A510B2"/>
    <w:rsid w:val="00A53241"/>
    <w:rsid w:val="00A5449E"/>
    <w:rsid w:val="00A5454D"/>
    <w:rsid w:val="00A54B13"/>
    <w:rsid w:val="00A57BB3"/>
    <w:rsid w:val="00A608FE"/>
    <w:rsid w:val="00A61B76"/>
    <w:rsid w:val="00A62BC8"/>
    <w:rsid w:val="00A63FEC"/>
    <w:rsid w:val="00A64CAD"/>
    <w:rsid w:val="00A652E1"/>
    <w:rsid w:val="00A67741"/>
    <w:rsid w:val="00A7299D"/>
    <w:rsid w:val="00A72C51"/>
    <w:rsid w:val="00A73B5E"/>
    <w:rsid w:val="00A74B7A"/>
    <w:rsid w:val="00A7659C"/>
    <w:rsid w:val="00A76CC1"/>
    <w:rsid w:val="00A77362"/>
    <w:rsid w:val="00A7762E"/>
    <w:rsid w:val="00A80100"/>
    <w:rsid w:val="00A80C79"/>
    <w:rsid w:val="00A80D36"/>
    <w:rsid w:val="00A82120"/>
    <w:rsid w:val="00A822B2"/>
    <w:rsid w:val="00A8265D"/>
    <w:rsid w:val="00A8341B"/>
    <w:rsid w:val="00A84A2C"/>
    <w:rsid w:val="00A8645E"/>
    <w:rsid w:val="00A8754D"/>
    <w:rsid w:val="00A878EB"/>
    <w:rsid w:val="00A87D16"/>
    <w:rsid w:val="00A908A7"/>
    <w:rsid w:val="00A90F6C"/>
    <w:rsid w:val="00A91CE2"/>
    <w:rsid w:val="00A9353C"/>
    <w:rsid w:val="00A93EEE"/>
    <w:rsid w:val="00A952BF"/>
    <w:rsid w:val="00A95640"/>
    <w:rsid w:val="00A95A7E"/>
    <w:rsid w:val="00A95BF5"/>
    <w:rsid w:val="00AA12A0"/>
    <w:rsid w:val="00AA159D"/>
    <w:rsid w:val="00AA18BB"/>
    <w:rsid w:val="00AA1C85"/>
    <w:rsid w:val="00AA25D0"/>
    <w:rsid w:val="00AA292E"/>
    <w:rsid w:val="00AA458E"/>
    <w:rsid w:val="00AA4FDD"/>
    <w:rsid w:val="00AA61D5"/>
    <w:rsid w:val="00AA62A7"/>
    <w:rsid w:val="00AA6F1E"/>
    <w:rsid w:val="00AB0663"/>
    <w:rsid w:val="00AB06AA"/>
    <w:rsid w:val="00AB11B5"/>
    <w:rsid w:val="00AB156A"/>
    <w:rsid w:val="00AB1EFA"/>
    <w:rsid w:val="00AB27CB"/>
    <w:rsid w:val="00AB5762"/>
    <w:rsid w:val="00AB5940"/>
    <w:rsid w:val="00AB67C7"/>
    <w:rsid w:val="00AC0159"/>
    <w:rsid w:val="00AC0254"/>
    <w:rsid w:val="00AC0FE4"/>
    <w:rsid w:val="00AC1D0B"/>
    <w:rsid w:val="00AC1F75"/>
    <w:rsid w:val="00AC3A20"/>
    <w:rsid w:val="00AC43C3"/>
    <w:rsid w:val="00AC451A"/>
    <w:rsid w:val="00AC4676"/>
    <w:rsid w:val="00AC4BE0"/>
    <w:rsid w:val="00AC5321"/>
    <w:rsid w:val="00AC5CD2"/>
    <w:rsid w:val="00AC61AC"/>
    <w:rsid w:val="00AC7453"/>
    <w:rsid w:val="00AD324D"/>
    <w:rsid w:val="00AD4159"/>
    <w:rsid w:val="00AD57AC"/>
    <w:rsid w:val="00AD5EDB"/>
    <w:rsid w:val="00AD68CB"/>
    <w:rsid w:val="00AD6EDF"/>
    <w:rsid w:val="00AD7BFB"/>
    <w:rsid w:val="00AE0111"/>
    <w:rsid w:val="00AE0357"/>
    <w:rsid w:val="00AE0DD8"/>
    <w:rsid w:val="00AE1BD5"/>
    <w:rsid w:val="00AE332A"/>
    <w:rsid w:val="00AE51BE"/>
    <w:rsid w:val="00AE5F09"/>
    <w:rsid w:val="00AE6361"/>
    <w:rsid w:val="00AF0B3C"/>
    <w:rsid w:val="00AF10FF"/>
    <w:rsid w:val="00AF1182"/>
    <w:rsid w:val="00AF1DCE"/>
    <w:rsid w:val="00AF25FC"/>
    <w:rsid w:val="00AF2939"/>
    <w:rsid w:val="00AF3118"/>
    <w:rsid w:val="00AF3BE5"/>
    <w:rsid w:val="00AF42CD"/>
    <w:rsid w:val="00AF454B"/>
    <w:rsid w:val="00AF5428"/>
    <w:rsid w:val="00AF591E"/>
    <w:rsid w:val="00AF5D71"/>
    <w:rsid w:val="00AF6504"/>
    <w:rsid w:val="00AF66A8"/>
    <w:rsid w:val="00AF71C8"/>
    <w:rsid w:val="00AF7C35"/>
    <w:rsid w:val="00B00CE1"/>
    <w:rsid w:val="00B02C9F"/>
    <w:rsid w:val="00B036A7"/>
    <w:rsid w:val="00B0582D"/>
    <w:rsid w:val="00B05C85"/>
    <w:rsid w:val="00B0601A"/>
    <w:rsid w:val="00B07A9E"/>
    <w:rsid w:val="00B07E0B"/>
    <w:rsid w:val="00B1418B"/>
    <w:rsid w:val="00B14D5B"/>
    <w:rsid w:val="00B164A5"/>
    <w:rsid w:val="00B16949"/>
    <w:rsid w:val="00B17FB1"/>
    <w:rsid w:val="00B20AA6"/>
    <w:rsid w:val="00B24417"/>
    <w:rsid w:val="00B248EE"/>
    <w:rsid w:val="00B24D74"/>
    <w:rsid w:val="00B24EF6"/>
    <w:rsid w:val="00B24FF0"/>
    <w:rsid w:val="00B251A7"/>
    <w:rsid w:val="00B26370"/>
    <w:rsid w:val="00B26B89"/>
    <w:rsid w:val="00B272A8"/>
    <w:rsid w:val="00B300C4"/>
    <w:rsid w:val="00B30B33"/>
    <w:rsid w:val="00B30F4B"/>
    <w:rsid w:val="00B33AF7"/>
    <w:rsid w:val="00B33ECC"/>
    <w:rsid w:val="00B36138"/>
    <w:rsid w:val="00B36302"/>
    <w:rsid w:val="00B41688"/>
    <w:rsid w:val="00B42BAA"/>
    <w:rsid w:val="00B43AE9"/>
    <w:rsid w:val="00B467A2"/>
    <w:rsid w:val="00B46FBE"/>
    <w:rsid w:val="00B47462"/>
    <w:rsid w:val="00B47770"/>
    <w:rsid w:val="00B47B65"/>
    <w:rsid w:val="00B47BF4"/>
    <w:rsid w:val="00B51281"/>
    <w:rsid w:val="00B540AD"/>
    <w:rsid w:val="00B576B6"/>
    <w:rsid w:val="00B57BF0"/>
    <w:rsid w:val="00B602BE"/>
    <w:rsid w:val="00B603AF"/>
    <w:rsid w:val="00B604E6"/>
    <w:rsid w:val="00B63826"/>
    <w:rsid w:val="00B64F0F"/>
    <w:rsid w:val="00B64F84"/>
    <w:rsid w:val="00B65930"/>
    <w:rsid w:val="00B660D6"/>
    <w:rsid w:val="00B6779A"/>
    <w:rsid w:val="00B71F31"/>
    <w:rsid w:val="00B72C6C"/>
    <w:rsid w:val="00B76DBA"/>
    <w:rsid w:val="00B77545"/>
    <w:rsid w:val="00B80F84"/>
    <w:rsid w:val="00B81030"/>
    <w:rsid w:val="00B8240C"/>
    <w:rsid w:val="00B82588"/>
    <w:rsid w:val="00B84C2C"/>
    <w:rsid w:val="00B85B14"/>
    <w:rsid w:val="00B85D9B"/>
    <w:rsid w:val="00B87063"/>
    <w:rsid w:val="00B87664"/>
    <w:rsid w:val="00B9062C"/>
    <w:rsid w:val="00B93099"/>
    <w:rsid w:val="00B93937"/>
    <w:rsid w:val="00B95C62"/>
    <w:rsid w:val="00B95EA3"/>
    <w:rsid w:val="00B95F30"/>
    <w:rsid w:val="00B9636B"/>
    <w:rsid w:val="00B963DA"/>
    <w:rsid w:val="00B965A5"/>
    <w:rsid w:val="00BA0D67"/>
    <w:rsid w:val="00BA0DC7"/>
    <w:rsid w:val="00BA3069"/>
    <w:rsid w:val="00BA3A32"/>
    <w:rsid w:val="00BA7F34"/>
    <w:rsid w:val="00BB0FDD"/>
    <w:rsid w:val="00BB1ED4"/>
    <w:rsid w:val="00BB2C03"/>
    <w:rsid w:val="00BB31C8"/>
    <w:rsid w:val="00BB31E5"/>
    <w:rsid w:val="00BB3C31"/>
    <w:rsid w:val="00BB3DE5"/>
    <w:rsid w:val="00BB46B2"/>
    <w:rsid w:val="00BB4825"/>
    <w:rsid w:val="00BB5020"/>
    <w:rsid w:val="00BB55F9"/>
    <w:rsid w:val="00BB5F5F"/>
    <w:rsid w:val="00BB5F88"/>
    <w:rsid w:val="00BB66BD"/>
    <w:rsid w:val="00BC0393"/>
    <w:rsid w:val="00BC03C1"/>
    <w:rsid w:val="00BC0529"/>
    <w:rsid w:val="00BC1535"/>
    <w:rsid w:val="00BC454F"/>
    <w:rsid w:val="00BC45CB"/>
    <w:rsid w:val="00BC545E"/>
    <w:rsid w:val="00BC5D0D"/>
    <w:rsid w:val="00BD0048"/>
    <w:rsid w:val="00BD0109"/>
    <w:rsid w:val="00BD0BE0"/>
    <w:rsid w:val="00BD2C9E"/>
    <w:rsid w:val="00BD2FE3"/>
    <w:rsid w:val="00BD3998"/>
    <w:rsid w:val="00BD3AC6"/>
    <w:rsid w:val="00BD6159"/>
    <w:rsid w:val="00BD69A4"/>
    <w:rsid w:val="00BD7642"/>
    <w:rsid w:val="00BD7C38"/>
    <w:rsid w:val="00BE0E63"/>
    <w:rsid w:val="00BE1004"/>
    <w:rsid w:val="00BE17BF"/>
    <w:rsid w:val="00BE1D55"/>
    <w:rsid w:val="00BE45E4"/>
    <w:rsid w:val="00BE6120"/>
    <w:rsid w:val="00BE61D2"/>
    <w:rsid w:val="00BF0477"/>
    <w:rsid w:val="00BF1945"/>
    <w:rsid w:val="00BF406F"/>
    <w:rsid w:val="00BF42C4"/>
    <w:rsid w:val="00BF4782"/>
    <w:rsid w:val="00BF5150"/>
    <w:rsid w:val="00C01277"/>
    <w:rsid w:val="00C01672"/>
    <w:rsid w:val="00C01FE7"/>
    <w:rsid w:val="00C04AE1"/>
    <w:rsid w:val="00C05004"/>
    <w:rsid w:val="00C06CB0"/>
    <w:rsid w:val="00C06D35"/>
    <w:rsid w:val="00C07172"/>
    <w:rsid w:val="00C11128"/>
    <w:rsid w:val="00C13FA6"/>
    <w:rsid w:val="00C14E58"/>
    <w:rsid w:val="00C165DF"/>
    <w:rsid w:val="00C1677B"/>
    <w:rsid w:val="00C200A5"/>
    <w:rsid w:val="00C20CF0"/>
    <w:rsid w:val="00C2145D"/>
    <w:rsid w:val="00C22219"/>
    <w:rsid w:val="00C22BDE"/>
    <w:rsid w:val="00C231B9"/>
    <w:rsid w:val="00C24038"/>
    <w:rsid w:val="00C247B1"/>
    <w:rsid w:val="00C255E0"/>
    <w:rsid w:val="00C32B42"/>
    <w:rsid w:val="00C338A7"/>
    <w:rsid w:val="00C347B5"/>
    <w:rsid w:val="00C347B7"/>
    <w:rsid w:val="00C34C2D"/>
    <w:rsid w:val="00C34DDA"/>
    <w:rsid w:val="00C353B4"/>
    <w:rsid w:val="00C35FF4"/>
    <w:rsid w:val="00C36B52"/>
    <w:rsid w:val="00C37846"/>
    <w:rsid w:val="00C37D96"/>
    <w:rsid w:val="00C406A4"/>
    <w:rsid w:val="00C4093E"/>
    <w:rsid w:val="00C40D3B"/>
    <w:rsid w:val="00C41547"/>
    <w:rsid w:val="00C41F97"/>
    <w:rsid w:val="00C43660"/>
    <w:rsid w:val="00C4431A"/>
    <w:rsid w:val="00C45006"/>
    <w:rsid w:val="00C4553B"/>
    <w:rsid w:val="00C45DFC"/>
    <w:rsid w:val="00C46113"/>
    <w:rsid w:val="00C47B2A"/>
    <w:rsid w:val="00C47BCE"/>
    <w:rsid w:val="00C47EA3"/>
    <w:rsid w:val="00C51F03"/>
    <w:rsid w:val="00C520F8"/>
    <w:rsid w:val="00C53F64"/>
    <w:rsid w:val="00C547EA"/>
    <w:rsid w:val="00C54B5B"/>
    <w:rsid w:val="00C56237"/>
    <w:rsid w:val="00C56843"/>
    <w:rsid w:val="00C57624"/>
    <w:rsid w:val="00C579BA"/>
    <w:rsid w:val="00C600AA"/>
    <w:rsid w:val="00C6362C"/>
    <w:rsid w:val="00C6364B"/>
    <w:rsid w:val="00C64AC0"/>
    <w:rsid w:val="00C64EF1"/>
    <w:rsid w:val="00C658DC"/>
    <w:rsid w:val="00C65D54"/>
    <w:rsid w:val="00C6627E"/>
    <w:rsid w:val="00C66531"/>
    <w:rsid w:val="00C66623"/>
    <w:rsid w:val="00C70345"/>
    <w:rsid w:val="00C72420"/>
    <w:rsid w:val="00C72B93"/>
    <w:rsid w:val="00C74508"/>
    <w:rsid w:val="00C746F6"/>
    <w:rsid w:val="00C75134"/>
    <w:rsid w:val="00C7635F"/>
    <w:rsid w:val="00C7659F"/>
    <w:rsid w:val="00C76770"/>
    <w:rsid w:val="00C767B5"/>
    <w:rsid w:val="00C77667"/>
    <w:rsid w:val="00C80E21"/>
    <w:rsid w:val="00C816F9"/>
    <w:rsid w:val="00C823F6"/>
    <w:rsid w:val="00C827B2"/>
    <w:rsid w:val="00C82C4F"/>
    <w:rsid w:val="00C8441B"/>
    <w:rsid w:val="00C8448A"/>
    <w:rsid w:val="00C8452F"/>
    <w:rsid w:val="00C850D8"/>
    <w:rsid w:val="00C854F5"/>
    <w:rsid w:val="00C86E23"/>
    <w:rsid w:val="00C872B9"/>
    <w:rsid w:val="00C874DA"/>
    <w:rsid w:val="00C87DA4"/>
    <w:rsid w:val="00C907F1"/>
    <w:rsid w:val="00C94515"/>
    <w:rsid w:val="00C9496D"/>
    <w:rsid w:val="00C9668A"/>
    <w:rsid w:val="00C96A23"/>
    <w:rsid w:val="00CA0BD9"/>
    <w:rsid w:val="00CA13E8"/>
    <w:rsid w:val="00CA30A9"/>
    <w:rsid w:val="00CA3A41"/>
    <w:rsid w:val="00CA3AB9"/>
    <w:rsid w:val="00CA3DD2"/>
    <w:rsid w:val="00CA414E"/>
    <w:rsid w:val="00CA428D"/>
    <w:rsid w:val="00CA4EEC"/>
    <w:rsid w:val="00CA5A45"/>
    <w:rsid w:val="00CA782B"/>
    <w:rsid w:val="00CB1A7F"/>
    <w:rsid w:val="00CB22AB"/>
    <w:rsid w:val="00CB365B"/>
    <w:rsid w:val="00CB3E03"/>
    <w:rsid w:val="00CB4063"/>
    <w:rsid w:val="00CB4F55"/>
    <w:rsid w:val="00CB79B7"/>
    <w:rsid w:val="00CB7AA2"/>
    <w:rsid w:val="00CB7D2E"/>
    <w:rsid w:val="00CC0189"/>
    <w:rsid w:val="00CC07C2"/>
    <w:rsid w:val="00CC1EB4"/>
    <w:rsid w:val="00CC202B"/>
    <w:rsid w:val="00CC4451"/>
    <w:rsid w:val="00CC4F70"/>
    <w:rsid w:val="00CC5CE8"/>
    <w:rsid w:val="00CD0462"/>
    <w:rsid w:val="00CD114D"/>
    <w:rsid w:val="00CD351A"/>
    <w:rsid w:val="00CD36E0"/>
    <w:rsid w:val="00CD375B"/>
    <w:rsid w:val="00CD482D"/>
    <w:rsid w:val="00CD4C76"/>
    <w:rsid w:val="00CD5813"/>
    <w:rsid w:val="00CD6D56"/>
    <w:rsid w:val="00CE0543"/>
    <w:rsid w:val="00CE0C2B"/>
    <w:rsid w:val="00CE3A54"/>
    <w:rsid w:val="00CE3B5E"/>
    <w:rsid w:val="00CE3F3F"/>
    <w:rsid w:val="00CE4BD2"/>
    <w:rsid w:val="00CE524A"/>
    <w:rsid w:val="00CE5A89"/>
    <w:rsid w:val="00CE60B8"/>
    <w:rsid w:val="00CE60D3"/>
    <w:rsid w:val="00CE67B5"/>
    <w:rsid w:val="00CE788D"/>
    <w:rsid w:val="00CF031F"/>
    <w:rsid w:val="00CF035A"/>
    <w:rsid w:val="00CF1CA6"/>
    <w:rsid w:val="00CF4528"/>
    <w:rsid w:val="00CF49F9"/>
    <w:rsid w:val="00CF50A5"/>
    <w:rsid w:val="00CF645F"/>
    <w:rsid w:val="00CF7A8A"/>
    <w:rsid w:val="00D002C8"/>
    <w:rsid w:val="00D00F86"/>
    <w:rsid w:val="00D0475D"/>
    <w:rsid w:val="00D048D2"/>
    <w:rsid w:val="00D048DD"/>
    <w:rsid w:val="00D109A6"/>
    <w:rsid w:val="00D13FD5"/>
    <w:rsid w:val="00D140E9"/>
    <w:rsid w:val="00D14E80"/>
    <w:rsid w:val="00D154DC"/>
    <w:rsid w:val="00D163AB"/>
    <w:rsid w:val="00D1676B"/>
    <w:rsid w:val="00D17572"/>
    <w:rsid w:val="00D20749"/>
    <w:rsid w:val="00D20AB1"/>
    <w:rsid w:val="00D20CA2"/>
    <w:rsid w:val="00D22A95"/>
    <w:rsid w:val="00D230B0"/>
    <w:rsid w:val="00D23950"/>
    <w:rsid w:val="00D23963"/>
    <w:rsid w:val="00D24A7C"/>
    <w:rsid w:val="00D24A90"/>
    <w:rsid w:val="00D24C1A"/>
    <w:rsid w:val="00D255A4"/>
    <w:rsid w:val="00D26238"/>
    <w:rsid w:val="00D27113"/>
    <w:rsid w:val="00D27BEB"/>
    <w:rsid w:val="00D3072A"/>
    <w:rsid w:val="00D30AC9"/>
    <w:rsid w:val="00D31BC7"/>
    <w:rsid w:val="00D32A78"/>
    <w:rsid w:val="00D34530"/>
    <w:rsid w:val="00D3617C"/>
    <w:rsid w:val="00D368E9"/>
    <w:rsid w:val="00D41831"/>
    <w:rsid w:val="00D42B63"/>
    <w:rsid w:val="00D4358F"/>
    <w:rsid w:val="00D44E07"/>
    <w:rsid w:val="00D45915"/>
    <w:rsid w:val="00D45F7D"/>
    <w:rsid w:val="00D46143"/>
    <w:rsid w:val="00D46ACB"/>
    <w:rsid w:val="00D47308"/>
    <w:rsid w:val="00D47BCC"/>
    <w:rsid w:val="00D51140"/>
    <w:rsid w:val="00D51AEC"/>
    <w:rsid w:val="00D546C9"/>
    <w:rsid w:val="00D55911"/>
    <w:rsid w:val="00D56264"/>
    <w:rsid w:val="00D56A37"/>
    <w:rsid w:val="00D570FF"/>
    <w:rsid w:val="00D57889"/>
    <w:rsid w:val="00D57963"/>
    <w:rsid w:val="00D6121A"/>
    <w:rsid w:val="00D624D5"/>
    <w:rsid w:val="00D631CE"/>
    <w:rsid w:val="00D635A7"/>
    <w:rsid w:val="00D648EF"/>
    <w:rsid w:val="00D64F92"/>
    <w:rsid w:val="00D67CF3"/>
    <w:rsid w:val="00D70C13"/>
    <w:rsid w:val="00D7201E"/>
    <w:rsid w:val="00D72B92"/>
    <w:rsid w:val="00D74103"/>
    <w:rsid w:val="00D7462E"/>
    <w:rsid w:val="00D74717"/>
    <w:rsid w:val="00D75763"/>
    <w:rsid w:val="00D757C7"/>
    <w:rsid w:val="00D75EA5"/>
    <w:rsid w:val="00D76007"/>
    <w:rsid w:val="00D77308"/>
    <w:rsid w:val="00D80747"/>
    <w:rsid w:val="00D82845"/>
    <w:rsid w:val="00D84FAF"/>
    <w:rsid w:val="00D85273"/>
    <w:rsid w:val="00D85BED"/>
    <w:rsid w:val="00D8690F"/>
    <w:rsid w:val="00D86EB8"/>
    <w:rsid w:val="00D87007"/>
    <w:rsid w:val="00D9056C"/>
    <w:rsid w:val="00D91671"/>
    <w:rsid w:val="00D926A6"/>
    <w:rsid w:val="00D93B79"/>
    <w:rsid w:val="00D93D91"/>
    <w:rsid w:val="00D95089"/>
    <w:rsid w:val="00D951C7"/>
    <w:rsid w:val="00D9585E"/>
    <w:rsid w:val="00D95D50"/>
    <w:rsid w:val="00D96E82"/>
    <w:rsid w:val="00DA008D"/>
    <w:rsid w:val="00DA12F0"/>
    <w:rsid w:val="00DA1413"/>
    <w:rsid w:val="00DA3983"/>
    <w:rsid w:val="00DA3BB7"/>
    <w:rsid w:val="00DA3DAC"/>
    <w:rsid w:val="00DA3E99"/>
    <w:rsid w:val="00DA4E5B"/>
    <w:rsid w:val="00DA5CFF"/>
    <w:rsid w:val="00DA6273"/>
    <w:rsid w:val="00DA7B33"/>
    <w:rsid w:val="00DB0C3D"/>
    <w:rsid w:val="00DB1CE7"/>
    <w:rsid w:val="00DB3BF7"/>
    <w:rsid w:val="00DB6B52"/>
    <w:rsid w:val="00DB6D6C"/>
    <w:rsid w:val="00DB75B7"/>
    <w:rsid w:val="00DB795A"/>
    <w:rsid w:val="00DC06C8"/>
    <w:rsid w:val="00DC0809"/>
    <w:rsid w:val="00DC0F02"/>
    <w:rsid w:val="00DC4A79"/>
    <w:rsid w:val="00DC51F8"/>
    <w:rsid w:val="00DC5F80"/>
    <w:rsid w:val="00DC6A0A"/>
    <w:rsid w:val="00DD114E"/>
    <w:rsid w:val="00DD2AD1"/>
    <w:rsid w:val="00DD2F5D"/>
    <w:rsid w:val="00DD33BB"/>
    <w:rsid w:val="00DD5B10"/>
    <w:rsid w:val="00DD64CB"/>
    <w:rsid w:val="00DD763F"/>
    <w:rsid w:val="00DE08E0"/>
    <w:rsid w:val="00DE0AA3"/>
    <w:rsid w:val="00DE174B"/>
    <w:rsid w:val="00DE24C5"/>
    <w:rsid w:val="00DE2628"/>
    <w:rsid w:val="00DE4851"/>
    <w:rsid w:val="00DE534A"/>
    <w:rsid w:val="00DE58EC"/>
    <w:rsid w:val="00DE5F6C"/>
    <w:rsid w:val="00DF0237"/>
    <w:rsid w:val="00DF107E"/>
    <w:rsid w:val="00DF2291"/>
    <w:rsid w:val="00DF339D"/>
    <w:rsid w:val="00DF33BD"/>
    <w:rsid w:val="00DF4C64"/>
    <w:rsid w:val="00DF75F4"/>
    <w:rsid w:val="00DF775E"/>
    <w:rsid w:val="00E00078"/>
    <w:rsid w:val="00E01141"/>
    <w:rsid w:val="00E0142D"/>
    <w:rsid w:val="00E0236C"/>
    <w:rsid w:val="00E03091"/>
    <w:rsid w:val="00E055C5"/>
    <w:rsid w:val="00E05C96"/>
    <w:rsid w:val="00E0666E"/>
    <w:rsid w:val="00E067D6"/>
    <w:rsid w:val="00E06A0D"/>
    <w:rsid w:val="00E07500"/>
    <w:rsid w:val="00E079C7"/>
    <w:rsid w:val="00E10C83"/>
    <w:rsid w:val="00E133FA"/>
    <w:rsid w:val="00E17D68"/>
    <w:rsid w:val="00E2028F"/>
    <w:rsid w:val="00E2278F"/>
    <w:rsid w:val="00E22AC8"/>
    <w:rsid w:val="00E2313D"/>
    <w:rsid w:val="00E24F6D"/>
    <w:rsid w:val="00E25026"/>
    <w:rsid w:val="00E2675F"/>
    <w:rsid w:val="00E2698F"/>
    <w:rsid w:val="00E2712A"/>
    <w:rsid w:val="00E27341"/>
    <w:rsid w:val="00E3034A"/>
    <w:rsid w:val="00E31E23"/>
    <w:rsid w:val="00E338A1"/>
    <w:rsid w:val="00E33940"/>
    <w:rsid w:val="00E33A51"/>
    <w:rsid w:val="00E33B96"/>
    <w:rsid w:val="00E359E7"/>
    <w:rsid w:val="00E36D71"/>
    <w:rsid w:val="00E37706"/>
    <w:rsid w:val="00E37E52"/>
    <w:rsid w:val="00E41043"/>
    <w:rsid w:val="00E41DE9"/>
    <w:rsid w:val="00E42833"/>
    <w:rsid w:val="00E435BA"/>
    <w:rsid w:val="00E438AE"/>
    <w:rsid w:val="00E438EB"/>
    <w:rsid w:val="00E44790"/>
    <w:rsid w:val="00E45D2F"/>
    <w:rsid w:val="00E45F04"/>
    <w:rsid w:val="00E46262"/>
    <w:rsid w:val="00E46CBD"/>
    <w:rsid w:val="00E4707D"/>
    <w:rsid w:val="00E477AA"/>
    <w:rsid w:val="00E47C1D"/>
    <w:rsid w:val="00E47E48"/>
    <w:rsid w:val="00E47FF5"/>
    <w:rsid w:val="00E50D59"/>
    <w:rsid w:val="00E533FB"/>
    <w:rsid w:val="00E537D0"/>
    <w:rsid w:val="00E54CFC"/>
    <w:rsid w:val="00E55137"/>
    <w:rsid w:val="00E55875"/>
    <w:rsid w:val="00E5623D"/>
    <w:rsid w:val="00E568C7"/>
    <w:rsid w:val="00E613F7"/>
    <w:rsid w:val="00E62494"/>
    <w:rsid w:val="00E627F2"/>
    <w:rsid w:val="00E65D37"/>
    <w:rsid w:val="00E70882"/>
    <w:rsid w:val="00E717FF"/>
    <w:rsid w:val="00E7187A"/>
    <w:rsid w:val="00E7243A"/>
    <w:rsid w:val="00E730C5"/>
    <w:rsid w:val="00E734FF"/>
    <w:rsid w:val="00E735C3"/>
    <w:rsid w:val="00E7400B"/>
    <w:rsid w:val="00E74A37"/>
    <w:rsid w:val="00E769D1"/>
    <w:rsid w:val="00E77AB8"/>
    <w:rsid w:val="00E80630"/>
    <w:rsid w:val="00E810AC"/>
    <w:rsid w:val="00E8133E"/>
    <w:rsid w:val="00E8353A"/>
    <w:rsid w:val="00E840F2"/>
    <w:rsid w:val="00E8449E"/>
    <w:rsid w:val="00E84B2A"/>
    <w:rsid w:val="00E84B62"/>
    <w:rsid w:val="00E85E70"/>
    <w:rsid w:val="00E90CB4"/>
    <w:rsid w:val="00E9122D"/>
    <w:rsid w:val="00E914A1"/>
    <w:rsid w:val="00E91535"/>
    <w:rsid w:val="00E91CA0"/>
    <w:rsid w:val="00E92C2A"/>
    <w:rsid w:val="00E9396D"/>
    <w:rsid w:val="00E94FD4"/>
    <w:rsid w:val="00E9539A"/>
    <w:rsid w:val="00E96820"/>
    <w:rsid w:val="00EA063F"/>
    <w:rsid w:val="00EA068B"/>
    <w:rsid w:val="00EA06EC"/>
    <w:rsid w:val="00EA1DBE"/>
    <w:rsid w:val="00EA23DB"/>
    <w:rsid w:val="00EA280E"/>
    <w:rsid w:val="00EA3031"/>
    <w:rsid w:val="00EA51AE"/>
    <w:rsid w:val="00EA5495"/>
    <w:rsid w:val="00EA5EA2"/>
    <w:rsid w:val="00EA645F"/>
    <w:rsid w:val="00EA6A3F"/>
    <w:rsid w:val="00EA6B5D"/>
    <w:rsid w:val="00EA73AC"/>
    <w:rsid w:val="00EA73AE"/>
    <w:rsid w:val="00EB0769"/>
    <w:rsid w:val="00EB1F6C"/>
    <w:rsid w:val="00EB2F8F"/>
    <w:rsid w:val="00EB4404"/>
    <w:rsid w:val="00EB4AE1"/>
    <w:rsid w:val="00EB53A5"/>
    <w:rsid w:val="00EB579D"/>
    <w:rsid w:val="00EB5C09"/>
    <w:rsid w:val="00EB67EE"/>
    <w:rsid w:val="00EB7E16"/>
    <w:rsid w:val="00EB7EED"/>
    <w:rsid w:val="00EC0D93"/>
    <w:rsid w:val="00EC0EC8"/>
    <w:rsid w:val="00EC31D6"/>
    <w:rsid w:val="00EC4128"/>
    <w:rsid w:val="00EC42D0"/>
    <w:rsid w:val="00EC53C7"/>
    <w:rsid w:val="00EC5952"/>
    <w:rsid w:val="00EC5AA4"/>
    <w:rsid w:val="00EC5EA1"/>
    <w:rsid w:val="00ED0289"/>
    <w:rsid w:val="00ED2068"/>
    <w:rsid w:val="00ED31A7"/>
    <w:rsid w:val="00ED4703"/>
    <w:rsid w:val="00ED4A97"/>
    <w:rsid w:val="00ED59E4"/>
    <w:rsid w:val="00ED6A0C"/>
    <w:rsid w:val="00ED6E97"/>
    <w:rsid w:val="00ED70CB"/>
    <w:rsid w:val="00ED7D51"/>
    <w:rsid w:val="00EE1897"/>
    <w:rsid w:val="00EE3FDF"/>
    <w:rsid w:val="00EE5822"/>
    <w:rsid w:val="00EE5C99"/>
    <w:rsid w:val="00EE5E0D"/>
    <w:rsid w:val="00EE70C1"/>
    <w:rsid w:val="00EE770A"/>
    <w:rsid w:val="00EF17B8"/>
    <w:rsid w:val="00EF376F"/>
    <w:rsid w:val="00EF387C"/>
    <w:rsid w:val="00EF51EC"/>
    <w:rsid w:val="00F00971"/>
    <w:rsid w:val="00F0281E"/>
    <w:rsid w:val="00F05457"/>
    <w:rsid w:val="00F0636B"/>
    <w:rsid w:val="00F06AF4"/>
    <w:rsid w:val="00F071C8"/>
    <w:rsid w:val="00F07639"/>
    <w:rsid w:val="00F07E6C"/>
    <w:rsid w:val="00F07F97"/>
    <w:rsid w:val="00F1223E"/>
    <w:rsid w:val="00F13FE4"/>
    <w:rsid w:val="00F14E08"/>
    <w:rsid w:val="00F17B6F"/>
    <w:rsid w:val="00F20424"/>
    <w:rsid w:val="00F23340"/>
    <w:rsid w:val="00F248BC"/>
    <w:rsid w:val="00F261B6"/>
    <w:rsid w:val="00F261F8"/>
    <w:rsid w:val="00F26698"/>
    <w:rsid w:val="00F26C37"/>
    <w:rsid w:val="00F312F2"/>
    <w:rsid w:val="00F325D8"/>
    <w:rsid w:val="00F32C9E"/>
    <w:rsid w:val="00F33222"/>
    <w:rsid w:val="00F33B2D"/>
    <w:rsid w:val="00F356AA"/>
    <w:rsid w:val="00F374ED"/>
    <w:rsid w:val="00F41532"/>
    <w:rsid w:val="00F41A8E"/>
    <w:rsid w:val="00F42D1B"/>
    <w:rsid w:val="00F4359F"/>
    <w:rsid w:val="00F445F5"/>
    <w:rsid w:val="00F453B3"/>
    <w:rsid w:val="00F46BCE"/>
    <w:rsid w:val="00F507BE"/>
    <w:rsid w:val="00F50E51"/>
    <w:rsid w:val="00F5130D"/>
    <w:rsid w:val="00F523EF"/>
    <w:rsid w:val="00F53120"/>
    <w:rsid w:val="00F561DD"/>
    <w:rsid w:val="00F56846"/>
    <w:rsid w:val="00F57205"/>
    <w:rsid w:val="00F57254"/>
    <w:rsid w:val="00F60188"/>
    <w:rsid w:val="00F62ECA"/>
    <w:rsid w:val="00F64113"/>
    <w:rsid w:val="00F65C0A"/>
    <w:rsid w:val="00F65CC8"/>
    <w:rsid w:val="00F65D30"/>
    <w:rsid w:val="00F65FE8"/>
    <w:rsid w:val="00F660C3"/>
    <w:rsid w:val="00F66B2E"/>
    <w:rsid w:val="00F673C8"/>
    <w:rsid w:val="00F67D8D"/>
    <w:rsid w:val="00F70A10"/>
    <w:rsid w:val="00F7261A"/>
    <w:rsid w:val="00F728FD"/>
    <w:rsid w:val="00F73249"/>
    <w:rsid w:val="00F738D8"/>
    <w:rsid w:val="00F75AE2"/>
    <w:rsid w:val="00F76EBB"/>
    <w:rsid w:val="00F800E5"/>
    <w:rsid w:val="00F80118"/>
    <w:rsid w:val="00F80272"/>
    <w:rsid w:val="00F80712"/>
    <w:rsid w:val="00F807BA"/>
    <w:rsid w:val="00F80945"/>
    <w:rsid w:val="00F81042"/>
    <w:rsid w:val="00F81C9F"/>
    <w:rsid w:val="00F82CEA"/>
    <w:rsid w:val="00F839B8"/>
    <w:rsid w:val="00F85AE6"/>
    <w:rsid w:val="00F90699"/>
    <w:rsid w:val="00F909AD"/>
    <w:rsid w:val="00F90ED0"/>
    <w:rsid w:val="00F9209D"/>
    <w:rsid w:val="00F9231C"/>
    <w:rsid w:val="00F93A14"/>
    <w:rsid w:val="00F93B7E"/>
    <w:rsid w:val="00F93B82"/>
    <w:rsid w:val="00F94CCA"/>
    <w:rsid w:val="00F95A23"/>
    <w:rsid w:val="00F973FC"/>
    <w:rsid w:val="00F97585"/>
    <w:rsid w:val="00FA0CEE"/>
    <w:rsid w:val="00FA1C66"/>
    <w:rsid w:val="00FA2406"/>
    <w:rsid w:val="00FA29F6"/>
    <w:rsid w:val="00FA3FDB"/>
    <w:rsid w:val="00FA678A"/>
    <w:rsid w:val="00FA6C91"/>
    <w:rsid w:val="00FA772A"/>
    <w:rsid w:val="00FB0072"/>
    <w:rsid w:val="00FB0921"/>
    <w:rsid w:val="00FB4462"/>
    <w:rsid w:val="00FB5852"/>
    <w:rsid w:val="00FB5B53"/>
    <w:rsid w:val="00FB769C"/>
    <w:rsid w:val="00FB7CEB"/>
    <w:rsid w:val="00FC3DE9"/>
    <w:rsid w:val="00FC4799"/>
    <w:rsid w:val="00FC55AE"/>
    <w:rsid w:val="00FC599D"/>
    <w:rsid w:val="00FC5C42"/>
    <w:rsid w:val="00FC7463"/>
    <w:rsid w:val="00FD056E"/>
    <w:rsid w:val="00FD12E0"/>
    <w:rsid w:val="00FD29DF"/>
    <w:rsid w:val="00FD2DF5"/>
    <w:rsid w:val="00FD382C"/>
    <w:rsid w:val="00FD3A09"/>
    <w:rsid w:val="00FD5F91"/>
    <w:rsid w:val="00FD65F1"/>
    <w:rsid w:val="00FD6ED5"/>
    <w:rsid w:val="00FD7216"/>
    <w:rsid w:val="00FE0BA4"/>
    <w:rsid w:val="00FE0ECD"/>
    <w:rsid w:val="00FE12F2"/>
    <w:rsid w:val="00FE1D10"/>
    <w:rsid w:val="00FE285C"/>
    <w:rsid w:val="00FE294D"/>
    <w:rsid w:val="00FE35C9"/>
    <w:rsid w:val="00FE3A33"/>
    <w:rsid w:val="00FE3CA0"/>
    <w:rsid w:val="00FE46E0"/>
    <w:rsid w:val="00FE78F9"/>
    <w:rsid w:val="00FF013C"/>
    <w:rsid w:val="00FF0334"/>
    <w:rsid w:val="00FF05EE"/>
    <w:rsid w:val="00FF1825"/>
    <w:rsid w:val="00FF27AD"/>
    <w:rsid w:val="00FF5752"/>
    <w:rsid w:val="00FF5A32"/>
    <w:rsid w:val="00FF5E8A"/>
    <w:rsid w:val="00FF6133"/>
    <w:rsid w:val="00FF651F"/>
    <w:rsid w:val="00FF65BB"/>
    <w:rsid w:val="00FF77DD"/>
    <w:rsid w:val="00FF7FDA"/>
    <w:rsid w:val="2C900C56"/>
    <w:rsid w:val="4A77230A"/>
    <w:rsid w:val="7F43697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0" w:semiHidden="0" w:name="heading 4"/>
    <w:lsdException w:qFormat="1" w:unhideWhenUsed="0" w:uiPriority="9" w:semiHidden="0" w:name="heading 5"/>
    <w:lsdException w:qFormat="1" w:uiPriority="9" w:name="heading 6"/>
    <w:lsdException w:qFormat="1" w:uiPriority="9" w:name="heading 7"/>
    <w:lsdException w:qFormat="1" w:uiPriority="9" w:semiHidden="0"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iPriority="99" w:name="index 8"/>
    <w:lsdException w:uiPriority="99" w:name="index 9"/>
    <w:lsdException w:qFormat="1" w:uiPriority="39" w:semiHidden="0" w:name="toc 1"/>
    <w:lsdException w:qFormat="1"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iPriority="99" w:name="Normal Indent"/>
    <w:lsdException w:uiPriority="99" w:name="footnote text"/>
    <w:lsdException w:qFormat="1" w:uiPriority="99" w:semiHidden="0" w:name="annotation text"/>
    <w:lsdException w:uiPriority="0" w:semiHidden="0" w:name="header"/>
    <w:lsdException w:uiPriority="99" w:semiHidden="0" w:name="footer"/>
    <w:lsdException w:uiPriority="99" w:name="index heading"/>
    <w:lsdException w:qFormat="1" w:unhideWhenUsed="0" w:uiPriority="35" w:semiHidden="0" w:name="caption"/>
    <w:lsdException w:qFormat="1" w:uiPriority="99" w:semiHidden="0"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iPriority="99" w:name="Body Text Indent 2"/>
    <w:lsdException w:uiPriority="99" w:name="Body Text Indent 3"/>
    <w:lsdException w:uiPriority="99" w:name="Block Text"/>
    <w:lsdException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semiHidden="0"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nhideWhenUsed="0" w:uiPriority="0" w:semiHidden="0" w:name="HTML Preformatted"/>
    <w:lsdException w:uiPriority="99" w:name="HTML Sample"/>
    <w:lsdException w:uiPriority="99" w:name="HTML Typewriter"/>
    <w:lsdException w:uiPriority="99" w:name="HTML Variable"/>
    <w:lsdException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0" w:semiHidden="0" w:name="Balloon Text"/>
    <w:lsdException w:unhideWhenUsed="0" w:uiPriority="0" w:semiHidden="0" w:name="Table Grid"/>
    <w:lsdException w:uiPriority="99" w:name="Table Theme"/>
    <w:lsdException w:unhideWhenUsed="0" w:uiPriority="99" w:name="Placeholder Text"/>
    <w:lsdException w:qFormat="1" w:unhideWhenUsed="0" w:uiPriority="99"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before="120" w:after="120" w:line="360" w:lineRule="auto"/>
      <w:ind w:firstLine="200" w:firstLineChars="200"/>
      <w:jc w:val="both"/>
    </w:pPr>
    <w:rPr>
      <w:rFonts w:ascii="Times New Roman" w:hAnsi="Times New Roman" w:eastAsia="宋体" w:cstheme="minorBidi"/>
      <w:sz w:val="24"/>
      <w:szCs w:val="22"/>
      <w:lang w:val="en-US" w:eastAsia="zh-CN" w:bidi="ar-SA"/>
    </w:rPr>
  </w:style>
  <w:style w:type="paragraph" w:styleId="2">
    <w:name w:val="heading 1"/>
    <w:basedOn w:val="3"/>
    <w:next w:val="3"/>
    <w:link w:val="97"/>
    <w:qFormat/>
    <w:uiPriority w:val="9"/>
    <w:pPr>
      <w:keepNext/>
      <w:keepLines/>
      <w:spacing w:after="120"/>
      <w:ind w:firstLine="0" w:firstLineChars="0"/>
    </w:pPr>
    <w:rPr>
      <w:rFonts w:ascii="Times New Roman" w:hAnsi="Times New Roman" w:eastAsia="黑体"/>
      <w:b w:val="0"/>
      <w:bCs w:val="0"/>
      <w:kern w:val="44"/>
      <w:sz w:val="36"/>
      <w:szCs w:val="44"/>
    </w:rPr>
  </w:style>
  <w:style w:type="paragraph" w:styleId="4">
    <w:name w:val="heading 2"/>
    <w:basedOn w:val="3"/>
    <w:next w:val="3"/>
    <w:link w:val="100"/>
    <w:unhideWhenUsed/>
    <w:qFormat/>
    <w:uiPriority w:val="9"/>
    <w:pPr>
      <w:keepNext/>
      <w:keepLines/>
      <w:spacing w:before="120" w:after="120"/>
      <w:ind w:firstLine="0" w:firstLineChars="0"/>
      <w:jc w:val="left"/>
      <w:outlineLvl w:val="1"/>
    </w:pPr>
    <w:rPr>
      <w:rFonts w:ascii="Times New Roman" w:hAnsi="Times New Roman" w:eastAsia="黑体"/>
      <w:b w:val="0"/>
      <w:bCs w:val="0"/>
    </w:rPr>
  </w:style>
  <w:style w:type="paragraph" w:styleId="5">
    <w:name w:val="heading 3"/>
    <w:basedOn w:val="3"/>
    <w:next w:val="3"/>
    <w:link w:val="101"/>
    <w:unhideWhenUsed/>
    <w:qFormat/>
    <w:uiPriority w:val="9"/>
    <w:pPr>
      <w:keepNext/>
      <w:keepLines/>
      <w:adjustRightInd/>
      <w:spacing w:before="120" w:after="120"/>
      <w:ind w:firstLine="0" w:firstLineChars="0"/>
      <w:jc w:val="left"/>
      <w:outlineLvl w:val="2"/>
    </w:pPr>
    <w:rPr>
      <w:rFonts w:ascii="Times New Roman" w:hAnsi="Times New Roman" w:eastAsia="黑体"/>
      <w:b w:val="0"/>
      <w:bCs w:val="0"/>
      <w:sz w:val="28"/>
    </w:rPr>
  </w:style>
  <w:style w:type="paragraph" w:styleId="6">
    <w:name w:val="heading 4"/>
    <w:basedOn w:val="1"/>
    <w:next w:val="1"/>
    <w:link w:val="153"/>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7">
    <w:name w:val="heading 5"/>
    <w:basedOn w:val="1"/>
    <w:next w:val="1"/>
    <w:link w:val="154"/>
    <w:qFormat/>
    <w:uiPriority w:val="9"/>
    <w:pPr>
      <w:keepNext/>
      <w:keepLines/>
      <w:widowControl w:val="0"/>
      <w:tabs>
        <w:tab w:val="left" w:pos="0"/>
      </w:tabs>
      <w:adjustRightInd/>
      <w:snapToGrid/>
      <w:spacing w:before="0" w:after="0"/>
      <w:ind w:firstLine="420" w:firstLineChars="0"/>
      <w:jc w:val="left"/>
      <w:outlineLvl w:val="4"/>
    </w:pPr>
    <w:rPr>
      <w:rFonts w:eastAsia="仿宋_GB2312" w:cs="Times New Roman"/>
      <w:b/>
      <w:bCs/>
      <w:sz w:val="28"/>
      <w:szCs w:val="21"/>
    </w:rPr>
  </w:style>
  <w:style w:type="paragraph" w:styleId="8">
    <w:name w:val="heading 6"/>
    <w:basedOn w:val="1"/>
    <w:next w:val="1"/>
    <w:link w:val="208"/>
    <w:semiHidden/>
    <w:unhideWhenUsed/>
    <w:qFormat/>
    <w:uiPriority w:val="9"/>
    <w:pPr>
      <w:keepNext/>
      <w:keepLines/>
      <w:widowControl w:val="0"/>
      <w:adjustRightInd/>
      <w:snapToGrid/>
      <w:spacing w:before="240" w:after="64" w:line="320" w:lineRule="auto"/>
      <w:ind w:firstLine="0" w:firstLineChars="0"/>
      <w:outlineLvl w:val="5"/>
    </w:pPr>
    <w:rPr>
      <w:rFonts w:ascii="等线 Light" w:hAnsi="等线 Light" w:eastAsia="等线 Light" w:cs="Times New Roman"/>
      <w:b/>
      <w:bCs/>
      <w:kern w:val="2"/>
      <w:szCs w:val="24"/>
    </w:rPr>
  </w:style>
  <w:style w:type="paragraph" w:styleId="9">
    <w:name w:val="heading 7"/>
    <w:basedOn w:val="1"/>
    <w:next w:val="1"/>
    <w:link w:val="209"/>
    <w:semiHidden/>
    <w:unhideWhenUsed/>
    <w:qFormat/>
    <w:uiPriority w:val="9"/>
    <w:pPr>
      <w:keepNext/>
      <w:keepLines/>
      <w:widowControl w:val="0"/>
      <w:adjustRightInd/>
      <w:snapToGrid/>
      <w:spacing w:before="240" w:after="64" w:line="320" w:lineRule="auto"/>
      <w:ind w:firstLine="0" w:firstLineChars="0"/>
      <w:outlineLvl w:val="6"/>
    </w:pPr>
    <w:rPr>
      <w:rFonts w:ascii="Calibri" w:hAnsi="Calibri" w:cs="Times New Roman"/>
      <w:b/>
      <w:bCs/>
      <w:kern w:val="2"/>
      <w:szCs w:val="24"/>
    </w:rPr>
  </w:style>
  <w:style w:type="paragraph" w:styleId="10">
    <w:name w:val="heading 8"/>
    <w:basedOn w:val="1"/>
    <w:next w:val="1"/>
    <w:link w:val="169"/>
    <w:unhideWhenUsed/>
    <w:qFormat/>
    <w:uiPriority w:val="9"/>
    <w:pPr>
      <w:keepNext/>
      <w:keepLines/>
      <w:spacing w:before="240" w:after="64" w:line="320" w:lineRule="auto"/>
      <w:outlineLvl w:val="7"/>
    </w:pPr>
    <w:rPr>
      <w:rFonts w:ascii="Cambria" w:hAnsi="Cambria" w:cs="Times New Roman"/>
      <w:szCs w:val="24"/>
    </w:rPr>
  </w:style>
  <w:style w:type="paragraph" w:styleId="11">
    <w:name w:val="heading 9"/>
    <w:basedOn w:val="1"/>
    <w:next w:val="1"/>
    <w:link w:val="210"/>
    <w:semiHidden/>
    <w:unhideWhenUsed/>
    <w:qFormat/>
    <w:uiPriority w:val="9"/>
    <w:pPr>
      <w:keepNext/>
      <w:keepLines/>
      <w:widowControl w:val="0"/>
      <w:adjustRightInd/>
      <w:snapToGrid/>
      <w:spacing w:before="240" w:after="64" w:line="320" w:lineRule="auto"/>
      <w:ind w:firstLine="0" w:firstLineChars="0"/>
      <w:outlineLvl w:val="8"/>
    </w:pPr>
    <w:rPr>
      <w:rFonts w:ascii="等线 Light" w:hAnsi="等线 Light" w:eastAsia="等线 Light" w:cs="Times New Roman"/>
      <w:kern w:val="2"/>
      <w:sz w:val="21"/>
      <w:szCs w:val="21"/>
    </w:rPr>
  </w:style>
  <w:style w:type="character" w:default="1" w:styleId="88">
    <w:name w:val="Default Paragraph Font"/>
    <w:semiHidden/>
    <w:unhideWhenUsed/>
    <w:qFormat/>
    <w:uiPriority w:val="1"/>
  </w:style>
  <w:style w:type="table" w:default="1" w:styleId="94">
    <w:name w:val="Normal Table"/>
    <w:semiHidden/>
    <w:unhideWhenUsed/>
    <w:uiPriority w:val="99"/>
    <w:tblPr>
      <w:tblLayout w:type="fixed"/>
      <w:tblCellMar>
        <w:top w:w="0" w:type="dxa"/>
        <w:left w:w="108" w:type="dxa"/>
        <w:bottom w:w="0" w:type="dxa"/>
        <w:right w:w="108" w:type="dxa"/>
      </w:tblCellMar>
    </w:tblPr>
  </w:style>
  <w:style w:type="paragraph" w:styleId="3">
    <w:name w:val="Title"/>
    <w:basedOn w:val="1"/>
    <w:next w:val="1"/>
    <w:link w:val="103"/>
    <w:qFormat/>
    <w:uiPriority w:val="0"/>
    <w:pPr>
      <w:spacing w:before="240" w:after="60"/>
      <w:jc w:val="center"/>
      <w:outlineLvl w:val="0"/>
    </w:pPr>
    <w:rPr>
      <w:rFonts w:asciiTheme="majorHAnsi" w:hAnsiTheme="majorHAnsi" w:cstheme="majorBidi"/>
      <w:b/>
      <w:bCs/>
      <w:sz w:val="32"/>
      <w:szCs w:val="32"/>
    </w:rPr>
  </w:style>
  <w:style w:type="paragraph" w:styleId="12">
    <w:name w:val="List 3"/>
    <w:basedOn w:val="1"/>
    <w:semiHidden/>
    <w:unhideWhenUsed/>
    <w:uiPriority w:val="99"/>
    <w:pPr>
      <w:widowControl w:val="0"/>
      <w:adjustRightInd/>
      <w:snapToGrid/>
      <w:spacing w:before="0" w:after="0" w:line="240" w:lineRule="auto"/>
      <w:ind w:left="100" w:leftChars="400" w:hanging="200" w:hangingChars="200"/>
      <w:contextualSpacing/>
    </w:pPr>
    <w:rPr>
      <w:rFonts w:ascii="Calibri" w:hAnsi="Calibri" w:cs="Times New Roman"/>
      <w:kern w:val="2"/>
      <w:sz w:val="21"/>
    </w:rPr>
  </w:style>
  <w:style w:type="paragraph" w:styleId="13">
    <w:name w:val="annotation subject"/>
    <w:basedOn w:val="14"/>
    <w:next w:val="14"/>
    <w:link w:val="126"/>
    <w:unhideWhenUsed/>
    <w:qFormat/>
    <w:uiPriority w:val="99"/>
    <w:rPr>
      <w:b/>
      <w:bCs/>
    </w:rPr>
  </w:style>
  <w:style w:type="paragraph" w:styleId="14">
    <w:name w:val="annotation text"/>
    <w:basedOn w:val="1"/>
    <w:link w:val="125"/>
    <w:unhideWhenUsed/>
    <w:qFormat/>
    <w:uiPriority w:val="99"/>
    <w:pPr>
      <w:widowControl w:val="0"/>
      <w:adjustRightInd/>
      <w:snapToGrid/>
      <w:spacing w:after="0"/>
      <w:jc w:val="left"/>
    </w:pPr>
    <w:rPr>
      <w:rFonts w:ascii="宋体" w:hAnsi="宋体" w:cs="Times New Roman"/>
      <w:szCs w:val="24"/>
    </w:rPr>
  </w:style>
  <w:style w:type="paragraph" w:styleId="15">
    <w:name w:val="toc 7"/>
    <w:basedOn w:val="1"/>
    <w:next w:val="1"/>
    <w:unhideWhenUsed/>
    <w:qFormat/>
    <w:uiPriority w:val="39"/>
    <w:pPr>
      <w:widowControl w:val="0"/>
      <w:adjustRightInd/>
      <w:snapToGrid/>
      <w:spacing w:after="0" w:line="240" w:lineRule="auto"/>
      <w:ind w:left="2520" w:leftChars="1200" w:firstLine="0" w:firstLineChars="0"/>
    </w:pPr>
    <w:rPr>
      <w:rFonts w:ascii="Calibri" w:hAnsi="Calibri" w:cs="Times New Roman"/>
      <w:kern w:val="2"/>
      <w:sz w:val="21"/>
    </w:rPr>
  </w:style>
  <w:style w:type="paragraph" w:styleId="16">
    <w:name w:val="Body Text First Indent"/>
    <w:basedOn w:val="17"/>
    <w:link w:val="312"/>
    <w:semiHidden/>
    <w:unhideWhenUsed/>
    <w:uiPriority w:val="99"/>
    <w:pPr>
      <w:keepNext w:val="0"/>
      <w:keepLines w:val="0"/>
      <w:spacing w:beforeLines="0" w:after="120" w:line="240" w:lineRule="auto"/>
      <w:ind w:firstLine="420" w:firstLineChars="100"/>
      <w:outlineLvl w:val="9"/>
    </w:pPr>
    <w:rPr>
      <w:rFonts w:ascii="Calibri" w:hAnsi="Calibri"/>
      <w:snapToGrid/>
      <w:sz w:val="21"/>
      <w:szCs w:val="22"/>
    </w:rPr>
  </w:style>
  <w:style w:type="paragraph" w:styleId="17">
    <w:name w:val="Body Text"/>
    <w:basedOn w:val="6"/>
    <w:link w:val="230"/>
    <w:uiPriority w:val="0"/>
    <w:pPr>
      <w:widowControl w:val="0"/>
      <w:adjustRightInd/>
      <w:snapToGrid/>
      <w:spacing w:before="0" w:beforeLines="50" w:after="0" w:line="372" w:lineRule="auto"/>
    </w:pPr>
    <w:rPr>
      <w:rFonts w:eastAsia="微软雅黑" w:asciiTheme="minorHAnsi" w:hAnsiTheme="minorHAnsi" w:cstheme="minorBidi"/>
      <w:b w:val="0"/>
      <w:bCs w:val="0"/>
      <w:snapToGrid w:val="0"/>
    </w:rPr>
  </w:style>
  <w:style w:type="paragraph" w:styleId="18">
    <w:name w:val="List Number 2"/>
    <w:basedOn w:val="1"/>
    <w:semiHidden/>
    <w:unhideWhenUsed/>
    <w:uiPriority w:val="99"/>
    <w:pPr>
      <w:widowControl w:val="0"/>
      <w:numPr>
        <w:ilvl w:val="0"/>
        <w:numId w:val="1"/>
      </w:numPr>
      <w:adjustRightInd/>
      <w:snapToGrid/>
      <w:spacing w:before="0" w:after="0" w:line="240" w:lineRule="auto"/>
      <w:contextualSpacing/>
    </w:pPr>
    <w:rPr>
      <w:rFonts w:ascii="Calibri" w:hAnsi="Calibri" w:cs="Times New Roman"/>
      <w:kern w:val="2"/>
      <w:sz w:val="21"/>
    </w:rPr>
  </w:style>
  <w:style w:type="paragraph" w:styleId="19">
    <w:name w:val="table of authorities"/>
    <w:basedOn w:val="1"/>
    <w:next w:val="1"/>
    <w:semiHidden/>
    <w:unhideWhenUsed/>
    <w:uiPriority w:val="99"/>
    <w:pPr>
      <w:widowControl w:val="0"/>
      <w:adjustRightInd/>
      <w:snapToGrid/>
      <w:spacing w:before="0" w:after="0" w:line="240" w:lineRule="auto"/>
      <w:ind w:left="420" w:leftChars="200" w:firstLine="0" w:firstLineChars="0"/>
    </w:pPr>
    <w:rPr>
      <w:rFonts w:ascii="Calibri" w:hAnsi="Calibri" w:cs="Times New Roman"/>
      <w:kern w:val="2"/>
      <w:sz w:val="21"/>
    </w:rPr>
  </w:style>
  <w:style w:type="paragraph" w:styleId="20">
    <w:name w:val="macro"/>
    <w:link w:val="293"/>
    <w:semiHidden/>
    <w:unhideWhenUsed/>
    <w:uiPriority w:val="99"/>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eastAsia="宋体" w:cs="Courier New"/>
      <w:kern w:val="2"/>
      <w:sz w:val="24"/>
      <w:szCs w:val="24"/>
      <w:lang w:val="en-US" w:eastAsia="zh-CN" w:bidi="ar-SA"/>
    </w:rPr>
  </w:style>
  <w:style w:type="paragraph" w:styleId="21">
    <w:name w:val="Note Heading"/>
    <w:basedOn w:val="1"/>
    <w:next w:val="1"/>
    <w:link w:val="324"/>
    <w:semiHidden/>
    <w:unhideWhenUsed/>
    <w:uiPriority w:val="99"/>
    <w:pPr>
      <w:widowControl w:val="0"/>
      <w:adjustRightInd/>
      <w:snapToGrid/>
      <w:spacing w:before="0" w:after="0" w:line="240" w:lineRule="auto"/>
      <w:ind w:firstLine="0" w:firstLineChars="0"/>
      <w:jc w:val="center"/>
    </w:pPr>
    <w:rPr>
      <w:rFonts w:ascii="Calibri" w:hAnsi="Calibri" w:cs="Times New Roman"/>
      <w:kern w:val="2"/>
      <w:sz w:val="21"/>
    </w:rPr>
  </w:style>
  <w:style w:type="paragraph" w:styleId="22">
    <w:name w:val="List Bullet 4"/>
    <w:basedOn w:val="1"/>
    <w:semiHidden/>
    <w:unhideWhenUsed/>
    <w:uiPriority w:val="99"/>
    <w:pPr>
      <w:widowControl w:val="0"/>
      <w:numPr>
        <w:ilvl w:val="0"/>
        <w:numId w:val="2"/>
      </w:numPr>
      <w:adjustRightInd/>
      <w:snapToGrid/>
      <w:spacing w:before="0" w:after="0" w:line="240" w:lineRule="auto"/>
      <w:contextualSpacing/>
    </w:pPr>
    <w:rPr>
      <w:rFonts w:ascii="Calibri" w:hAnsi="Calibri" w:cs="Times New Roman"/>
      <w:kern w:val="2"/>
      <w:sz w:val="21"/>
    </w:rPr>
  </w:style>
  <w:style w:type="paragraph" w:styleId="23">
    <w:name w:val="index 8"/>
    <w:basedOn w:val="1"/>
    <w:next w:val="1"/>
    <w:semiHidden/>
    <w:unhideWhenUsed/>
    <w:qFormat/>
    <w:uiPriority w:val="99"/>
    <w:pPr>
      <w:widowControl w:val="0"/>
      <w:adjustRightInd/>
      <w:snapToGrid/>
      <w:spacing w:before="0" w:after="0" w:line="240" w:lineRule="auto"/>
      <w:ind w:left="1400" w:leftChars="1400" w:firstLine="0" w:firstLineChars="0"/>
    </w:pPr>
    <w:rPr>
      <w:rFonts w:ascii="Calibri" w:hAnsi="Calibri" w:cs="Times New Roman"/>
      <w:kern w:val="2"/>
      <w:sz w:val="21"/>
    </w:rPr>
  </w:style>
  <w:style w:type="paragraph" w:styleId="24">
    <w:name w:val="E-mail Signature"/>
    <w:basedOn w:val="1"/>
    <w:link w:val="289"/>
    <w:semiHidden/>
    <w:unhideWhenUsed/>
    <w:uiPriority w:val="99"/>
    <w:pPr>
      <w:widowControl w:val="0"/>
      <w:adjustRightInd/>
      <w:snapToGrid/>
      <w:spacing w:before="0" w:after="0" w:line="240" w:lineRule="auto"/>
      <w:ind w:firstLine="0" w:firstLineChars="0"/>
    </w:pPr>
    <w:rPr>
      <w:rFonts w:ascii="Calibri" w:hAnsi="Calibri" w:cs="Times New Roman"/>
      <w:kern w:val="2"/>
      <w:sz w:val="21"/>
    </w:rPr>
  </w:style>
  <w:style w:type="paragraph" w:styleId="25">
    <w:name w:val="List Number"/>
    <w:basedOn w:val="1"/>
    <w:semiHidden/>
    <w:unhideWhenUsed/>
    <w:uiPriority w:val="99"/>
    <w:pPr>
      <w:widowControl w:val="0"/>
      <w:numPr>
        <w:ilvl w:val="0"/>
        <w:numId w:val="3"/>
      </w:numPr>
      <w:adjustRightInd/>
      <w:snapToGrid/>
      <w:spacing w:before="0" w:after="0" w:line="240" w:lineRule="auto"/>
      <w:contextualSpacing/>
    </w:pPr>
    <w:rPr>
      <w:rFonts w:ascii="Calibri" w:hAnsi="Calibri" w:cs="Times New Roman"/>
      <w:kern w:val="2"/>
      <w:sz w:val="21"/>
    </w:rPr>
  </w:style>
  <w:style w:type="paragraph" w:styleId="26">
    <w:name w:val="Normal Indent"/>
    <w:basedOn w:val="1"/>
    <w:semiHidden/>
    <w:unhideWhenUsed/>
    <w:uiPriority w:val="99"/>
    <w:pPr>
      <w:widowControl w:val="0"/>
      <w:adjustRightInd/>
      <w:snapToGrid/>
      <w:spacing w:before="0" w:after="0" w:line="240" w:lineRule="auto"/>
      <w:ind w:firstLine="420"/>
    </w:pPr>
    <w:rPr>
      <w:rFonts w:ascii="Calibri" w:hAnsi="Calibri" w:cs="Times New Roman"/>
      <w:kern w:val="2"/>
      <w:sz w:val="21"/>
    </w:rPr>
  </w:style>
  <w:style w:type="paragraph" w:styleId="27">
    <w:name w:val="caption"/>
    <w:basedOn w:val="1"/>
    <w:next w:val="1"/>
    <w:link w:val="143"/>
    <w:qFormat/>
    <w:uiPriority w:val="35"/>
    <w:pPr>
      <w:widowControl w:val="0"/>
      <w:adjustRightInd/>
      <w:snapToGrid/>
      <w:spacing w:afterLines="100"/>
      <w:ind w:firstLine="0" w:firstLineChars="0"/>
      <w:jc w:val="center"/>
    </w:pPr>
    <w:rPr>
      <w:rFonts w:ascii="Arial" w:hAnsi="Arial" w:eastAsia="黑体" w:cs="Times New Roman"/>
      <w:kern w:val="2"/>
      <w:szCs w:val="20"/>
    </w:rPr>
  </w:style>
  <w:style w:type="paragraph" w:styleId="28">
    <w:name w:val="index 5"/>
    <w:basedOn w:val="1"/>
    <w:next w:val="1"/>
    <w:semiHidden/>
    <w:unhideWhenUsed/>
    <w:uiPriority w:val="99"/>
    <w:pPr>
      <w:widowControl w:val="0"/>
      <w:adjustRightInd/>
      <w:snapToGrid/>
      <w:spacing w:before="0" w:after="0" w:line="240" w:lineRule="auto"/>
      <w:ind w:left="800" w:leftChars="800" w:firstLine="0" w:firstLineChars="0"/>
    </w:pPr>
    <w:rPr>
      <w:rFonts w:ascii="Calibri" w:hAnsi="Calibri" w:cs="Times New Roman"/>
      <w:kern w:val="2"/>
      <w:sz w:val="21"/>
    </w:rPr>
  </w:style>
  <w:style w:type="paragraph" w:styleId="29">
    <w:name w:val="List Bullet"/>
    <w:basedOn w:val="1"/>
    <w:semiHidden/>
    <w:unhideWhenUsed/>
    <w:uiPriority w:val="99"/>
    <w:pPr>
      <w:widowControl w:val="0"/>
      <w:numPr>
        <w:ilvl w:val="0"/>
        <w:numId w:val="4"/>
      </w:numPr>
      <w:adjustRightInd/>
      <w:snapToGrid/>
      <w:spacing w:before="0" w:after="0" w:line="240" w:lineRule="auto"/>
      <w:contextualSpacing/>
    </w:pPr>
    <w:rPr>
      <w:rFonts w:ascii="Calibri" w:hAnsi="Calibri" w:cs="Times New Roman"/>
      <w:kern w:val="2"/>
      <w:sz w:val="21"/>
    </w:rPr>
  </w:style>
  <w:style w:type="paragraph" w:styleId="30">
    <w:name w:val="envelope address"/>
    <w:basedOn w:val="1"/>
    <w:semiHidden/>
    <w:unhideWhenUsed/>
    <w:uiPriority w:val="99"/>
    <w:pPr>
      <w:framePr w:w="7920" w:h="1980" w:hRule="exact" w:hSpace="180" w:wrap="around" w:vAnchor="margin" w:hAnchor="page" w:xAlign="center" w:yAlign="bottom"/>
      <w:widowControl w:val="0"/>
      <w:adjustRightInd/>
      <w:spacing w:before="0" w:after="0" w:line="240" w:lineRule="auto"/>
      <w:ind w:left="100" w:leftChars="1400" w:firstLine="0" w:firstLineChars="0"/>
    </w:pPr>
    <w:rPr>
      <w:rFonts w:ascii="等线 Light" w:hAnsi="等线 Light" w:eastAsia="等线 Light" w:cs="Times New Roman"/>
      <w:kern w:val="2"/>
      <w:szCs w:val="24"/>
    </w:rPr>
  </w:style>
  <w:style w:type="paragraph" w:styleId="31">
    <w:name w:val="Document Map"/>
    <w:basedOn w:val="1"/>
    <w:link w:val="98"/>
    <w:unhideWhenUsed/>
    <w:uiPriority w:val="99"/>
    <w:rPr>
      <w:rFonts w:ascii="宋体"/>
      <w:sz w:val="18"/>
      <w:szCs w:val="18"/>
    </w:rPr>
  </w:style>
  <w:style w:type="paragraph" w:styleId="32">
    <w:name w:val="toa heading"/>
    <w:basedOn w:val="1"/>
    <w:next w:val="1"/>
    <w:semiHidden/>
    <w:unhideWhenUsed/>
    <w:uiPriority w:val="99"/>
    <w:pPr>
      <w:widowControl w:val="0"/>
      <w:adjustRightInd/>
      <w:snapToGrid/>
      <w:spacing w:after="0" w:line="240" w:lineRule="auto"/>
      <w:ind w:firstLine="0" w:firstLineChars="0"/>
    </w:pPr>
    <w:rPr>
      <w:rFonts w:ascii="等线 Light" w:hAnsi="等线 Light" w:cs="Times New Roman"/>
      <w:kern w:val="2"/>
      <w:szCs w:val="24"/>
    </w:rPr>
  </w:style>
  <w:style w:type="paragraph" w:styleId="33">
    <w:name w:val="index 6"/>
    <w:basedOn w:val="1"/>
    <w:next w:val="1"/>
    <w:semiHidden/>
    <w:unhideWhenUsed/>
    <w:uiPriority w:val="99"/>
    <w:pPr>
      <w:widowControl w:val="0"/>
      <w:adjustRightInd/>
      <w:snapToGrid/>
      <w:spacing w:before="0" w:after="0" w:line="240" w:lineRule="auto"/>
      <w:ind w:left="1000" w:leftChars="1000" w:firstLine="0" w:firstLineChars="0"/>
    </w:pPr>
    <w:rPr>
      <w:rFonts w:ascii="Calibri" w:hAnsi="Calibri" w:cs="Times New Roman"/>
      <w:kern w:val="2"/>
      <w:sz w:val="21"/>
    </w:rPr>
  </w:style>
  <w:style w:type="paragraph" w:styleId="34">
    <w:name w:val="Salutation"/>
    <w:basedOn w:val="1"/>
    <w:next w:val="1"/>
    <w:link w:val="285"/>
    <w:semiHidden/>
    <w:unhideWhenUsed/>
    <w:uiPriority w:val="99"/>
    <w:pPr>
      <w:widowControl w:val="0"/>
      <w:adjustRightInd/>
      <w:snapToGrid/>
      <w:spacing w:before="0" w:after="0" w:line="240" w:lineRule="auto"/>
      <w:ind w:firstLine="0" w:firstLineChars="0"/>
    </w:pPr>
    <w:rPr>
      <w:rFonts w:ascii="Calibri" w:hAnsi="Calibri" w:cs="Times New Roman"/>
      <w:kern w:val="2"/>
      <w:sz w:val="21"/>
    </w:rPr>
  </w:style>
  <w:style w:type="paragraph" w:styleId="35">
    <w:name w:val="Body Text 3"/>
    <w:basedOn w:val="1"/>
    <w:link w:val="318"/>
    <w:semiHidden/>
    <w:unhideWhenUsed/>
    <w:uiPriority w:val="99"/>
    <w:pPr>
      <w:widowControl w:val="0"/>
      <w:adjustRightInd/>
      <w:snapToGrid/>
      <w:spacing w:before="0" w:line="240" w:lineRule="auto"/>
      <w:ind w:firstLine="0" w:firstLineChars="0"/>
    </w:pPr>
    <w:rPr>
      <w:rFonts w:ascii="Calibri" w:hAnsi="Calibri" w:cs="Times New Roman"/>
      <w:kern w:val="2"/>
      <w:sz w:val="16"/>
      <w:szCs w:val="16"/>
    </w:rPr>
  </w:style>
  <w:style w:type="paragraph" w:styleId="36">
    <w:name w:val="Closing"/>
    <w:basedOn w:val="1"/>
    <w:link w:val="297"/>
    <w:semiHidden/>
    <w:unhideWhenUsed/>
    <w:uiPriority w:val="99"/>
    <w:pPr>
      <w:widowControl w:val="0"/>
      <w:adjustRightInd/>
      <w:snapToGrid/>
      <w:spacing w:before="0" w:after="0" w:line="240" w:lineRule="auto"/>
      <w:ind w:left="100" w:leftChars="2100" w:firstLine="0" w:firstLineChars="0"/>
    </w:pPr>
    <w:rPr>
      <w:rFonts w:ascii="Calibri" w:hAnsi="Calibri" w:cs="Times New Roman"/>
      <w:kern w:val="2"/>
      <w:sz w:val="21"/>
    </w:rPr>
  </w:style>
  <w:style w:type="paragraph" w:styleId="37">
    <w:name w:val="List Bullet 3"/>
    <w:basedOn w:val="1"/>
    <w:semiHidden/>
    <w:unhideWhenUsed/>
    <w:uiPriority w:val="99"/>
    <w:pPr>
      <w:widowControl w:val="0"/>
      <w:numPr>
        <w:ilvl w:val="0"/>
        <w:numId w:val="5"/>
      </w:numPr>
      <w:adjustRightInd/>
      <w:snapToGrid/>
      <w:spacing w:before="0" w:after="0" w:line="240" w:lineRule="auto"/>
      <w:contextualSpacing/>
    </w:pPr>
    <w:rPr>
      <w:rFonts w:ascii="Calibri" w:hAnsi="Calibri" w:cs="Times New Roman"/>
      <w:kern w:val="2"/>
      <w:sz w:val="21"/>
    </w:rPr>
  </w:style>
  <w:style w:type="paragraph" w:styleId="38">
    <w:name w:val="Body Text Indent"/>
    <w:basedOn w:val="1"/>
    <w:link w:val="128"/>
    <w:qFormat/>
    <w:uiPriority w:val="0"/>
    <w:pPr>
      <w:widowControl w:val="0"/>
      <w:adjustRightInd/>
      <w:snapToGrid/>
      <w:ind w:left="420" w:leftChars="200" w:firstLine="0" w:firstLineChars="0"/>
    </w:pPr>
    <w:rPr>
      <w:rFonts w:ascii="宋体" w:hAnsi="宋体" w:cs="Times New Roman"/>
      <w:sz w:val="20"/>
      <w:szCs w:val="24"/>
    </w:rPr>
  </w:style>
  <w:style w:type="paragraph" w:styleId="39">
    <w:name w:val="List Number 3"/>
    <w:basedOn w:val="1"/>
    <w:semiHidden/>
    <w:unhideWhenUsed/>
    <w:uiPriority w:val="99"/>
    <w:pPr>
      <w:widowControl w:val="0"/>
      <w:numPr>
        <w:ilvl w:val="0"/>
        <w:numId w:val="6"/>
      </w:numPr>
      <w:adjustRightInd/>
      <w:snapToGrid/>
      <w:spacing w:before="0" w:after="0" w:line="240" w:lineRule="auto"/>
      <w:contextualSpacing/>
    </w:pPr>
    <w:rPr>
      <w:rFonts w:ascii="Calibri" w:hAnsi="Calibri" w:cs="Times New Roman"/>
      <w:kern w:val="2"/>
      <w:sz w:val="21"/>
    </w:rPr>
  </w:style>
  <w:style w:type="paragraph" w:styleId="40">
    <w:name w:val="List 2"/>
    <w:basedOn w:val="1"/>
    <w:semiHidden/>
    <w:unhideWhenUsed/>
    <w:uiPriority w:val="99"/>
    <w:pPr>
      <w:widowControl w:val="0"/>
      <w:adjustRightInd/>
      <w:snapToGrid/>
      <w:spacing w:before="0" w:after="0" w:line="240" w:lineRule="auto"/>
      <w:ind w:left="100" w:leftChars="200" w:hanging="200" w:hangingChars="200"/>
      <w:contextualSpacing/>
    </w:pPr>
    <w:rPr>
      <w:rFonts w:ascii="Calibri" w:hAnsi="Calibri" w:cs="Times New Roman"/>
      <w:kern w:val="2"/>
      <w:sz w:val="21"/>
    </w:rPr>
  </w:style>
  <w:style w:type="paragraph" w:styleId="41">
    <w:name w:val="List Continue"/>
    <w:basedOn w:val="1"/>
    <w:semiHidden/>
    <w:unhideWhenUsed/>
    <w:uiPriority w:val="99"/>
    <w:pPr>
      <w:widowControl w:val="0"/>
      <w:adjustRightInd/>
      <w:snapToGrid/>
      <w:spacing w:before="0" w:line="240" w:lineRule="auto"/>
      <w:ind w:left="420" w:leftChars="200" w:firstLine="0" w:firstLineChars="0"/>
      <w:contextualSpacing/>
    </w:pPr>
    <w:rPr>
      <w:rFonts w:ascii="Calibri" w:hAnsi="Calibri" w:cs="Times New Roman"/>
      <w:kern w:val="2"/>
      <w:sz w:val="21"/>
    </w:rPr>
  </w:style>
  <w:style w:type="paragraph" w:styleId="42">
    <w:name w:val="Block Text"/>
    <w:basedOn w:val="1"/>
    <w:semiHidden/>
    <w:unhideWhenUsed/>
    <w:uiPriority w:val="99"/>
    <w:pPr>
      <w:widowControl w:val="0"/>
      <w:adjustRightInd/>
      <w:snapToGrid/>
      <w:spacing w:before="0" w:line="240" w:lineRule="auto"/>
      <w:ind w:left="1440" w:leftChars="700" w:right="1440" w:rightChars="700" w:firstLine="0" w:firstLineChars="0"/>
    </w:pPr>
    <w:rPr>
      <w:rFonts w:ascii="Calibri" w:hAnsi="Calibri" w:cs="Times New Roman"/>
      <w:kern w:val="2"/>
      <w:sz w:val="21"/>
    </w:rPr>
  </w:style>
  <w:style w:type="paragraph" w:styleId="43">
    <w:name w:val="List Bullet 2"/>
    <w:basedOn w:val="1"/>
    <w:semiHidden/>
    <w:unhideWhenUsed/>
    <w:uiPriority w:val="99"/>
    <w:pPr>
      <w:widowControl w:val="0"/>
      <w:numPr>
        <w:ilvl w:val="0"/>
        <w:numId w:val="7"/>
      </w:numPr>
      <w:adjustRightInd/>
      <w:snapToGrid/>
      <w:spacing w:before="0" w:after="0" w:line="240" w:lineRule="auto"/>
      <w:contextualSpacing/>
    </w:pPr>
    <w:rPr>
      <w:rFonts w:ascii="Calibri" w:hAnsi="Calibri" w:cs="Times New Roman"/>
      <w:kern w:val="2"/>
      <w:sz w:val="21"/>
    </w:rPr>
  </w:style>
  <w:style w:type="paragraph" w:styleId="44">
    <w:name w:val="HTML Address"/>
    <w:basedOn w:val="1"/>
    <w:link w:val="283"/>
    <w:semiHidden/>
    <w:unhideWhenUsed/>
    <w:uiPriority w:val="99"/>
    <w:pPr>
      <w:widowControl w:val="0"/>
      <w:adjustRightInd/>
      <w:snapToGrid/>
      <w:spacing w:before="0" w:after="0" w:line="240" w:lineRule="auto"/>
      <w:ind w:firstLine="0" w:firstLineChars="0"/>
    </w:pPr>
    <w:rPr>
      <w:rFonts w:ascii="Calibri" w:hAnsi="Calibri" w:cs="Times New Roman"/>
      <w:i/>
      <w:iCs/>
      <w:kern w:val="2"/>
      <w:sz w:val="21"/>
    </w:rPr>
  </w:style>
  <w:style w:type="paragraph" w:styleId="45">
    <w:name w:val="index 4"/>
    <w:basedOn w:val="1"/>
    <w:next w:val="1"/>
    <w:semiHidden/>
    <w:unhideWhenUsed/>
    <w:uiPriority w:val="99"/>
    <w:pPr>
      <w:widowControl w:val="0"/>
      <w:adjustRightInd/>
      <w:snapToGrid/>
      <w:spacing w:before="0" w:after="0" w:line="240" w:lineRule="auto"/>
      <w:ind w:left="600" w:leftChars="600" w:firstLine="0" w:firstLineChars="0"/>
    </w:pPr>
    <w:rPr>
      <w:rFonts w:ascii="Calibri" w:hAnsi="Calibri" w:cs="Times New Roman"/>
      <w:kern w:val="2"/>
      <w:sz w:val="21"/>
    </w:rPr>
  </w:style>
  <w:style w:type="paragraph" w:styleId="46">
    <w:name w:val="toc 5"/>
    <w:basedOn w:val="1"/>
    <w:next w:val="1"/>
    <w:unhideWhenUsed/>
    <w:qFormat/>
    <w:uiPriority w:val="39"/>
    <w:pPr>
      <w:widowControl w:val="0"/>
      <w:adjustRightInd/>
      <w:snapToGrid/>
      <w:spacing w:after="0" w:line="240" w:lineRule="auto"/>
      <w:ind w:left="1680" w:leftChars="800" w:firstLine="0" w:firstLineChars="0"/>
    </w:pPr>
    <w:rPr>
      <w:rFonts w:ascii="Calibri" w:hAnsi="Calibri" w:cs="Times New Roman"/>
      <w:kern w:val="2"/>
      <w:sz w:val="21"/>
    </w:rPr>
  </w:style>
  <w:style w:type="paragraph" w:styleId="47">
    <w:name w:val="toc 3"/>
    <w:basedOn w:val="1"/>
    <w:next w:val="1"/>
    <w:unhideWhenUsed/>
    <w:qFormat/>
    <w:uiPriority w:val="39"/>
    <w:pPr>
      <w:widowControl w:val="0"/>
      <w:tabs>
        <w:tab w:val="right" w:leader="dot" w:pos="8296"/>
      </w:tabs>
      <w:adjustRightInd/>
      <w:snapToGrid/>
      <w:spacing w:after="0" w:line="312" w:lineRule="auto"/>
      <w:ind w:left="566" w:leftChars="236" w:firstLine="480"/>
    </w:pPr>
    <w:rPr>
      <w:rFonts w:cs="Times New Roman"/>
      <w:kern w:val="2"/>
      <w:szCs w:val="24"/>
    </w:rPr>
  </w:style>
  <w:style w:type="paragraph" w:styleId="48">
    <w:name w:val="Plain Text"/>
    <w:basedOn w:val="1"/>
    <w:link w:val="287"/>
    <w:semiHidden/>
    <w:unhideWhenUsed/>
    <w:uiPriority w:val="99"/>
    <w:pPr>
      <w:widowControl w:val="0"/>
      <w:adjustRightInd/>
      <w:snapToGrid/>
      <w:spacing w:before="0" w:after="0" w:line="240" w:lineRule="auto"/>
      <w:ind w:firstLine="0" w:firstLineChars="0"/>
    </w:pPr>
    <w:rPr>
      <w:rFonts w:ascii="宋体" w:hAnsi="Courier New" w:cs="Courier New"/>
      <w:kern w:val="2"/>
      <w:sz w:val="21"/>
      <w:szCs w:val="21"/>
    </w:rPr>
  </w:style>
  <w:style w:type="paragraph" w:styleId="49">
    <w:name w:val="List Bullet 5"/>
    <w:basedOn w:val="1"/>
    <w:semiHidden/>
    <w:unhideWhenUsed/>
    <w:uiPriority w:val="99"/>
    <w:pPr>
      <w:widowControl w:val="0"/>
      <w:numPr>
        <w:ilvl w:val="0"/>
        <w:numId w:val="8"/>
      </w:numPr>
      <w:adjustRightInd/>
      <w:snapToGrid/>
      <w:spacing w:before="0" w:after="0" w:line="240" w:lineRule="auto"/>
      <w:contextualSpacing/>
    </w:pPr>
    <w:rPr>
      <w:rFonts w:ascii="Calibri" w:hAnsi="Calibri" w:cs="Times New Roman"/>
      <w:kern w:val="2"/>
      <w:sz w:val="21"/>
    </w:rPr>
  </w:style>
  <w:style w:type="paragraph" w:styleId="50">
    <w:name w:val="List Number 4"/>
    <w:basedOn w:val="1"/>
    <w:semiHidden/>
    <w:unhideWhenUsed/>
    <w:uiPriority w:val="99"/>
    <w:pPr>
      <w:widowControl w:val="0"/>
      <w:numPr>
        <w:ilvl w:val="0"/>
        <w:numId w:val="9"/>
      </w:numPr>
      <w:adjustRightInd/>
      <w:snapToGrid/>
      <w:spacing w:before="0" w:after="0" w:line="240" w:lineRule="auto"/>
      <w:contextualSpacing/>
    </w:pPr>
    <w:rPr>
      <w:rFonts w:ascii="Calibri" w:hAnsi="Calibri" w:cs="Times New Roman"/>
      <w:kern w:val="2"/>
      <w:sz w:val="21"/>
    </w:rPr>
  </w:style>
  <w:style w:type="paragraph" w:styleId="51">
    <w:name w:val="toc 8"/>
    <w:basedOn w:val="1"/>
    <w:next w:val="1"/>
    <w:unhideWhenUsed/>
    <w:qFormat/>
    <w:uiPriority w:val="39"/>
    <w:pPr>
      <w:widowControl w:val="0"/>
      <w:adjustRightInd/>
      <w:snapToGrid/>
      <w:spacing w:after="0" w:line="240" w:lineRule="auto"/>
      <w:ind w:left="2940" w:leftChars="1400" w:firstLine="0" w:firstLineChars="0"/>
    </w:pPr>
    <w:rPr>
      <w:rFonts w:ascii="Calibri" w:hAnsi="Calibri" w:cs="Times New Roman"/>
      <w:kern w:val="2"/>
      <w:sz w:val="21"/>
    </w:rPr>
  </w:style>
  <w:style w:type="paragraph" w:styleId="52">
    <w:name w:val="index 3"/>
    <w:basedOn w:val="1"/>
    <w:next w:val="1"/>
    <w:semiHidden/>
    <w:unhideWhenUsed/>
    <w:uiPriority w:val="99"/>
    <w:pPr>
      <w:widowControl w:val="0"/>
      <w:adjustRightInd/>
      <w:snapToGrid/>
      <w:spacing w:before="0" w:after="0" w:line="240" w:lineRule="auto"/>
      <w:ind w:left="400" w:leftChars="400" w:firstLine="0" w:firstLineChars="0"/>
    </w:pPr>
    <w:rPr>
      <w:rFonts w:ascii="Calibri" w:hAnsi="Calibri" w:cs="Times New Roman"/>
      <w:kern w:val="2"/>
      <w:sz w:val="21"/>
    </w:rPr>
  </w:style>
  <w:style w:type="paragraph" w:styleId="53">
    <w:name w:val="Date"/>
    <w:basedOn w:val="1"/>
    <w:next w:val="1"/>
    <w:link w:val="99"/>
    <w:unhideWhenUsed/>
    <w:qFormat/>
    <w:uiPriority w:val="99"/>
    <w:pPr>
      <w:ind w:left="100" w:leftChars="2500"/>
    </w:pPr>
  </w:style>
  <w:style w:type="paragraph" w:styleId="54">
    <w:name w:val="Body Text Indent 2"/>
    <w:basedOn w:val="1"/>
    <w:link w:val="320"/>
    <w:semiHidden/>
    <w:unhideWhenUsed/>
    <w:qFormat/>
    <w:uiPriority w:val="99"/>
    <w:pPr>
      <w:widowControl w:val="0"/>
      <w:adjustRightInd/>
      <w:snapToGrid/>
      <w:spacing w:before="0" w:line="480" w:lineRule="auto"/>
      <w:ind w:left="420" w:leftChars="200" w:firstLine="0" w:firstLineChars="0"/>
    </w:pPr>
    <w:rPr>
      <w:rFonts w:ascii="Calibri" w:hAnsi="Calibri" w:cs="Times New Roman"/>
      <w:kern w:val="2"/>
      <w:sz w:val="21"/>
    </w:rPr>
  </w:style>
  <w:style w:type="paragraph" w:styleId="55">
    <w:name w:val="endnote text"/>
    <w:basedOn w:val="1"/>
    <w:link w:val="305"/>
    <w:semiHidden/>
    <w:unhideWhenUsed/>
    <w:uiPriority w:val="99"/>
    <w:pPr>
      <w:widowControl w:val="0"/>
      <w:adjustRightInd/>
      <w:spacing w:before="0" w:after="0" w:line="240" w:lineRule="auto"/>
      <w:ind w:firstLine="0" w:firstLineChars="0"/>
      <w:jc w:val="left"/>
    </w:pPr>
    <w:rPr>
      <w:rFonts w:ascii="Calibri" w:hAnsi="Calibri" w:cs="Times New Roman"/>
      <w:kern w:val="2"/>
      <w:sz w:val="21"/>
    </w:rPr>
  </w:style>
  <w:style w:type="paragraph" w:styleId="56">
    <w:name w:val="List Continue 5"/>
    <w:basedOn w:val="1"/>
    <w:semiHidden/>
    <w:unhideWhenUsed/>
    <w:uiPriority w:val="99"/>
    <w:pPr>
      <w:widowControl w:val="0"/>
      <w:adjustRightInd/>
      <w:snapToGrid/>
      <w:spacing w:before="0" w:line="240" w:lineRule="auto"/>
      <w:ind w:left="2100" w:leftChars="1000" w:firstLine="0" w:firstLineChars="0"/>
      <w:contextualSpacing/>
    </w:pPr>
    <w:rPr>
      <w:rFonts w:ascii="Calibri" w:hAnsi="Calibri" w:cs="Times New Roman"/>
      <w:kern w:val="2"/>
      <w:sz w:val="21"/>
    </w:rPr>
  </w:style>
  <w:style w:type="paragraph" w:styleId="57">
    <w:name w:val="Balloon Text"/>
    <w:basedOn w:val="1"/>
    <w:link w:val="106"/>
    <w:unhideWhenUsed/>
    <w:uiPriority w:val="0"/>
    <w:pPr>
      <w:spacing w:after="0" w:line="240" w:lineRule="auto"/>
    </w:pPr>
    <w:rPr>
      <w:sz w:val="18"/>
      <w:szCs w:val="18"/>
    </w:rPr>
  </w:style>
  <w:style w:type="paragraph" w:styleId="58">
    <w:name w:val="footer"/>
    <w:basedOn w:val="1"/>
    <w:link w:val="105"/>
    <w:unhideWhenUsed/>
    <w:uiPriority w:val="99"/>
    <w:pPr>
      <w:tabs>
        <w:tab w:val="center" w:pos="4153"/>
        <w:tab w:val="right" w:pos="8306"/>
      </w:tabs>
      <w:spacing w:line="240" w:lineRule="auto"/>
      <w:jc w:val="left"/>
    </w:pPr>
    <w:rPr>
      <w:sz w:val="18"/>
      <w:szCs w:val="18"/>
    </w:rPr>
  </w:style>
  <w:style w:type="paragraph" w:styleId="59">
    <w:name w:val="envelope return"/>
    <w:basedOn w:val="1"/>
    <w:semiHidden/>
    <w:unhideWhenUsed/>
    <w:uiPriority w:val="99"/>
    <w:pPr>
      <w:widowControl w:val="0"/>
      <w:adjustRightInd/>
      <w:spacing w:before="0" w:after="0" w:line="240" w:lineRule="auto"/>
      <w:ind w:firstLine="0" w:firstLineChars="0"/>
    </w:pPr>
    <w:rPr>
      <w:rFonts w:ascii="等线 Light" w:hAnsi="等线 Light" w:eastAsia="等线 Light" w:cs="Times New Roman"/>
      <w:kern w:val="2"/>
      <w:sz w:val="21"/>
    </w:rPr>
  </w:style>
  <w:style w:type="paragraph" w:styleId="60">
    <w:name w:val="Body Text First Indent 2"/>
    <w:basedOn w:val="38"/>
    <w:link w:val="314"/>
    <w:semiHidden/>
    <w:unhideWhenUsed/>
    <w:uiPriority w:val="99"/>
    <w:pPr>
      <w:spacing w:before="0" w:line="240" w:lineRule="auto"/>
      <w:ind w:firstLine="420" w:firstLineChars="200"/>
    </w:pPr>
    <w:rPr>
      <w:rFonts w:ascii="Calibri" w:hAnsi="Calibri"/>
      <w:kern w:val="2"/>
      <w:sz w:val="21"/>
      <w:szCs w:val="22"/>
    </w:rPr>
  </w:style>
  <w:style w:type="paragraph" w:styleId="61">
    <w:name w:val="header"/>
    <w:basedOn w:val="1"/>
    <w:link w:val="104"/>
    <w:unhideWhenUsed/>
    <w:uiPriority w:val="0"/>
    <w:pPr>
      <w:pBdr>
        <w:bottom w:val="single" w:color="auto" w:sz="6" w:space="1"/>
      </w:pBdr>
      <w:tabs>
        <w:tab w:val="center" w:pos="4153"/>
        <w:tab w:val="right" w:pos="8306"/>
      </w:tabs>
      <w:spacing w:line="240" w:lineRule="auto"/>
      <w:jc w:val="center"/>
    </w:pPr>
    <w:rPr>
      <w:sz w:val="18"/>
      <w:szCs w:val="18"/>
    </w:rPr>
  </w:style>
  <w:style w:type="paragraph" w:styleId="62">
    <w:name w:val="Signature"/>
    <w:basedOn w:val="1"/>
    <w:link w:val="302"/>
    <w:semiHidden/>
    <w:unhideWhenUsed/>
    <w:uiPriority w:val="99"/>
    <w:pPr>
      <w:widowControl w:val="0"/>
      <w:adjustRightInd/>
      <w:snapToGrid/>
      <w:spacing w:before="0" w:after="0" w:line="240" w:lineRule="auto"/>
      <w:ind w:left="100" w:leftChars="2100" w:firstLine="0" w:firstLineChars="0"/>
    </w:pPr>
    <w:rPr>
      <w:rFonts w:ascii="Calibri" w:hAnsi="Calibri" w:cs="Times New Roman"/>
      <w:kern w:val="2"/>
      <w:sz w:val="21"/>
    </w:rPr>
  </w:style>
  <w:style w:type="paragraph" w:styleId="63">
    <w:name w:val="toc 1"/>
    <w:basedOn w:val="1"/>
    <w:next w:val="1"/>
    <w:link w:val="237"/>
    <w:unhideWhenUsed/>
    <w:qFormat/>
    <w:uiPriority w:val="39"/>
    <w:pPr>
      <w:widowControl w:val="0"/>
      <w:tabs>
        <w:tab w:val="right" w:leader="dot" w:pos="8296"/>
      </w:tabs>
      <w:adjustRightInd/>
      <w:snapToGrid/>
      <w:spacing w:after="0"/>
      <w:ind w:firstLine="0" w:firstLineChars="0"/>
    </w:pPr>
    <w:rPr>
      <w:rFonts w:hAnsi="宋体" w:eastAsia="黑体" w:cs="Times New Roman"/>
      <w:kern w:val="2"/>
      <w:sz w:val="28"/>
      <w:szCs w:val="24"/>
    </w:rPr>
  </w:style>
  <w:style w:type="paragraph" w:styleId="64">
    <w:name w:val="List Continue 4"/>
    <w:basedOn w:val="1"/>
    <w:semiHidden/>
    <w:unhideWhenUsed/>
    <w:uiPriority w:val="99"/>
    <w:pPr>
      <w:widowControl w:val="0"/>
      <w:adjustRightInd/>
      <w:snapToGrid/>
      <w:spacing w:before="0" w:line="240" w:lineRule="auto"/>
      <w:ind w:left="1680" w:leftChars="800" w:firstLine="0" w:firstLineChars="0"/>
      <w:contextualSpacing/>
    </w:pPr>
    <w:rPr>
      <w:rFonts w:ascii="Calibri" w:hAnsi="Calibri" w:cs="Times New Roman"/>
      <w:kern w:val="2"/>
      <w:sz w:val="21"/>
    </w:rPr>
  </w:style>
  <w:style w:type="paragraph" w:styleId="65">
    <w:name w:val="toc 4"/>
    <w:basedOn w:val="1"/>
    <w:next w:val="1"/>
    <w:unhideWhenUsed/>
    <w:qFormat/>
    <w:uiPriority w:val="39"/>
    <w:pPr>
      <w:widowControl w:val="0"/>
      <w:adjustRightInd/>
      <w:snapToGrid/>
      <w:spacing w:after="0" w:line="240" w:lineRule="auto"/>
      <w:ind w:left="1260" w:leftChars="600" w:firstLine="0" w:firstLineChars="0"/>
    </w:pPr>
    <w:rPr>
      <w:rFonts w:ascii="Calibri" w:hAnsi="Calibri" w:cs="Times New Roman"/>
      <w:kern w:val="2"/>
      <w:sz w:val="21"/>
    </w:rPr>
  </w:style>
  <w:style w:type="paragraph" w:styleId="66">
    <w:name w:val="index heading"/>
    <w:basedOn w:val="1"/>
    <w:next w:val="67"/>
    <w:semiHidden/>
    <w:unhideWhenUsed/>
    <w:uiPriority w:val="99"/>
    <w:pPr>
      <w:widowControl w:val="0"/>
      <w:adjustRightInd/>
      <w:snapToGrid/>
      <w:spacing w:before="0" w:after="0" w:line="240" w:lineRule="auto"/>
      <w:ind w:firstLine="0" w:firstLineChars="0"/>
    </w:pPr>
    <w:rPr>
      <w:rFonts w:ascii="等线 Light" w:hAnsi="等线 Light" w:eastAsia="等线 Light" w:cs="Times New Roman"/>
      <w:b/>
      <w:bCs/>
      <w:kern w:val="2"/>
      <w:sz w:val="21"/>
    </w:rPr>
  </w:style>
  <w:style w:type="paragraph" w:styleId="67">
    <w:name w:val="index 1"/>
    <w:basedOn w:val="1"/>
    <w:next w:val="1"/>
    <w:semiHidden/>
    <w:unhideWhenUsed/>
    <w:uiPriority w:val="99"/>
    <w:pPr>
      <w:widowControl w:val="0"/>
      <w:adjustRightInd/>
      <w:snapToGrid/>
      <w:spacing w:before="0" w:after="0" w:line="240" w:lineRule="auto"/>
      <w:ind w:firstLine="0" w:firstLineChars="0"/>
    </w:pPr>
    <w:rPr>
      <w:rFonts w:ascii="Calibri" w:hAnsi="Calibri" w:cs="Times New Roman"/>
      <w:kern w:val="2"/>
      <w:sz w:val="21"/>
    </w:rPr>
  </w:style>
  <w:style w:type="paragraph" w:styleId="68">
    <w:name w:val="Subtitle"/>
    <w:basedOn w:val="1"/>
    <w:next w:val="1"/>
    <w:link w:val="291"/>
    <w:qFormat/>
    <w:uiPriority w:val="11"/>
    <w:pPr>
      <w:widowControl w:val="0"/>
      <w:adjustRightInd/>
      <w:snapToGrid/>
      <w:spacing w:before="240" w:after="60" w:line="312" w:lineRule="auto"/>
      <w:ind w:firstLine="0" w:firstLineChars="0"/>
      <w:jc w:val="center"/>
      <w:outlineLvl w:val="1"/>
    </w:pPr>
    <w:rPr>
      <w:rFonts w:ascii="等线 Light" w:hAnsi="等线 Light" w:cs="Times New Roman"/>
      <w:b/>
      <w:bCs/>
      <w:kern w:val="28"/>
      <w:sz w:val="32"/>
      <w:szCs w:val="32"/>
    </w:rPr>
  </w:style>
  <w:style w:type="paragraph" w:styleId="69">
    <w:name w:val="List Number 5"/>
    <w:basedOn w:val="1"/>
    <w:semiHidden/>
    <w:unhideWhenUsed/>
    <w:uiPriority w:val="99"/>
    <w:pPr>
      <w:widowControl w:val="0"/>
      <w:numPr>
        <w:ilvl w:val="0"/>
        <w:numId w:val="10"/>
      </w:numPr>
      <w:adjustRightInd/>
      <w:snapToGrid/>
      <w:spacing w:before="0" w:after="0" w:line="240" w:lineRule="auto"/>
      <w:contextualSpacing/>
    </w:pPr>
    <w:rPr>
      <w:rFonts w:ascii="Calibri" w:hAnsi="Calibri" w:cs="Times New Roman"/>
      <w:kern w:val="2"/>
      <w:sz w:val="21"/>
    </w:rPr>
  </w:style>
  <w:style w:type="paragraph" w:styleId="70">
    <w:name w:val="List"/>
    <w:basedOn w:val="1"/>
    <w:semiHidden/>
    <w:unhideWhenUsed/>
    <w:uiPriority w:val="99"/>
    <w:pPr>
      <w:widowControl w:val="0"/>
      <w:adjustRightInd/>
      <w:snapToGrid/>
      <w:spacing w:before="0" w:after="0" w:line="240" w:lineRule="auto"/>
      <w:ind w:left="200" w:hanging="200" w:hangingChars="200"/>
      <w:contextualSpacing/>
    </w:pPr>
    <w:rPr>
      <w:rFonts w:ascii="Calibri" w:hAnsi="Calibri" w:cs="Times New Roman"/>
      <w:kern w:val="2"/>
      <w:sz w:val="21"/>
    </w:rPr>
  </w:style>
  <w:style w:type="paragraph" w:styleId="71">
    <w:name w:val="footnote text"/>
    <w:basedOn w:val="1"/>
    <w:link w:val="295"/>
    <w:semiHidden/>
    <w:unhideWhenUsed/>
    <w:uiPriority w:val="99"/>
    <w:pPr>
      <w:widowControl w:val="0"/>
      <w:adjustRightInd/>
      <w:spacing w:before="0" w:after="0" w:line="240" w:lineRule="auto"/>
      <w:ind w:firstLine="0" w:firstLineChars="0"/>
      <w:jc w:val="left"/>
    </w:pPr>
    <w:rPr>
      <w:rFonts w:ascii="Calibri" w:hAnsi="Calibri" w:cs="Times New Roman"/>
      <w:kern w:val="2"/>
      <w:sz w:val="18"/>
      <w:szCs w:val="18"/>
    </w:rPr>
  </w:style>
  <w:style w:type="paragraph" w:styleId="72">
    <w:name w:val="toc 6"/>
    <w:basedOn w:val="1"/>
    <w:next w:val="1"/>
    <w:unhideWhenUsed/>
    <w:qFormat/>
    <w:uiPriority w:val="39"/>
    <w:pPr>
      <w:widowControl w:val="0"/>
      <w:adjustRightInd/>
      <w:snapToGrid/>
      <w:spacing w:after="0" w:line="240" w:lineRule="auto"/>
      <w:ind w:left="2100" w:leftChars="1000" w:firstLine="0" w:firstLineChars="0"/>
    </w:pPr>
    <w:rPr>
      <w:rFonts w:ascii="Calibri" w:hAnsi="Calibri" w:cs="Times New Roman"/>
      <w:kern w:val="2"/>
      <w:sz w:val="21"/>
    </w:rPr>
  </w:style>
  <w:style w:type="paragraph" w:styleId="73">
    <w:name w:val="List 5"/>
    <w:basedOn w:val="1"/>
    <w:semiHidden/>
    <w:unhideWhenUsed/>
    <w:uiPriority w:val="99"/>
    <w:pPr>
      <w:widowControl w:val="0"/>
      <w:adjustRightInd/>
      <w:snapToGrid/>
      <w:spacing w:before="0" w:after="0" w:line="240" w:lineRule="auto"/>
      <w:ind w:left="100" w:leftChars="800" w:hanging="200" w:hangingChars="200"/>
      <w:contextualSpacing/>
    </w:pPr>
    <w:rPr>
      <w:rFonts w:ascii="Calibri" w:hAnsi="Calibri" w:cs="Times New Roman"/>
      <w:kern w:val="2"/>
      <w:sz w:val="21"/>
    </w:rPr>
  </w:style>
  <w:style w:type="paragraph" w:styleId="74">
    <w:name w:val="Body Text Indent 3"/>
    <w:basedOn w:val="1"/>
    <w:link w:val="322"/>
    <w:semiHidden/>
    <w:unhideWhenUsed/>
    <w:uiPriority w:val="99"/>
    <w:pPr>
      <w:widowControl w:val="0"/>
      <w:adjustRightInd/>
      <w:snapToGrid/>
      <w:spacing w:before="0" w:line="240" w:lineRule="auto"/>
      <w:ind w:left="420" w:leftChars="200" w:firstLine="0" w:firstLineChars="0"/>
    </w:pPr>
    <w:rPr>
      <w:rFonts w:ascii="Calibri" w:hAnsi="Calibri" w:cs="Times New Roman"/>
      <w:kern w:val="2"/>
      <w:sz w:val="16"/>
      <w:szCs w:val="16"/>
    </w:rPr>
  </w:style>
  <w:style w:type="paragraph" w:styleId="75">
    <w:name w:val="index 7"/>
    <w:basedOn w:val="1"/>
    <w:next w:val="1"/>
    <w:semiHidden/>
    <w:unhideWhenUsed/>
    <w:uiPriority w:val="99"/>
    <w:pPr>
      <w:widowControl w:val="0"/>
      <w:adjustRightInd/>
      <w:snapToGrid/>
      <w:spacing w:before="0" w:after="0" w:line="240" w:lineRule="auto"/>
      <w:ind w:left="1200" w:leftChars="1200" w:firstLine="0" w:firstLineChars="0"/>
    </w:pPr>
    <w:rPr>
      <w:rFonts w:ascii="Calibri" w:hAnsi="Calibri" w:cs="Times New Roman"/>
      <w:kern w:val="2"/>
      <w:sz w:val="21"/>
    </w:rPr>
  </w:style>
  <w:style w:type="paragraph" w:styleId="76">
    <w:name w:val="index 9"/>
    <w:basedOn w:val="1"/>
    <w:next w:val="1"/>
    <w:semiHidden/>
    <w:unhideWhenUsed/>
    <w:uiPriority w:val="99"/>
    <w:pPr>
      <w:widowControl w:val="0"/>
      <w:adjustRightInd/>
      <w:snapToGrid/>
      <w:spacing w:before="0" w:after="0" w:line="240" w:lineRule="auto"/>
      <w:ind w:left="1600" w:leftChars="1600" w:firstLine="0" w:firstLineChars="0"/>
    </w:pPr>
    <w:rPr>
      <w:rFonts w:ascii="Calibri" w:hAnsi="Calibri" w:cs="Times New Roman"/>
      <w:kern w:val="2"/>
      <w:sz w:val="21"/>
    </w:rPr>
  </w:style>
  <w:style w:type="paragraph" w:styleId="77">
    <w:name w:val="table of figures"/>
    <w:basedOn w:val="1"/>
    <w:next w:val="1"/>
    <w:unhideWhenUsed/>
    <w:qFormat/>
    <w:uiPriority w:val="99"/>
    <w:pPr>
      <w:ind w:left="200" w:leftChars="200" w:hanging="200" w:hangingChars="200"/>
    </w:pPr>
  </w:style>
  <w:style w:type="paragraph" w:styleId="78">
    <w:name w:val="toc 2"/>
    <w:basedOn w:val="1"/>
    <w:next w:val="1"/>
    <w:unhideWhenUsed/>
    <w:qFormat/>
    <w:uiPriority w:val="39"/>
    <w:pPr>
      <w:widowControl w:val="0"/>
      <w:tabs>
        <w:tab w:val="right" w:leader="dot" w:pos="8296"/>
      </w:tabs>
      <w:adjustRightInd/>
      <w:snapToGrid/>
      <w:spacing w:after="0"/>
      <w:ind w:left="142" w:leftChars="59" w:firstLine="480"/>
    </w:pPr>
    <w:rPr>
      <w:rFonts w:cs="仿宋_GB2312"/>
      <w:bCs/>
      <w:kern w:val="2"/>
      <w:szCs w:val="24"/>
    </w:rPr>
  </w:style>
  <w:style w:type="paragraph" w:styleId="79">
    <w:name w:val="toc 9"/>
    <w:basedOn w:val="1"/>
    <w:next w:val="1"/>
    <w:unhideWhenUsed/>
    <w:qFormat/>
    <w:uiPriority w:val="39"/>
    <w:pPr>
      <w:widowControl w:val="0"/>
      <w:adjustRightInd/>
      <w:snapToGrid/>
      <w:spacing w:after="0" w:line="240" w:lineRule="auto"/>
      <w:ind w:left="3360" w:leftChars="1600" w:firstLine="0" w:firstLineChars="0"/>
    </w:pPr>
    <w:rPr>
      <w:rFonts w:ascii="Calibri" w:hAnsi="Calibri" w:cs="Times New Roman"/>
      <w:kern w:val="2"/>
      <w:sz w:val="21"/>
    </w:rPr>
  </w:style>
  <w:style w:type="paragraph" w:styleId="80">
    <w:name w:val="Body Text 2"/>
    <w:basedOn w:val="1"/>
    <w:link w:val="316"/>
    <w:semiHidden/>
    <w:unhideWhenUsed/>
    <w:uiPriority w:val="99"/>
    <w:pPr>
      <w:widowControl w:val="0"/>
      <w:adjustRightInd/>
      <w:snapToGrid/>
      <w:spacing w:before="0" w:line="480" w:lineRule="auto"/>
      <w:ind w:firstLine="0" w:firstLineChars="0"/>
    </w:pPr>
    <w:rPr>
      <w:rFonts w:ascii="Calibri" w:hAnsi="Calibri" w:cs="Times New Roman"/>
      <w:kern w:val="2"/>
      <w:sz w:val="21"/>
    </w:rPr>
  </w:style>
  <w:style w:type="paragraph" w:styleId="81">
    <w:name w:val="List 4"/>
    <w:basedOn w:val="1"/>
    <w:semiHidden/>
    <w:unhideWhenUsed/>
    <w:uiPriority w:val="99"/>
    <w:pPr>
      <w:widowControl w:val="0"/>
      <w:adjustRightInd/>
      <w:snapToGrid/>
      <w:spacing w:before="0" w:after="0" w:line="240" w:lineRule="auto"/>
      <w:ind w:left="100" w:leftChars="600" w:hanging="200" w:hangingChars="200"/>
      <w:contextualSpacing/>
    </w:pPr>
    <w:rPr>
      <w:rFonts w:ascii="Calibri" w:hAnsi="Calibri" w:cs="Times New Roman"/>
      <w:kern w:val="2"/>
      <w:sz w:val="21"/>
    </w:rPr>
  </w:style>
  <w:style w:type="paragraph" w:styleId="82">
    <w:name w:val="List Continue 2"/>
    <w:basedOn w:val="1"/>
    <w:semiHidden/>
    <w:unhideWhenUsed/>
    <w:uiPriority w:val="99"/>
    <w:pPr>
      <w:widowControl w:val="0"/>
      <w:adjustRightInd/>
      <w:snapToGrid/>
      <w:spacing w:before="0" w:line="240" w:lineRule="auto"/>
      <w:ind w:left="840" w:leftChars="400" w:firstLine="0" w:firstLineChars="0"/>
      <w:contextualSpacing/>
    </w:pPr>
    <w:rPr>
      <w:rFonts w:ascii="Calibri" w:hAnsi="Calibri" w:cs="Times New Roman"/>
      <w:kern w:val="2"/>
      <w:sz w:val="21"/>
    </w:rPr>
  </w:style>
  <w:style w:type="paragraph" w:styleId="83">
    <w:name w:val="Message Header"/>
    <w:basedOn w:val="1"/>
    <w:link w:val="307"/>
    <w:semiHidden/>
    <w:unhideWhenUsed/>
    <w:uiPriority w:val="99"/>
    <w:pPr>
      <w:widowControl w:val="0"/>
      <w:pBdr>
        <w:top w:val="single" w:color="auto" w:sz="6" w:space="1"/>
        <w:left w:val="single" w:color="auto" w:sz="6" w:space="1"/>
        <w:bottom w:val="single" w:color="auto" w:sz="6" w:space="1"/>
        <w:right w:val="single" w:color="auto" w:sz="6" w:space="1"/>
      </w:pBdr>
      <w:shd w:val="pct20" w:color="auto" w:fill="auto"/>
      <w:adjustRightInd/>
      <w:snapToGrid/>
      <w:spacing w:before="0" w:after="0" w:line="240" w:lineRule="auto"/>
      <w:ind w:left="1080" w:leftChars="500" w:hanging="1080" w:hangingChars="500"/>
    </w:pPr>
    <w:rPr>
      <w:rFonts w:ascii="等线 Light" w:hAnsi="等线 Light" w:eastAsia="等线 Light" w:cs="Times New Roman"/>
      <w:kern w:val="2"/>
      <w:szCs w:val="24"/>
    </w:rPr>
  </w:style>
  <w:style w:type="paragraph" w:styleId="84">
    <w:name w:val="HTML Preformatted"/>
    <w:basedOn w:val="1"/>
    <w:link w:val="242"/>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before="0" w:beforeLines="50" w:after="0"/>
      <w:jc w:val="left"/>
    </w:pPr>
    <w:rPr>
      <w:rFonts w:ascii="Arial" w:hAnsi="Arial" w:cs="Arial"/>
      <w:szCs w:val="24"/>
    </w:rPr>
  </w:style>
  <w:style w:type="paragraph" w:styleId="85">
    <w:name w:val="Normal (Web)"/>
    <w:basedOn w:val="1"/>
    <w:unhideWhenUsed/>
    <w:uiPriority w:val="99"/>
    <w:pPr>
      <w:adjustRightInd/>
      <w:snapToGrid/>
      <w:spacing w:before="100" w:beforeAutospacing="1" w:after="100" w:afterAutospacing="1" w:line="240" w:lineRule="auto"/>
      <w:ind w:firstLine="0" w:firstLineChars="0"/>
      <w:jc w:val="left"/>
    </w:pPr>
    <w:rPr>
      <w:rFonts w:ascii="宋体" w:hAnsi="宋体" w:cs="宋体"/>
      <w:szCs w:val="24"/>
    </w:rPr>
  </w:style>
  <w:style w:type="paragraph" w:styleId="86">
    <w:name w:val="List Continue 3"/>
    <w:basedOn w:val="1"/>
    <w:semiHidden/>
    <w:unhideWhenUsed/>
    <w:uiPriority w:val="99"/>
    <w:pPr>
      <w:widowControl w:val="0"/>
      <w:adjustRightInd/>
      <w:snapToGrid/>
      <w:spacing w:before="0" w:line="240" w:lineRule="auto"/>
      <w:ind w:left="1260" w:leftChars="600" w:firstLine="0" w:firstLineChars="0"/>
      <w:contextualSpacing/>
    </w:pPr>
    <w:rPr>
      <w:rFonts w:ascii="Calibri" w:hAnsi="Calibri" w:cs="Times New Roman"/>
      <w:kern w:val="2"/>
      <w:sz w:val="21"/>
    </w:rPr>
  </w:style>
  <w:style w:type="paragraph" w:styleId="87">
    <w:name w:val="index 2"/>
    <w:basedOn w:val="1"/>
    <w:next w:val="1"/>
    <w:semiHidden/>
    <w:unhideWhenUsed/>
    <w:uiPriority w:val="99"/>
    <w:pPr>
      <w:widowControl w:val="0"/>
      <w:adjustRightInd/>
      <w:snapToGrid/>
      <w:spacing w:before="0" w:after="0" w:line="240" w:lineRule="auto"/>
      <w:ind w:left="200" w:leftChars="200" w:firstLine="0" w:firstLineChars="0"/>
    </w:pPr>
    <w:rPr>
      <w:rFonts w:ascii="Calibri" w:hAnsi="Calibri" w:cs="Times New Roman"/>
      <w:kern w:val="2"/>
      <w:sz w:val="21"/>
    </w:rPr>
  </w:style>
  <w:style w:type="character" w:styleId="89">
    <w:name w:val="Strong"/>
    <w:qFormat/>
    <w:uiPriority w:val="22"/>
    <w:rPr>
      <w:b/>
      <w:bCs/>
    </w:rPr>
  </w:style>
  <w:style w:type="character" w:styleId="90">
    <w:name w:val="page number"/>
    <w:uiPriority w:val="0"/>
  </w:style>
  <w:style w:type="character" w:styleId="91">
    <w:name w:val="FollowedHyperlink"/>
    <w:basedOn w:val="88"/>
    <w:unhideWhenUsed/>
    <w:qFormat/>
    <w:uiPriority w:val="99"/>
    <w:rPr>
      <w:color w:val="800080" w:themeColor="followedHyperlink"/>
      <w:u w:val="single"/>
      <w14:textFill>
        <w14:solidFill>
          <w14:schemeClr w14:val="folHlink"/>
        </w14:solidFill>
      </w14:textFill>
    </w:rPr>
  </w:style>
  <w:style w:type="character" w:styleId="92">
    <w:name w:val="Hyperlink"/>
    <w:unhideWhenUsed/>
    <w:uiPriority w:val="99"/>
    <w:rPr>
      <w:color w:val="136EC2"/>
      <w:u w:val="single"/>
    </w:rPr>
  </w:style>
  <w:style w:type="character" w:styleId="93">
    <w:name w:val="annotation reference"/>
    <w:unhideWhenUsed/>
    <w:qFormat/>
    <w:uiPriority w:val="99"/>
    <w:rPr>
      <w:sz w:val="21"/>
      <w:szCs w:val="21"/>
    </w:rPr>
  </w:style>
  <w:style w:type="table" w:styleId="95">
    <w:name w:val="Table Grid"/>
    <w:basedOn w:val="94"/>
    <w:uiPriority w:val="0"/>
    <w:rPr>
      <w:rFonts w:eastAsiaTheme="minorEastAsia"/>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styleId="96">
    <w:name w:val="Light Shading Accent 3"/>
    <w:basedOn w:val="94"/>
    <w:qFormat/>
    <w:uiPriority w:val="60"/>
    <w:rPr>
      <w:rFonts w:ascii="Calibri" w:hAnsi="Calibri" w:eastAsia="宋体" w:cs="Times New Roman"/>
      <w:color w:val="76923C"/>
    </w:rPr>
    <w:tblPr>
      <w:tblBorders>
        <w:top w:val="single" w:color="9BBB59" w:sz="8" w:space="0"/>
        <w:bottom w:val="single" w:color="9BBB59" w:sz="8" w:space="0"/>
      </w:tblBorders>
      <w:tblLayout w:type="fixed"/>
    </w:tblPr>
    <w:tblStylePr w:type="firstRow">
      <w:pPr>
        <w:spacing w:before="0" w:after="0" w:line="240" w:lineRule="auto"/>
      </w:pPr>
      <w:rPr>
        <w:b/>
        <w:bCs/>
      </w:rPr>
      <w:tblPr>
        <w:tblLayout w:type="fixed"/>
      </w:tblPr>
      <w:tcPr>
        <w:tcBorders>
          <w:top w:val="single" w:color="9BBB59" w:sz="8" w:space="0"/>
          <w:left w:val="nil"/>
          <w:bottom w:val="single" w:color="9BBB59" w:sz="8" w:space="0"/>
          <w:right w:val="nil"/>
          <w:insideH w:val="nil"/>
          <w:insideV w:val="nil"/>
        </w:tcBorders>
      </w:tcPr>
    </w:tblStylePr>
    <w:tblStylePr w:type="lastRow">
      <w:pPr>
        <w:spacing w:before="0" w:after="0" w:line="240" w:lineRule="auto"/>
      </w:pPr>
      <w:rPr>
        <w:b/>
        <w:bCs/>
      </w:rPr>
      <w:tblPr>
        <w:tblLayout w:type="fixed"/>
      </w:tblPr>
      <w:tcPr>
        <w:tcBorders>
          <w:top w:val="single" w:color="9BBB59" w:sz="8" w:space="0"/>
          <w:left w:val="nil"/>
          <w:bottom w:val="single" w:color="9BBB59" w:sz="8" w:space="0"/>
          <w:right w:val="nil"/>
          <w:insideH w:val="nil"/>
          <w:insideV w:val="nil"/>
        </w:tcBorders>
      </w:tcPr>
    </w:tblStylePr>
    <w:tblStylePr w:type="firstCol">
      <w:rPr>
        <w:b/>
        <w:bCs/>
      </w:rPr>
    </w:tblStylePr>
    <w:tblStylePr w:type="lastCol">
      <w:rPr>
        <w:b/>
        <w:bCs/>
      </w:rPr>
    </w:tblStylePr>
    <w:tblStylePr w:type="band1Vert">
      <w:tblPr>
        <w:tblLayout w:type="fixed"/>
      </w:tblPr>
      <w:tcPr>
        <w:tcBorders>
          <w:left w:val="nil"/>
          <w:right w:val="nil"/>
          <w:insideH w:val="nil"/>
          <w:insideV w:val="nil"/>
        </w:tcBorders>
        <w:shd w:val="clear" w:color="auto" w:fill="E6EED5"/>
      </w:tcPr>
    </w:tblStylePr>
    <w:tblStylePr w:type="band1Horz">
      <w:tblPr>
        <w:tblLayout w:type="fixed"/>
      </w:tblPr>
      <w:tcPr>
        <w:tcBorders>
          <w:left w:val="nil"/>
          <w:right w:val="nil"/>
          <w:insideH w:val="nil"/>
          <w:insideV w:val="nil"/>
        </w:tcBorders>
        <w:shd w:val="clear" w:color="auto" w:fill="E6EED5"/>
      </w:tcPr>
    </w:tblStylePr>
  </w:style>
  <w:style w:type="character" w:customStyle="1" w:styleId="97">
    <w:name w:val="标题 1 Char"/>
    <w:basedOn w:val="88"/>
    <w:link w:val="2"/>
    <w:uiPriority w:val="9"/>
    <w:rPr>
      <w:rFonts w:ascii="Times New Roman" w:hAnsi="Times New Roman" w:eastAsia="黑体" w:cstheme="majorBidi"/>
      <w:kern w:val="44"/>
      <w:sz w:val="36"/>
      <w:szCs w:val="44"/>
    </w:rPr>
  </w:style>
  <w:style w:type="character" w:customStyle="1" w:styleId="98">
    <w:name w:val="文档结构图 Char"/>
    <w:basedOn w:val="88"/>
    <w:link w:val="31"/>
    <w:qFormat/>
    <w:uiPriority w:val="99"/>
    <w:rPr>
      <w:rFonts w:ascii="宋体" w:hAnsi="Tahoma" w:eastAsia="宋体"/>
      <w:sz w:val="18"/>
      <w:szCs w:val="18"/>
    </w:rPr>
  </w:style>
  <w:style w:type="character" w:customStyle="1" w:styleId="99">
    <w:name w:val="日期 Char"/>
    <w:basedOn w:val="88"/>
    <w:link w:val="53"/>
    <w:uiPriority w:val="0"/>
    <w:rPr>
      <w:rFonts w:ascii="Tahoma" w:hAnsi="Tahoma"/>
    </w:rPr>
  </w:style>
  <w:style w:type="character" w:customStyle="1" w:styleId="100">
    <w:name w:val="标题 2 Char"/>
    <w:basedOn w:val="88"/>
    <w:link w:val="4"/>
    <w:qFormat/>
    <w:uiPriority w:val="9"/>
    <w:rPr>
      <w:rFonts w:ascii="Times New Roman" w:hAnsi="Times New Roman" w:eastAsia="黑体" w:cstheme="majorBidi"/>
      <w:sz w:val="32"/>
      <w:szCs w:val="32"/>
    </w:rPr>
  </w:style>
  <w:style w:type="character" w:customStyle="1" w:styleId="101">
    <w:name w:val="标题 3 Char"/>
    <w:basedOn w:val="88"/>
    <w:link w:val="5"/>
    <w:qFormat/>
    <w:uiPriority w:val="9"/>
    <w:rPr>
      <w:rFonts w:ascii="Times New Roman" w:hAnsi="Times New Roman" w:eastAsia="黑体" w:cstheme="majorBidi"/>
      <w:sz w:val="28"/>
      <w:szCs w:val="32"/>
    </w:rPr>
  </w:style>
  <w:style w:type="character" w:customStyle="1" w:styleId="102">
    <w:name w:val="apple-style-span"/>
    <w:qFormat/>
    <w:uiPriority w:val="0"/>
  </w:style>
  <w:style w:type="character" w:customStyle="1" w:styleId="103">
    <w:name w:val="标题 Char"/>
    <w:basedOn w:val="88"/>
    <w:link w:val="3"/>
    <w:uiPriority w:val="0"/>
    <w:rPr>
      <w:rFonts w:eastAsia="宋体" w:asciiTheme="majorHAnsi" w:hAnsiTheme="majorHAnsi" w:cstheme="majorBidi"/>
      <w:b/>
      <w:bCs/>
      <w:sz w:val="32"/>
      <w:szCs w:val="32"/>
    </w:rPr>
  </w:style>
  <w:style w:type="character" w:customStyle="1" w:styleId="104">
    <w:name w:val="页眉 Char"/>
    <w:basedOn w:val="88"/>
    <w:link w:val="61"/>
    <w:uiPriority w:val="99"/>
    <w:rPr>
      <w:rFonts w:ascii="Times New Roman" w:hAnsi="Times New Roman" w:eastAsia="宋体"/>
      <w:sz w:val="18"/>
      <w:szCs w:val="18"/>
    </w:rPr>
  </w:style>
  <w:style w:type="character" w:customStyle="1" w:styleId="105">
    <w:name w:val="页脚 Char"/>
    <w:basedOn w:val="88"/>
    <w:link w:val="58"/>
    <w:uiPriority w:val="99"/>
    <w:rPr>
      <w:rFonts w:ascii="Times New Roman" w:hAnsi="Times New Roman" w:eastAsia="宋体"/>
      <w:sz w:val="18"/>
      <w:szCs w:val="18"/>
    </w:rPr>
  </w:style>
  <w:style w:type="character" w:customStyle="1" w:styleId="106">
    <w:name w:val="批注框文本 Char"/>
    <w:basedOn w:val="88"/>
    <w:link w:val="57"/>
    <w:uiPriority w:val="99"/>
    <w:rPr>
      <w:rFonts w:ascii="Times New Roman" w:hAnsi="Times New Roman" w:eastAsia="宋体"/>
      <w:sz w:val="18"/>
      <w:szCs w:val="18"/>
    </w:rPr>
  </w:style>
  <w:style w:type="character" w:customStyle="1" w:styleId="107">
    <w:name w:val="表格第一行样式 Char Char"/>
    <w:link w:val="108"/>
    <w:uiPriority w:val="0"/>
    <w:rPr>
      <w:rFonts w:ascii="宋体" w:hAnsi="宋体" w:eastAsia="宋体" w:cs="Times New Roman"/>
      <w:b/>
      <w:sz w:val="24"/>
    </w:rPr>
  </w:style>
  <w:style w:type="paragraph" w:customStyle="1" w:styleId="108">
    <w:name w:val="表格第一行样式"/>
    <w:basedOn w:val="1"/>
    <w:link w:val="107"/>
    <w:uiPriority w:val="0"/>
    <w:pPr>
      <w:widowControl w:val="0"/>
      <w:adjustRightInd/>
      <w:snapToGrid/>
      <w:spacing w:after="0" w:line="240" w:lineRule="auto"/>
      <w:ind w:firstLine="0" w:firstLineChars="0"/>
      <w:jc w:val="center"/>
    </w:pPr>
    <w:rPr>
      <w:rFonts w:ascii="宋体" w:hAnsi="宋体" w:cs="Times New Roman"/>
      <w:b/>
    </w:rPr>
  </w:style>
  <w:style w:type="character" w:customStyle="1" w:styleId="109">
    <w:name w:val="图表标题格式 Char Char"/>
    <w:link w:val="110"/>
    <w:uiPriority w:val="0"/>
    <w:rPr>
      <w:rFonts w:ascii="黑体" w:hAnsi="黑体" w:eastAsia="黑体"/>
      <w:sz w:val="21"/>
    </w:rPr>
  </w:style>
  <w:style w:type="paragraph" w:customStyle="1" w:styleId="110">
    <w:name w:val="图表标题格式"/>
    <w:basedOn w:val="1"/>
    <w:link w:val="109"/>
    <w:qFormat/>
    <w:uiPriority w:val="0"/>
    <w:pPr>
      <w:widowControl w:val="0"/>
      <w:adjustRightInd/>
      <w:snapToGrid/>
      <w:spacing w:after="0"/>
      <w:ind w:firstLine="0" w:firstLineChars="0"/>
      <w:jc w:val="center"/>
    </w:pPr>
    <w:rPr>
      <w:rFonts w:ascii="黑体" w:hAnsi="黑体" w:eastAsia="黑体"/>
      <w:sz w:val="21"/>
    </w:rPr>
  </w:style>
  <w:style w:type="character" w:customStyle="1" w:styleId="111">
    <w:name w:val="项目符号 Char Char"/>
    <w:link w:val="112"/>
    <w:uiPriority w:val="0"/>
    <w:rPr>
      <w:rFonts w:ascii="Times New Roman" w:hAnsi="Times New Roman" w:eastAsia="仿宋_GB2312" w:cs="Times New Roman"/>
      <w:sz w:val="28"/>
      <w:szCs w:val="20"/>
    </w:rPr>
  </w:style>
  <w:style w:type="paragraph" w:customStyle="1" w:styleId="112">
    <w:name w:val="项目符号"/>
    <w:basedOn w:val="1"/>
    <w:link w:val="111"/>
    <w:uiPriority w:val="0"/>
    <w:pPr>
      <w:widowControl w:val="0"/>
      <w:tabs>
        <w:tab w:val="left" w:pos="290"/>
        <w:tab w:val="left" w:pos="420"/>
      </w:tabs>
      <w:adjustRightInd/>
      <w:snapToGrid/>
      <w:spacing w:after="0"/>
      <w:ind w:left="420" w:hanging="420" w:firstLineChars="0"/>
      <w:jc w:val="left"/>
    </w:pPr>
    <w:rPr>
      <w:rFonts w:eastAsia="仿宋_GB2312" w:cs="Times New Roman"/>
      <w:sz w:val="28"/>
      <w:szCs w:val="20"/>
    </w:rPr>
  </w:style>
  <w:style w:type="paragraph" w:customStyle="1" w:styleId="113">
    <w:name w:val="表名称"/>
    <w:basedOn w:val="1"/>
    <w:link w:val="114"/>
    <w:qFormat/>
    <w:uiPriority w:val="0"/>
    <w:pPr>
      <w:widowControl w:val="0"/>
      <w:adjustRightInd/>
      <w:snapToGrid/>
      <w:ind w:firstLine="0" w:firstLineChars="0"/>
      <w:jc w:val="center"/>
      <w:textAlignment w:val="center"/>
    </w:pPr>
    <w:rPr>
      <w:rFonts w:eastAsia="黑体" w:cs="宋体"/>
      <w:bCs/>
      <w:kern w:val="2"/>
      <w:szCs w:val="21"/>
    </w:rPr>
  </w:style>
  <w:style w:type="character" w:customStyle="1" w:styleId="114">
    <w:name w:val="表名称 Char"/>
    <w:basedOn w:val="88"/>
    <w:link w:val="113"/>
    <w:uiPriority w:val="0"/>
    <w:rPr>
      <w:rFonts w:ascii="Times New Roman" w:hAnsi="Times New Roman" w:eastAsia="黑体" w:cs="宋体"/>
      <w:bCs/>
      <w:kern w:val="2"/>
      <w:sz w:val="24"/>
      <w:szCs w:val="21"/>
    </w:rPr>
  </w:style>
  <w:style w:type="paragraph" w:customStyle="1" w:styleId="115">
    <w:name w:val="表头"/>
    <w:basedOn w:val="1"/>
    <w:link w:val="116"/>
    <w:uiPriority w:val="0"/>
    <w:pPr>
      <w:widowControl w:val="0"/>
      <w:adjustRightInd/>
      <w:snapToGrid/>
      <w:spacing w:after="0" w:line="240" w:lineRule="auto"/>
      <w:ind w:firstLine="422"/>
      <w:jc w:val="center"/>
    </w:pPr>
    <w:rPr>
      <w:rFonts w:asciiTheme="minorEastAsia" w:hAnsiTheme="minorEastAsia" w:eastAsiaTheme="minorEastAsia"/>
      <w:b/>
      <w:kern w:val="2"/>
      <w:sz w:val="21"/>
      <w:szCs w:val="21"/>
    </w:rPr>
  </w:style>
  <w:style w:type="character" w:customStyle="1" w:styleId="116">
    <w:name w:val="表头 Char"/>
    <w:basedOn w:val="88"/>
    <w:link w:val="115"/>
    <w:uiPriority w:val="0"/>
    <w:rPr>
      <w:rFonts w:asciiTheme="minorEastAsia" w:hAnsiTheme="minorEastAsia" w:eastAsiaTheme="minorEastAsia"/>
      <w:b/>
      <w:kern w:val="2"/>
      <w:sz w:val="21"/>
      <w:szCs w:val="21"/>
    </w:rPr>
  </w:style>
  <w:style w:type="paragraph" w:customStyle="1" w:styleId="117">
    <w:name w:val="图名称"/>
    <w:basedOn w:val="1"/>
    <w:link w:val="118"/>
    <w:qFormat/>
    <w:uiPriority w:val="0"/>
    <w:pPr>
      <w:widowControl w:val="0"/>
      <w:adjustRightInd/>
      <w:snapToGrid/>
      <w:spacing w:after="0"/>
      <w:ind w:firstLine="0" w:firstLineChars="0"/>
      <w:jc w:val="center"/>
      <w:textAlignment w:val="center"/>
    </w:pPr>
    <w:rPr>
      <w:rFonts w:eastAsia="黑体" w:cs="宋体"/>
      <w:bCs/>
      <w:kern w:val="2"/>
      <w:szCs w:val="21"/>
    </w:rPr>
  </w:style>
  <w:style w:type="character" w:customStyle="1" w:styleId="118">
    <w:name w:val="图名称 Char"/>
    <w:basedOn w:val="88"/>
    <w:link w:val="117"/>
    <w:uiPriority w:val="0"/>
    <w:rPr>
      <w:rFonts w:ascii="Times New Roman" w:hAnsi="Times New Roman" w:eastAsia="黑体" w:cs="宋体"/>
      <w:bCs/>
      <w:kern w:val="2"/>
      <w:sz w:val="24"/>
      <w:szCs w:val="21"/>
    </w:rPr>
  </w:style>
  <w:style w:type="paragraph" w:customStyle="1" w:styleId="119">
    <w:name w:val="列出段落1"/>
    <w:basedOn w:val="1"/>
    <w:qFormat/>
    <w:uiPriority w:val="0"/>
    <w:pPr>
      <w:widowControl w:val="0"/>
      <w:adjustRightInd/>
      <w:snapToGrid/>
      <w:spacing w:after="0" w:line="240" w:lineRule="auto"/>
      <w:ind w:firstLine="420"/>
    </w:pPr>
    <w:rPr>
      <w:rFonts w:ascii="Calibri" w:hAnsi="Calibri" w:cs="Times New Roman"/>
      <w:kern w:val="2"/>
      <w:sz w:val="21"/>
    </w:rPr>
  </w:style>
  <w:style w:type="character" w:customStyle="1" w:styleId="120">
    <w:name w:val="表格内容 Char Char"/>
    <w:link w:val="121"/>
    <w:uiPriority w:val="0"/>
    <w:rPr>
      <w:rFonts w:ascii="宋体" w:hAnsi="宋体"/>
      <w:color w:val="000000"/>
      <w:szCs w:val="21"/>
    </w:rPr>
  </w:style>
  <w:style w:type="paragraph" w:customStyle="1" w:styleId="121">
    <w:name w:val="表格内容"/>
    <w:basedOn w:val="1"/>
    <w:link w:val="120"/>
    <w:uiPriority w:val="0"/>
    <w:pPr>
      <w:widowControl w:val="0"/>
      <w:adjustRightInd/>
      <w:snapToGrid/>
      <w:spacing w:after="0"/>
      <w:ind w:firstLine="0" w:firstLineChars="0"/>
      <w:jc w:val="center"/>
    </w:pPr>
    <w:rPr>
      <w:rFonts w:ascii="宋体" w:hAnsi="宋体" w:eastAsia="微软雅黑"/>
      <w:color w:val="000000"/>
      <w:sz w:val="22"/>
      <w:szCs w:val="21"/>
    </w:rPr>
  </w:style>
  <w:style w:type="character" w:customStyle="1" w:styleId="122">
    <w:name w:val="图表标题格式 Char"/>
    <w:uiPriority w:val="0"/>
    <w:rPr>
      <w:rFonts w:ascii="黑体" w:hAnsi="黑体" w:eastAsia="黑体" w:cs="Times New Roman"/>
      <w:kern w:val="0"/>
      <w:szCs w:val="21"/>
    </w:rPr>
  </w:style>
  <w:style w:type="paragraph" w:customStyle="1" w:styleId="123">
    <w:name w:val="表格样式"/>
    <w:basedOn w:val="1"/>
    <w:link w:val="124"/>
    <w:qFormat/>
    <w:uiPriority w:val="0"/>
    <w:pPr>
      <w:widowControl w:val="0"/>
      <w:adjustRightInd/>
      <w:snapToGrid/>
      <w:spacing w:after="0" w:line="240" w:lineRule="auto"/>
      <w:ind w:firstLine="0" w:firstLineChars="0"/>
      <w:jc w:val="center"/>
    </w:pPr>
    <w:rPr>
      <w:rFonts w:ascii="宋体" w:hAnsi="宋体" w:cs="Times New Roman"/>
      <w:kern w:val="2"/>
      <w:sz w:val="21"/>
      <w:szCs w:val="20"/>
    </w:rPr>
  </w:style>
  <w:style w:type="character" w:customStyle="1" w:styleId="124">
    <w:name w:val="表格样式 Char"/>
    <w:link w:val="123"/>
    <w:uiPriority w:val="0"/>
    <w:rPr>
      <w:rFonts w:ascii="宋体" w:hAnsi="宋体" w:eastAsia="宋体" w:cs="Times New Roman"/>
      <w:kern w:val="2"/>
      <w:sz w:val="21"/>
      <w:szCs w:val="20"/>
    </w:rPr>
  </w:style>
  <w:style w:type="character" w:customStyle="1" w:styleId="125">
    <w:name w:val="批注文字 Char"/>
    <w:basedOn w:val="88"/>
    <w:link w:val="14"/>
    <w:qFormat/>
    <w:uiPriority w:val="99"/>
    <w:rPr>
      <w:rFonts w:ascii="宋体" w:hAnsi="宋体" w:eastAsia="宋体" w:cs="Times New Roman"/>
      <w:sz w:val="24"/>
      <w:szCs w:val="24"/>
    </w:rPr>
  </w:style>
  <w:style w:type="character" w:customStyle="1" w:styleId="126">
    <w:name w:val="批注主题 Char"/>
    <w:basedOn w:val="125"/>
    <w:link w:val="13"/>
    <w:qFormat/>
    <w:uiPriority w:val="99"/>
    <w:rPr>
      <w:rFonts w:ascii="宋体" w:hAnsi="宋体" w:eastAsia="宋体" w:cs="Times New Roman"/>
      <w:b/>
      <w:bCs/>
      <w:sz w:val="24"/>
      <w:szCs w:val="24"/>
    </w:rPr>
  </w:style>
  <w:style w:type="paragraph" w:customStyle="1" w:styleId="127">
    <w:name w:val="无间隔1"/>
    <w:qFormat/>
    <w:uiPriority w:val="1"/>
    <w:pPr>
      <w:widowControl w:val="0"/>
      <w:ind w:firstLine="200" w:firstLineChars="200"/>
      <w:jc w:val="both"/>
    </w:pPr>
    <w:rPr>
      <w:rFonts w:ascii="Times New Roman" w:hAnsi="Times New Roman" w:eastAsia="宋体" w:cs="Times New Roman"/>
      <w:kern w:val="2"/>
      <w:sz w:val="24"/>
      <w:szCs w:val="24"/>
      <w:lang w:val="en-US" w:eastAsia="zh-CN" w:bidi="ar-SA"/>
    </w:rPr>
  </w:style>
  <w:style w:type="character" w:customStyle="1" w:styleId="128">
    <w:name w:val="正文文本缩进 Char"/>
    <w:basedOn w:val="88"/>
    <w:link w:val="38"/>
    <w:qFormat/>
    <w:uiPriority w:val="0"/>
    <w:rPr>
      <w:rFonts w:ascii="宋体" w:hAnsi="宋体" w:eastAsia="宋体" w:cs="Times New Roman"/>
      <w:sz w:val="20"/>
      <w:szCs w:val="24"/>
    </w:rPr>
  </w:style>
  <w:style w:type="paragraph" w:customStyle="1" w:styleId="129">
    <w:name w:val="表格文字"/>
    <w:basedOn w:val="1"/>
    <w:link w:val="146"/>
    <w:qFormat/>
    <w:uiPriority w:val="0"/>
    <w:pPr>
      <w:spacing w:after="0"/>
      <w:ind w:firstLine="0" w:firstLineChars="0"/>
      <w:jc w:val="center"/>
    </w:pPr>
    <w:rPr>
      <w:rFonts w:ascii="宋体" w:hAnsi="宋体" w:cs="Times New Roman"/>
      <w:szCs w:val="24"/>
      <w:lang w:eastAsia="en-US"/>
    </w:rPr>
  </w:style>
  <w:style w:type="paragraph" w:customStyle="1" w:styleId="130">
    <w:name w:val="样式 样式 样式 样式 乐山-正文 Char + 首行缩进:  2 字符 + 首行缩进:  2 字符 + 首行缩进:  2 字符..."/>
    <w:basedOn w:val="1"/>
    <w:qFormat/>
    <w:uiPriority w:val="0"/>
    <w:pPr>
      <w:widowControl w:val="0"/>
      <w:adjustRightInd/>
      <w:snapToGrid/>
      <w:spacing w:after="0" w:line="480" w:lineRule="exact"/>
    </w:pPr>
    <w:rPr>
      <w:rFonts w:ascii="Arial" w:hAnsi="Arial" w:eastAsia="华文细黑" w:cs="宋体"/>
      <w:kern w:val="2"/>
      <w:szCs w:val="20"/>
    </w:rPr>
  </w:style>
  <w:style w:type="paragraph" w:customStyle="1" w:styleId="131">
    <w:name w:val="图片"/>
    <w:basedOn w:val="1"/>
    <w:link w:val="132"/>
    <w:qFormat/>
    <w:uiPriority w:val="0"/>
    <w:pPr>
      <w:widowControl w:val="0"/>
      <w:adjustRightInd/>
      <w:snapToGrid/>
      <w:spacing w:after="0" w:line="240" w:lineRule="auto"/>
      <w:ind w:firstLine="0" w:firstLineChars="0"/>
      <w:jc w:val="center"/>
    </w:pPr>
    <w:rPr>
      <w:rFonts w:ascii="宋体" w:hAnsi="宋体" w:cs="Times New Roman"/>
      <w:kern w:val="1"/>
      <w:sz w:val="21"/>
      <w:szCs w:val="20"/>
    </w:rPr>
  </w:style>
  <w:style w:type="character" w:customStyle="1" w:styleId="132">
    <w:name w:val="图片 Char"/>
    <w:link w:val="131"/>
    <w:qFormat/>
    <w:uiPriority w:val="0"/>
    <w:rPr>
      <w:rFonts w:ascii="宋体" w:hAnsi="宋体" w:eastAsia="宋体" w:cs="Times New Roman"/>
      <w:kern w:val="1"/>
      <w:sz w:val="21"/>
      <w:szCs w:val="20"/>
    </w:rPr>
  </w:style>
  <w:style w:type="paragraph" w:customStyle="1" w:styleId="133">
    <w:name w:val="图头字体5"/>
    <w:basedOn w:val="1"/>
    <w:qFormat/>
    <w:uiPriority w:val="0"/>
    <w:pPr>
      <w:widowControl w:val="0"/>
      <w:numPr>
        <w:ilvl w:val="0"/>
        <w:numId w:val="11"/>
      </w:numPr>
      <w:adjustRightInd/>
      <w:snapToGrid/>
      <w:spacing w:afterLines="25" w:line="300" w:lineRule="auto"/>
      <w:ind w:firstLineChars="0"/>
      <w:jc w:val="center"/>
    </w:pPr>
    <w:rPr>
      <w:rFonts w:ascii="宋体" w:hAnsi="宋体" w:eastAsia="仿宋_GB2312" w:cs="Times New Roman"/>
      <w:kern w:val="2"/>
      <w:sz w:val="21"/>
      <w:szCs w:val="20"/>
    </w:rPr>
  </w:style>
  <w:style w:type="paragraph" w:customStyle="1" w:styleId="134">
    <w:name w:val="图"/>
    <w:basedOn w:val="1"/>
    <w:qFormat/>
    <w:uiPriority w:val="0"/>
    <w:pPr>
      <w:widowControl w:val="0"/>
      <w:adjustRightInd/>
      <w:snapToGrid/>
      <w:spacing w:before="50" w:beforeLines="50" w:after="0"/>
      <w:ind w:firstLine="0" w:firstLineChars="0"/>
      <w:jc w:val="center"/>
    </w:pPr>
    <w:rPr>
      <w:rFonts w:ascii="宋体" w:hAnsi="宋体" w:eastAsia="黑体" w:cs="Times New Roman"/>
      <w:b/>
      <w:kern w:val="2"/>
      <w:szCs w:val="21"/>
    </w:rPr>
  </w:style>
  <w:style w:type="paragraph" w:customStyle="1" w:styleId="135">
    <w:name w:val="表"/>
    <w:basedOn w:val="1"/>
    <w:qFormat/>
    <w:uiPriority w:val="0"/>
    <w:pPr>
      <w:widowControl w:val="0"/>
      <w:adjustRightInd/>
      <w:snapToGrid/>
      <w:spacing w:after="0"/>
      <w:ind w:firstLine="0" w:firstLineChars="0"/>
      <w:jc w:val="center"/>
    </w:pPr>
    <w:rPr>
      <w:rFonts w:ascii="黑体" w:hAnsi="黑体" w:eastAsia="黑体" w:cs="Times New Roman"/>
      <w:b/>
      <w:kern w:val="2"/>
      <w:sz w:val="21"/>
      <w:szCs w:val="21"/>
    </w:rPr>
  </w:style>
  <w:style w:type="paragraph" w:customStyle="1" w:styleId="136">
    <w:name w:val="TOC 标题1"/>
    <w:basedOn w:val="2"/>
    <w:next w:val="1"/>
    <w:unhideWhenUsed/>
    <w:qFormat/>
    <w:uiPriority w:val="39"/>
    <w:pPr>
      <w:adjustRightInd/>
      <w:snapToGrid/>
      <w:spacing w:before="480" w:after="0" w:line="276" w:lineRule="auto"/>
      <w:jc w:val="left"/>
      <w:outlineLvl w:val="9"/>
    </w:pPr>
    <w:rPr>
      <w:rFonts w:ascii="Cambria" w:hAnsi="Cambria" w:eastAsia="宋体" w:cs="Times New Roman"/>
      <w:b/>
      <w:bCs/>
      <w:color w:val="365F91"/>
      <w:kern w:val="0"/>
      <w:sz w:val="28"/>
      <w:szCs w:val="28"/>
    </w:rPr>
  </w:style>
  <w:style w:type="table" w:customStyle="1" w:styleId="137">
    <w:name w:val="网格型1"/>
    <w:basedOn w:val="94"/>
    <w:qFormat/>
    <w:uiPriority w:val="59"/>
    <w:rPr>
      <w:rFonts w:ascii="Calibri" w:hAnsi="Calibri"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paragraph" w:customStyle="1" w:styleId="138">
    <w:name w:val="样式1"/>
    <w:basedOn w:val="1"/>
    <w:link w:val="139"/>
    <w:qFormat/>
    <w:uiPriority w:val="0"/>
    <w:pPr>
      <w:widowControl w:val="0"/>
      <w:adjustRightInd/>
      <w:snapToGrid/>
      <w:spacing w:after="0" w:line="240" w:lineRule="auto"/>
      <w:ind w:firstLine="0" w:firstLineChars="0"/>
      <w:jc w:val="center"/>
    </w:pPr>
    <w:rPr>
      <w:rFonts w:ascii="宋体" w:hAnsi="宋体" w:cs="Times New Roman"/>
      <w:kern w:val="2"/>
      <w:sz w:val="21"/>
      <w:szCs w:val="21"/>
    </w:rPr>
  </w:style>
  <w:style w:type="character" w:customStyle="1" w:styleId="139">
    <w:name w:val="样式1 Char"/>
    <w:link w:val="138"/>
    <w:qFormat/>
    <w:uiPriority w:val="0"/>
    <w:rPr>
      <w:rFonts w:ascii="宋体" w:hAnsi="宋体" w:eastAsia="宋体" w:cs="Times New Roman"/>
      <w:kern w:val="2"/>
      <w:sz w:val="21"/>
      <w:szCs w:val="21"/>
    </w:rPr>
  </w:style>
  <w:style w:type="paragraph" w:customStyle="1" w:styleId="140">
    <w:name w:val="2"/>
    <w:unhideWhenUsed/>
    <w:qFormat/>
    <w:uiPriority w:val="0"/>
    <w:pPr>
      <w:adjustRightInd w:val="0"/>
      <w:snapToGrid w:val="0"/>
      <w:spacing w:after="120" w:line="360" w:lineRule="auto"/>
      <w:ind w:firstLine="200" w:firstLineChars="200"/>
      <w:jc w:val="both"/>
    </w:pPr>
    <w:rPr>
      <w:rFonts w:ascii="Times New Roman" w:hAnsi="Times New Roman" w:eastAsia="宋体" w:cstheme="minorBidi"/>
      <w:sz w:val="24"/>
      <w:szCs w:val="22"/>
      <w:lang w:val="en-US" w:eastAsia="zh-CN" w:bidi="ar-SA"/>
    </w:rPr>
  </w:style>
  <w:style w:type="paragraph" w:customStyle="1" w:styleId="141">
    <w:name w:val="font5"/>
    <w:basedOn w:val="1"/>
    <w:qFormat/>
    <w:uiPriority w:val="0"/>
    <w:pPr>
      <w:adjustRightInd/>
      <w:snapToGrid/>
      <w:spacing w:before="100" w:beforeAutospacing="1" w:after="100" w:afterAutospacing="1" w:line="240" w:lineRule="auto"/>
      <w:ind w:firstLine="0" w:firstLineChars="0"/>
      <w:jc w:val="left"/>
    </w:pPr>
    <w:rPr>
      <w:rFonts w:ascii="宋体" w:hAnsi="宋体" w:cs="宋体"/>
      <w:sz w:val="18"/>
      <w:szCs w:val="18"/>
    </w:rPr>
  </w:style>
  <w:style w:type="paragraph" w:customStyle="1" w:styleId="142">
    <w:name w:val="xl65"/>
    <w:basedOn w:val="1"/>
    <w:qFormat/>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Cs w:val="24"/>
    </w:rPr>
  </w:style>
  <w:style w:type="character" w:customStyle="1" w:styleId="143">
    <w:name w:val="题注 Char"/>
    <w:link w:val="27"/>
    <w:qFormat/>
    <w:locked/>
    <w:uiPriority w:val="0"/>
    <w:rPr>
      <w:rFonts w:ascii="Arial" w:hAnsi="Arial" w:eastAsia="黑体" w:cs="Times New Roman"/>
      <w:kern w:val="2"/>
      <w:sz w:val="24"/>
      <w:szCs w:val="20"/>
    </w:rPr>
  </w:style>
  <w:style w:type="paragraph" w:customStyle="1" w:styleId="144">
    <w:name w:val="修订1"/>
    <w:hidden/>
    <w:semiHidden/>
    <w:qFormat/>
    <w:uiPriority w:val="99"/>
    <w:rPr>
      <w:rFonts w:ascii="宋体" w:hAnsi="宋体" w:eastAsia="宋体" w:cs="Times New Roman"/>
      <w:kern w:val="2"/>
      <w:sz w:val="24"/>
      <w:szCs w:val="24"/>
      <w:lang w:val="en-US" w:eastAsia="zh-CN" w:bidi="ar-SA"/>
    </w:rPr>
  </w:style>
  <w:style w:type="paragraph" w:customStyle="1" w:styleId="145">
    <w:name w:val="表格标题"/>
    <w:basedOn w:val="1"/>
    <w:link w:val="147"/>
    <w:qFormat/>
    <w:uiPriority w:val="0"/>
    <w:pPr>
      <w:widowControl w:val="0"/>
      <w:autoSpaceDE w:val="0"/>
      <w:autoSpaceDN w:val="0"/>
      <w:snapToGrid/>
      <w:spacing w:beforeLines="50" w:afterLines="50"/>
      <w:ind w:firstLine="480"/>
      <w:jc w:val="center"/>
    </w:pPr>
    <w:rPr>
      <w:rFonts w:ascii="黑体" w:hAnsi="宋体" w:eastAsia="黑体" w:cs="Times New Roman"/>
      <w:b/>
      <w:kern w:val="2"/>
      <w:sz w:val="28"/>
      <w:szCs w:val="24"/>
    </w:rPr>
  </w:style>
  <w:style w:type="character" w:customStyle="1" w:styleId="146">
    <w:name w:val="表格文字 Char"/>
    <w:basedOn w:val="88"/>
    <w:link w:val="129"/>
    <w:qFormat/>
    <w:uiPriority w:val="99"/>
    <w:rPr>
      <w:rFonts w:ascii="宋体" w:hAnsi="宋体" w:eastAsia="宋体" w:cs="Times New Roman"/>
      <w:sz w:val="24"/>
      <w:szCs w:val="24"/>
      <w:lang w:eastAsia="en-US"/>
    </w:rPr>
  </w:style>
  <w:style w:type="character" w:customStyle="1" w:styleId="147">
    <w:name w:val="表格标题 Char"/>
    <w:basedOn w:val="88"/>
    <w:link w:val="145"/>
    <w:qFormat/>
    <w:uiPriority w:val="0"/>
    <w:rPr>
      <w:rFonts w:ascii="黑体" w:hAnsi="宋体" w:eastAsia="黑体" w:cs="Times New Roman"/>
      <w:b/>
      <w:kern w:val="2"/>
      <w:sz w:val="28"/>
      <w:szCs w:val="24"/>
    </w:rPr>
  </w:style>
  <w:style w:type="character" w:customStyle="1" w:styleId="148">
    <w:name w:val="正文加粗 Char"/>
    <w:link w:val="149"/>
    <w:qFormat/>
    <w:uiPriority w:val="0"/>
    <w:rPr>
      <w:rFonts w:eastAsia="仿宋_GB2312"/>
      <w:b/>
      <w:kern w:val="2"/>
      <w:sz w:val="28"/>
    </w:rPr>
  </w:style>
  <w:style w:type="paragraph" w:customStyle="1" w:styleId="149">
    <w:name w:val="正文加粗"/>
    <w:basedOn w:val="1"/>
    <w:link w:val="148"/>
    <w:qFormat/>
    <w:uiPriority w:val="0"/>
    <w:pPr>
      <w:widowControl w:val="0"/>
      <w:adjustRightInd/>
      <w:snapToGrid/>
      <w:spacing w:after="0"/>
      <w:ind w:firstLine="562"/>
      <w:jc w:val="left"/>
    </w:pPr>
    <w:rPr>
      <w:rFonts w:eastAsia="仿宋_GB2312" w:asciiTheme="minorHAnsi" w:hAnsiTheme="minorHAnsi"/>
      <w:b/>
      <w:kern w:val="2"/>
      <w:sz w:val="28"/>
    </w:rPr>
  </w:style>
  <w:style w:type="paragraph" w:customStyle="1" w:styleId="150">
    <w:name w:val="1"/>
    <w:unhideWhenUsed/>
    <w:qFormat/>
    <w:uiPriority w:val="0"/>
    <w:pPr>
      <w:adjustRightInd w:val="0"/>
      <w:snapToGrid w:val="0"/>
      <w:spacing w:after="120" w:line="360" w:lineRule="auto"/>
      <w:ind w:firstLine="200" w:firstLineChars="200"/>
      <w:jc w:val="both"/>
    </w:pPr>
    <w:rPr>
      <w:rFonts w:ascii="Times New Roman" w:hAnsi="Times New Roman" w:eastAsia="宋体" w:cstheme="minorBidi"/>
      <w:sz w:val="24"/>
      <w:szCs w:val="22"/>
      <w:lang w:val="en-US" w:eastAsia="zh-CN" w:bidi="ar-SA"/>
    </w:rPr>
  </w:style>
  <w:style w:type="paragraph" w:customStyle="1" w:styleId="151">
    <w:name w:val="图-表"/>
    <w:basedOn w:val="1"/>
    <w:link w:val="152"/>
    <w:qFormat/>
    <w:uiPriority w:val="0"/>
    <w:pPr>
      <w:widowControl w:val="0"/>
      <w:adjustRightInd/>
      <w:snapToGrid/>
      <w:spacing w:after="0"/>
      <w:ind w:firstLine="0" w:firstLineChars="0"/>
      <w:jc w:val="center"/>
      <w:textAlignment w:val="center"/>
    </w:pPr>
    <w:rPr>
      <w:rFonts w:cs="宋体"/>
      <w:bCs/>
      <w:snapToGrid w:val="0"/>
      <w:kern w:val="2"/>
      <w:sz w:val="21"/>
      <w:szCs w:val="21"/>
    </w:rPr>
  </w:style>
  <w:style w:type="character" w:customStyle="1" w:styleId="152">
    <w:name w:val="图-表 Char"/>
    <w:basedOn w:val="88"/>
    <w:link w:val="151"/>
    <w:qFormat/>
    <w:uiPriority w:val="99"/>
    <w:rPr>
      <w:rFonts w:ascii="Times New Roman" w:hAnsi="Times New Roman" w:eastAsia="宋体" w:cs="宋体"/>
      <w:bCs/>
      <w:snapToGrid w:val="0"/>
      <w:kern w:val="2"/>
      <w:sz w:val="21"/>
      <w:szCs w:val="21"/>
    </w:rPr>
  </w:style>
  <w:style w:type="character" w:customStyle="1" w:styleId="153">
    <w:name w:val="标题 4 Char"/>
    <w:basedOn w:val="88"/>
    <w:link w:val="6"/>
    <w:qFormat/>
    <w:uiPriority w:val="0"/>
    <w:rPr>
      <w:rFonts w:asciiTheme="majorHAnsi" w:hAnsiTheme="majorHAnsi" w:eastAsiaTheme="majorEastAsia" w:cstheme="majorBidi"/>
      <w:b/>
      <w:bCs/>
      <w:sz w:val="28"/>
      <w:szCs w:val="28"/>
    </w:rPr>
  </w:style>
  <w:style w:type="character" w:customStyle="1" w:styleId="154">
    <w:name w:val="标题 5 Char"/>
    <w:basedOn w:val="88"/>
    <w:link w:val="7"/>
    <w:qFormat/>
    <w:uiPriority w:val="9"/>
    <w:rPr>
      <w:rFonts w:ascii="Times New Roman" w:hAnsi="Times New Roman" w:eastAsia="仿宋_GB2312" w:cs="Times New Roman"/>
      <w:b/>
      <w:bCs/>
      <w:sz w:val="28"/>
      <w:szCs w:val="21"/>
    </w:rPr>
  </w:style>
  <w:style w:type="character" w:customStyle="1" w:styleId="155">
    <w:name w:val="项目符号 Char"/>
    <w:basedOn w:val="88"/>
    <w:qFormat/>
    <w:uiPriority w:val="0"/>
    <w:rPr>
      <w:rFonts w:ascii="Times New Roman" w:hAnsi="Times New Roman" w:eastAsia="仿宋_GB2312" w:cs="Times New Roman"/>
      <w:sz w:val="28"/>
      <w:szCs w:val="20"/>
    </w:rPr>
  </w:style>
  <w:style w:type="table" w:customStyle="1" w:styleId="156">
    <w:name w:val="网格型2"/>
    <w:basedOn w:val="94"/>
    <w:qFormat/>
    <w:uiPriority w:val="59"/>
    <w:rPr>
      <w:rFonts w:ascii="Calibri" w:hAnsi="Calibri" w:eastAsia="宋体" w:cs="Times New Roman"/>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table" w:customStyle="1" w:styleId="157">
    <w:name w:val="网格型11"/>
    <w:basedOn w:val="94"/>
    <w:qFormat/>
    <w:uiPriority w:val="59"/>
    <w:rPr>
      <w:rFonts w:ascii="Calibri" w:hAnsi="Calibri" w:eastAsia="宋体" w:cs="Times New Roman"/>
      <w:kern w:val="2"/>
      <w:sz w:val="21"/>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character" w:customStyle="1" w:styleId="158">
    <w:name w:val="apple-converted-space"/>
    <w:basedOn w:val="88"/>
    <w:qFormat/>
    <w:uiPriority w:val="0"/>
  </w:style>
  <w:style w:type="table" w:customStyle="1" w:styleId="159">
    <w:name w:val="浅色底纹 - 着色 31"/>
    <w:basedOn w:val="94"/>
    <w:unhideWhenUsed/>
    <w:qFormat/>
    <w:uiPriority w:val="60"/>
    <w:rPr>
      <w:rFonts w:eastAsia="宋体"/>
      <w:color w:val="7B7B7B"/>
      <w:kern w:val="2"/>
      <w:sz w:val="21"/>
    </w:rPr>
    <w:tblPr>
      <w:tblBorders>
        <w:top w:val="single" w:color="A5A5A5" w:sz="8" w:space="0"/>
        <w:bottom w:val="single" w:color="A5A5A5" w:sz="8" w:space="0"/>
      </w:tblBorders>
      <w:tblLayout w:type="fixed"/>
    </w:tblPr>
    <w:tblStylePr w:type="firstRow">
      <w:pPr>
        <w:spacing w:before="0" w:after="0" w:line="240" w:lineRule="auto"/>
      </w:pPr>
      <w:rPr>
        <w:b/>
        <w:bCs/>
      </w:rPr>
      <w:tcPr>
        <w:tcBorders>
          <w:top w:val="single" w:color="A5A5A5" w:sz="8" w:space="0"/>
          <w:left w:val="nil"/>
          <w:bottom w:val="single" w:color="A5A5A5" w:sz="8" w:space="0"/>
          <w:right w:val="nil"/>
          <w:insideH w:val="nil"/>
          <w:insideV w:val="nil"/>
        </w:tcBorders>
      </w:tcPr>
    </w:tblStylePr>
    <w:tblStylePr w:type="lastRow">
      <w:pPr>
        <w:spacing w:before="0" w:after="0" w:line="240" w:lineRule="auto"/>
      </w:pPr>
      <w:rPr>
        <w:b/>
        <w:bCs/>
      </w:rPr>
      <w:tcPr>
        <w:tcBorders>
          <w:top w:val="single" w:color="A5A5A5" w:sz="8" w:space="0"/>
          <w:left w:val="nil"/>
          <w:bottom w:val="single" w:color="A5A5A5"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E8E8E8"/>
      </w:tcPr>
    </w:tblStylePr>
    <w:tblStylePr w:type="band1Horz">
      <w:tcPr>
        <w:tcBorders>
          <w:left w:val="nil"/>
          <w:right w:val="nil"/>
          <w:insideH w:val="nil"/>
          <w:insideV w:val="nil"/>
        </w:tcBorders>
        <w:shd w:val="clear" w:color="auto" w:fill="E8E8E8"/>
      </w:tcPr>
    </w:tblStylePr>
  </w:style>
  <w:style w:type="character" w:customStyle="1" w:styleId="160">
    <w:name w:val="表格 Char"/>
    <w:link w:val="161"/>
    <w:qFormat/>
    <w:uiPriority w:val="0"/>
    <w:rPr>
      <w:rFonts w:ascii="仿宋_GB2312" w:hAnsi="Times New Roman" w:eastAsia="仿宋_GB2312"/>
      <w:sz w:val="24"/>
      <w:szCs w:val="24"/>
    </w:rPr>
  </w:style>
  <w:style w:type="paragraph" w:customStyle="1" w:styleId="161">
    <w:name w:val="表格"/>
    <w:basedOn w:val="1"/>
    <w:link w:val="160"/>
    <w:qFormat/>
    <w:uiPriority w:val="0"/>
    <w:pPr>
      <w:adjustRightInd/>
      <w:snapToGrid/>
      <w:spacing w:before="0" w:after="0" w:line="240" w:lineRule="auto"/>
      <w:ind w:firstLine="0" w:firstLineChars="0"/>
      <w:jc w:val="center"/>
    </w:pPr>
    <w:rPr>
      <w:rFonts w:ascii="仿宋_GB2312" w:eastAsia="仿宋_GB2312"/>
      <w:szCs w:val="24"/>
    </w:rPr>
  </w:style>
  <w:style w:type="table" w:customStyle="1" w:styleId="162">
    <w:name w:val="网格表 1 浅色 - 着色 41"/>
    <w:basedOn w:val="94"/>
    <w:qFormat/>
    <w:uiPriority w:val="46"/>
    <w:tblPr>
      <w:tblBorders>
        <w:top w:val="single" w:color="CCC0D9" w:themeColor="accent4" w:themeTint="66" w:sz="4" w:space="0"/>
        <w:left w:val="single" w:color="CCC0D9" w:themeColor="accent4" w:themeTint="66" w:sz="4" w:space="0"/>
        <w:bottom w:val="single" w:color="CCC0D9" w:themeColor="accent4" w:themeTint="66" w:sz="4" w:space="0"/>
        <w:right w:val="single" w:color="CCC0D9" w:themeColor="accent4" w:themeTint="66" w:sz="4" w:space="0"/>
        <w:insideH w:val="single" w:color="CCC0D9" w:themeColor="accent4" w:themeTint="66" w:sz="4" w:space="0"/>
        <w:insideV w:val="single" w:color="CCC0D9" w:themeColor="accent4" w:themeTint="66" w:sz="4" w:space="0"/>
      </w:tblBorders>
      <w:tblLayout w:type="fixed"/>
    </w:tblPr>
    <w:tblStylePr w:type="firstRow">
      <w:rPr>
        <w:b/>
        <w:bCs/>
      </w:rPr>
      <w:tcPr>
        <w:tcBorders>
          <w:bottom w:val="single" w:color="B2A1C7" w:themeColor="accent4" w:themeTint="99" w:sz="12" w:space="0"/>
        </w:tcBorders>
      </w:tcPr>
    </w:tblStylePr>
    <w:tblStylePr w:type="lastRow">
      <w:rPr>
        <w:b/>
        <w:bCs/>
      </w:rPr>
      <w:tcPr>
        <w:tcBorders>
          <w:top w:val="double" w:color="B2A1C7" w:themeColor="accent4" w:themeTint="99" w:sz="2" w:space="0"/>
        </w:tcBorders>
      </w:tcPr>
    </w:tblStylePr>
    <w:tblStylePr w:type="firstCol">
      <w:rPr>
        <w:b/>
        <w:bCs/>
      </w:rPr>
    </w:tblStylePr>
    <w:tblStylePr w:type="lastCol">
      <w:rPr>
        <w:b/>
        <w:bCs/>
      </w:rPr>
    </w:tblStylePr>
  </w:style>
  <w:style w:type="table" w:customStyle="1" w:styleId="163">
    <w:name w:val="网格型12"/>
    <w:basedOn w:val="94"/>
    <w:qFormat/>
    <w:uiPriority w:val="59"/>
    <w:rPr>
      <w:rFonts w:eastAsia="宋体"/>
      <w:kern w:val="2"/>
      <w:sz w:val="21"/>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paragraph" w:styleId="164">
    <w:name w:val="List Paragraph"/>
    <w:basedOn w:val="1"/>
    <w:link w:val="200"/>
    <w:qFormat/>
    <w:uiPriority w:val="34"/>
    <w:pPr>
      <w:ind w:firstLine="420"/>
    </w:pPr>
  </w:style>
  <w:style w:type="character" w:customStyle="1" w:styleId="165">
    <w:name w:val="图-表 Char Char"/>
    <w:uiPriority w:val="0"/>
    <w:rPr>
      <w:rFonts w:ascii="Times New Roman" w:hAnsi="Times New Roman" w:eastAsia="宋体" w:cs="宋体"/>
      <w:bCs/>
      <w:snapToGrid w:val="0"/>
      <w:kern w:val="2"/>
      <w:sz w:val="21"/>
      <w:szCs w:val="21"/>
    </w:rPr>
  </w:style>
  <w:style w:type="paragraph" w:customStyle="1" w:styleId="166">
    <w:name w:val="正 文"/>
    <w:basedOn w:val="1"/>
    <w:uiPriority w:val="0"/>
    <w:pPr>
      <w:spacing w:before="156" w:after="156"/>
      <w:ind w:firstLine="480"/>
    </w:pPr>
    <w:rPr>
      <w:rFonts w:cs="黑体"/>
      <w:snapToGrid w:val="0"/>
      <w:szCs w:val="24"/>
    </w:rPr>
  </w:style>
  <w:style w:type="character" w:customStyle="1" w:styleId="167">
    <w:name w:val="标题 6 Char"/>
    <w:basedOn w:val="88"/>
    <w:semiHidden/>
    <w:uiPriority w:val="9"/>
    <w:rPr>
      <w:rFonts w:asciiTheme="majorHAnsi" w:hAnsiTheme="majorHAnsi" w:eastAsiaTheme="majorEastAsia" w:cstheme="majorBidi"/>
      <w:b/>
      <w:bCs/>
      <w:sz w:val="24"/>
      <w:szCs w:val="24"/>
    </w:rPr>
  </w:style>
  <w:style w:type="character" w:customStyle="1" w:styleId="168">
    <w:name w:val="标题 7 Char"/>
    <w:basedOn w:val="88"/>
    <w:semiHidden/>
    <w:uiPriority w:val="9"/>
    <w:rPr>
      <w:rFonts w:ascii="Times New Roman" w:hAnsi="Times New Roman" w:eastAsia="宋体"/>
      <w:b/>
      <w:bCs/>
      <w:sz w:val="24"/>
      <w:szCs w:val="24"/>
    </w:rPr>
  </w:style>
  <w:style w:type="character" w:customStyle="1" w:styleId="169">
    <w:name w:val="标题 8 Char"/>
    <w:basedOn w:val="88"/>
    <w:link w:val="10"/>
    <w:uiPriority w:val="9"/>
    <w:rPr>
      <w:rFonts w:ascii="Cambria" w:hAnsi="Cambria" w:eastAsia="宋体" w:cs="Times New Roman"/>
      <w:sz w:val="24"/>
      <w:szCs w:val="24"/>
    </w:rPr>
  </w:style>
  <w:style w:type="character" w:customStyle="1" w:styleId="170">
    <w:name w:val="标题 9 Char"/>
    <w:basedOn w:val="88"/>
    <w:semiHidden/>
    <w:uiPriority w:val="9"/>
    <w:rPr>
      <w:rFonts w:asciiTheme="majorHAnsi" w:hAnsiTheme="majorHAnsi" w:eastAsiaTheme="majorEastAsia" w:cstheme="majorBidi"/>
      <w:sz w:val="21"/>
      <w:szCs w:val="21"/>
    </w:rPr>
  </w:style>
  <w:style w:type="character" w:customStyle="1" w:styleId="171">
    <w:name w:val="项目符号 Char Char Char"/>
    <w:uiPriority w:val="0"/>
    <w:rPr>
      <w:rFonts w:ascii="Times New Roman" w:hAnsi="Times New Roman" w:eastAsia="仿宋_GB2312" w:cs="Times New Roman"/>
      <w:sz w:val="28"/>
      <w:szCs w:val="20"/>
    </w:rPr>
  </w:style>
  <w:style w:type="character" w:customStyle="1" w:styleId="172">
    <w:name w:val="图名称 Char Char"/>
    <w:uiPriority w:val="0"/>
    <w:rPr>
      <w:rFonts w:ascii="Times New Roman" w:hAnsi="Times New Roman" w:eastAsia="黑体" w:cs="宋体"/>
      <w:bCs/>
      <w:kern w:val="2"/>
      <w:sz w:val="24"/>
      <w:szCs w:val="21"/>
    </w:rPr>
  </w:style>
  <w:style w:type="character" w:customStyle="1" w:styleId="173">
    <w:name w:val="表格文字 Char Char"/>
    <w:uiPriority w:val="0"/>
    <w:rPr>
      <w:rFonts w:ascii="宋体" w:hAnsi="宋体" w:eastAsia="宋体" w:cs="Times New Roman"/>
      <w:sz w:val="24"/>
      <w:szCs w:val="24"/>
      <w:lang w:eastAsia="en-US"/>
    </w:rPr>
  </w:style>
  <w:style w:type="character" w:customStyle="1" w:styleId="174">
    <w:name w:val="表格标题 Char Char"/>
    <w:uiPriority w:val="0"/>
    <w:rPr>
      <w:rFonts w:ascii="黑体" w:hAnsi="宋体" w:eastAsia="黑体" w:cs="Times New Roman"/>
      <w:b/>
      <w:kern w:val="2"/>
      <w:sz w:val="28"/>
      <w:szCs w:val="24"/>
    </w:rPr>
  </w:style>
  <w:style w:type="character" w:customStyle="1" w:styleId="175">
    <w:name w:val="表格样式 Char Char"/>
    <w:uiPriority w:val="0"/>
    <w:rPr>
      <w:rFonts w:ascii="宋体" w:hAnsi="宋体" w:eastAsia="宋体" w:cs="Times New Roman"/>
      <w:kern w:val="2"/>
      <w:sz w:val="21"/>
      <w:szCs w:val="20"/>
    </w:rPr>
  </w:style>
  <w:style w:type="character" w:customStyle="1" w:styleId="176">
    <w:name w:val="图表标题格式 Char Char Char"/>
    <w:uiPriority w:val="0"/>
    <w:rPr>
      <w:rFonts w:ascii="黑体" w:hAnsi="黑体" w:eastAsia="黑体" w:cs="Times New Roman"/>
      <w:kern w:val="0"/>
      <w:szCs w:val="21"/>
    </w:rPr>
  </w:style>
  <w:style w:type="character" w:customStyle="1" w:styleId="177">
    <w:name w:val="表名称 Char Char"/>
    <w:uiPriority w:val="0"/>
    <w:rPr>
      <w:rFonts w:ascii="Times New Roman" w:hAnsi="Times New Roman" w:eastAsia="黑体" w:cs="宋体"/>
      <w:bCs/>
      <w:kern w:val="2"/>
      <w:sz w:val="24"/>
      <w:szCs w:val="21"/>
    </w:rPr>
  </w:style>
  <w:style w:type="character" w:customStyle="1" w:styleId="178">
    <w:name w:val="批注引用1"/>
    <w:uiPriority w:val="0"/>
    <w:rPr>
      <w:sz w:val="21"/>
      <w:szCs w:val="21"/>
    </w:rPr>
  </w:style>
  <w:style w:type="character" w:customStyle="1" w:styleId="179">
    <w:name w:val="图片 Char Char"/>
    <w:uiPriority w:val="0"/>
    <w:rPr>
      <w:rFonts w:ascii="宋体" w:hAnsi="宋体" w:eastAsia="宋体" w:cs="Times New Roman"/>
      <w:kern w:val="1"/>
      <w:sz w:val="21"/>
      <w:szCs w:val="20"/>
    </w:rPr>
  </w:style>
  <w:style w:type="character" w:customStyle="1" w:styleId="180">
    <w:name w:val="正文加粗 Char Char"/>
    <w:uiPriority w:val="0"/>
    <w:rPr>
      <w:rFonts w:eastAsia="仿宋_GB2312"/>
      <w:b/>
      <w:kern w:val="2"/>
      <w:sz w:val="28"/>
    </w:rPr>
  </w:style>
  <w:style w:type="character" w:customStyle="1" w:styleId="181">
    <w:name w:val="表头 Char Char"/>
    <w:uiPriority w:val="0"/>
    <w:rPr>
      <w:rFonts w:ascii="宋体" w:hAnsi="宋体" w:eastAsia="宋体"/>
      <w:b/>
      <w:kern w:val="2"/>
      <w:sz w:val="21"/>
      <w:szCs w:val="21"/>
    </w:rPr>
  </w:style>
  <w:style w:type="character" w:customStyle="1" w:styleId="182">
    <w:name w:val="表格 Char Char"/>
    <w:uiPriority w:val="0"/>
    <w:rPr>
      <w:rFonts w:ascii="仿宋_GB2312" w:hAnsi="Times New Roman" w:eastAsia="仿宋_GB2312"/>
      <w:sz w:val="24"/>
      <w:szCs w:val="24"/>
    </w:rPr>
  </w:style>
  <w:style w:type="character" w:customStyle="1" w:styleId="183">
    <w:name w:val="样式1 Char Char"/>
    <w:uiPriority w:val="0"/>
    <w:rPr>
      <w:rFonts w:ascii="宋体" w:hAnsi="宋体" w:eastAsia="宋体" w:cs="Times New Roman"/>
      <w:kern w:val="2"/>
      <w:sz w:val="21"/>
      <w:szCs w:val="21"/>
    </w:rPr>
  </w:style>
  <w:style w:type="paragraph" w:customStyle="1" w:styleId="184">
    <w:name w:val="图表"/>
    <w:basedOn w:val="185"/>
    <w:link w:val="228"/>
    <w:uiPriority w:val="0"/>
    <w:pPr>
      <w:jc w:val="center"/>
      <w:textAlignment w:val="center"/>
    </w:pPr>
    <w:rPr>
      <w:b/>
      <w:bCs/>
    </w:rPr>
  </w:style>
  <w:style w:type="paragraph" w:customStyle="1" w:styleId="185">
    <w:name w:val="图表目录1"/>
    <w:basedOn w:val="1"/>
    <w:next w:val="1"/>
    <w:uiPriority w:val="0"/>
    <w:pPr>
      <w:ind w:left="200" w:leftChars="200" w:hanging="200" w:hangingChars="200"/>
    </w:pPr>
    <w:rPr>
      <w:rFonts w:cs="黑体"/>
    </w:rPr>
  </w:style>
  <w:style w:type="paragraph" w:customStyle="1" w:styleId="186">
    <w:name w:val="图-表名称"/>
    <w:basedOn w:val="187"/>
    <w:link w:val="202"/>
    <w:qFormat/>
    <w:uiPriority w:val="0"/>
    <w:pPr>
      <w:ind w:firstLine="0" w:firstLineChars="0"/>
    </w:pPr>
    <w:rPr>
      <w:rFonts w:ascii="宋体" w:hAnsi="宋体" w:eastAsia="黑体"/>
      <w:b/>
      <w:bCs w:val="0"/>
    </w:rPr>
  </w:style>
  <w:style w:type="paragraph" w:customStyle="1" w:styleId="187">
    <w:name w:val="表名"/>
    <w:basedOn w:val="184"/>
    <w:next w:val="184"/>
    <w:link w:val="236"/>
    <w:uiPriority w:val="0"/>
    <w:pPr>
      <w:spacing w:before="156" w:beforeLines="50"/>
    </w:pPr>
    <w:rPr>
      <w:b w:val="0"/>
    </w:rPr>
  </w:style>
  <w:style w:type="paragraph" w:customStyle="1" w:styleId="188">
    <w:name w:val="修订2"/>
    <w:uiPriority w:val="0"/>
    <w:rPr>
      <w:rFonts w:ascii="宋体" w:hAnsi="宋体" w:eastAsia="宋体" w:cs="Times New Roman"/>
      <w:kern w:val="2"/>
      <w:sz w:val="24"/>
      <w:szCs w:val="24"/>
      <w:lang w:val="en-US" w:eastAsia="zh-CN" w:bidi="ar-SA"/>
    </w:rPr>
  </w:style>
  <w:style w:type="paragraph" w:customStyle="1" w:styleId="189">
    <w:name w:val="正文文本缩进1"/>
    <w:basedOn w:val="1"/>
    <w:uiPriority w:val="0"/>
    <w:pPr>
      <w:widowControl w:val="0"/>
      <w:adjustRightInd/>
      <w:snapToGrid/>
      <w:ind w:left="420" w:leftChars="200" w:firstLine="0" w:firstLineChars="0"/>
    </w:pPr>
    <w:rPr>
      <w:rFonts w:ascii="宋体" w:hAnsi="宋体" w:cs="Times New Roman"/>
      <w:sz w:val="20"/>
      <w:szCs w:val="24"/>
      <w:lang w:val="zh-CN" w:eastAsia="zh-CN"/>
    </w:rPr>
  </w:style>
  <w:style w:type="paragraph" w:customStyle="1" w:styleId="190">
    <w:name w:val="无间隔2"/>
    <w:uiPriority w:val="0"/>
    <w:pPr>
      <w:widowControl w:val="0"/>
      <w:ind w:firstLine="200" w:firstLineChars="200"/>
      <w:jc w:val="both"/>
    </w:pPr>
    <w:rPr>
      <w:rFonts w:ascii="Times New Roman" w:hAnsi="Times New Roman" w:eastAsia="宋体" w:cs="Times New Roman"/>
      <w:kern w:val="2"/>
      <w:sz w:val="24"/>
      <w:szCs w:val="24"/>
      <w:lang w:val="en-US" w:eastAsia="zh-CN" w:bidi="ar-SA"/>
    </w:rPr>
  </w:style>
  <w:style w:type="paragraph" w:customStyle="1" w:styleId="191">
    <w:name w:val="TOC 标题2"/>
    <w:basedOn w:val="2"/>
    <w:next w:val="1"/>
    <w:uiPriority w:val="0"/>
    <w:pPr>
      <w:adjustRightInd/>
      <w:snapToGrid/>
      <w:spacing w:before="480" w:after="0" w:line="276" w:lineRule="auto"/>
      <w:jc w:val="left"/>
      <w:outlineLvl w:val="9"/>
    </w:pPr>
    <w:rPr>
      <w:rFonts w:ascii="Cambria" w:hAnsi="Cambria" w:eastAsia="宋体" w:cs="Times New Roman"/>
      <w:b/>
      <w:bCs/>
      <w:color w:val="365F91"/>
      <w:kern w:val="0"/>
      <w:sz w:val="28"/>
      <w:szCs w:val="28"/>
      <w:lang w:val="zh-CN" w:eastAsia="zh-CN"/>
    </w:rPr>
  </w:style>
  <w:style w:type="paragraph" w:customStyle="1" w:styleId="192">
    <w:name w:val="日期1"/>
    <w:basedOn w:val="1"/>
    <w:next w:val="1"/>
    <w:uiPriority w:val="0"/>
    <w:pPr>
      <w:ind w:left="100" w:leftChars="2500"/>
    </w:pPr>
    <w:rPr>
      <w:rFonts w:ascii="Tahoma" w:hAnsi="Tahoma" w:cs="Times New Roman"/>
      <w:sz w:val="20"/>
      <w:szCs w:val="20"/>
      <w:lang w:val="zh-CN" w:eastAsia="zh-CN"/>
    </w:rPr>
  </w:style>
  <w:style w:type="paragraph" w:customStyle="1" w:styleId="193">
    <w:name w:val="普通(网站)1"/>
    <w:basedOn w:val="1"/>
    <w:uiPriority w:val="0"/>
    <w:pPr>
      <w:adjustRightInd/>
      <w:snapToGrid/>
      <w:spacing w:before="100" w:beforeAutospacing="1" w:after="100" w:afterAutospacing="1" w:line="240" w:lineRule="auto"/>
      <w:ind w:firstLine="0" w:firstLineChars="0"/>
      <w:jc w:val="left"/>
    </w:pPr>
    <w:rPr>
      <w:rFonts w:ascii="宋体" w:hAnsi="宋体" w:cs="宋体"/>
      <w:szCs w:val="24"/>
    </w:rPr>
  </w:style>
  <w:style w:type="paragraph" w:customStyle="1" w:styleId="194">
    <w:name w:val="批注主题1"/>
    <w:basedOn w:val="14"/>
    <w:next w:val="14"/>
    <w:uiPriority w:val="0"/>
    <w:rPr>
      <w:b/>
      <w:bCs/>
      <w:lang w:val="zh-CN" w:eastAsia="zh-CN"/>
    </w:rPr>
  </w:style>
  <w:style w:type="paragraph" w:customStyle="1" w:styleId="195">
    <w:name w:val="文档结构图1"/>
    <w:basedOn w:val="1"/>
    <w:uiPriority w:val="0"/>
    <w:rPr>
      <w:rFonts w:ascii="宋体" w:hAnsi="Tahoma" w:cs="Times New Roman"/>
      <w:sz w:val="18"/>
      <w:szCs w:val="18"/>
      <w:lang w:val="zh-CN" w:eastAsia="zh-CN"/>
    </w:rPr>
  </w:style>
  <w:style w:type="paragraph" w:customStyle="1" w:styleId="196">
    <w:name w:val="列出段落2"/>
    <w:basedOn w:val="1"/>
    <w:uiPriority w:val="0"/>
    <w:pPr>
      <w:widowControl w:val="0"/>
      <w:adjustRightInd/>
      <w:snapToGrid/>
      <w:spacing w:after="0" w:line="240" w:lineRule="auto"/>
      <w:ind w:firstLine="420"/>
    </w:pPr>
    <w:rPr>
      <w:rFonts w:ascii="Calibri" w:hAnsi="Calibri" w:cs="Times New Roman"/>
      <w:kern w:val="2"/>
      <w:sz w:val="21"/>
    </w:rPr>
  </w:style>
  <w:style w:type="character" w:customStyle="1" w:styleId="197">
    <w:name w:val="批注主题 Char1"/>
    <w:semiHidden/>
    <w:uiPriority w:val="99"/>
    <w:rPr>
      <w:rFonts w:ascii="宋体" w:hAnsi="宋体" w:eastAsia="宋体" w:cs="黑体"/>
      <w:b/>
      <w:bCs/>
      <w:sz w:val="24"/>
      <w:szCs w:val="22"/>
    </w:rPr>
  </w:style>
  <w:style w:type="character" w:customStyle="1" w:styleId="198">
    <w:name w:val="文档结构图 Char1"/>
    <w:semiHidden/>
    <w:uiPriority w:val="99"/>
    <w:rPr>
      <w:rFonts w:ascii="宋体" w:cs="黑体"/>
      <w:sz w:val="18"/>
      <w:szCs w:val="18"/>
    </w:rPr>
  </w:style>
  <w:style w:type="paragraph" w:customStyle="1" w:styleId="199">
    <w:name w:val="表格内文字"/>
    <w:basedOn w:val="1"/>
    <w:qFormat/>
    <w:uiPriority w:val="0"/>
    <w:pPr>
      <w:adjustRightInd/>
      <w:snapToGrid/>
      <w:spacing w:before="0" w:after="0" w:line="280" w:lineRule="exact"/>
      <w:ind w:firstLine="0" w:firstLineChars="0"/>
      <w:jc w:val="center"/>
    </w:pPr>
    <w:rPr>
      <w:rFonts w:ascii="Calibri" w:hAnsi="Calibri" w:cs="宋体"/>
      <w:color w:val="000000"/>
      <w:sz w:val="21"/>
    </w:rPr>
  </w:style>
  <w:style w:type="character" w:customStyle="1" w:styleId="200">
    <w:name w:val="列出段落 Char"/>
    <w:link w:val="164"/>
    <w:uiPriority w:val="34"/>
    <w:rPr>
      <w:rFonts w:ascii="Times New Roman" w:hAnsi="Times New Roman" w:eastAsia="宋体"/>
      <w:sz w:val="24"/>
      <w:szCs w:val="22"/>
    </w:rPr>
  </w:style>
  <w:style w:type="paragraph" w:customStyle="1" w:styleId="201">
    <w:name w:val="表格的标题"/>
    <w:basedOn w:val="1"/>
    <w:link w:val="203"/>
    <w:qFormat/>
    <w:uiPriority w:val="0"/>
    <w:pPr>
      <w:ind w:firstLine="0" w:firstLineChars="0"/>
      <w:jc w:val="center"/>
    </w:pPr>
    <w:rPr>
      <w:rFonts w:ascii="黑体" w:hAnsi="黑体" w:eastAsia="黑体" w:cs="黑体"/>
      <w:bCs/>
      <w:color w:val="000000"/>
    </w:rPr>
  </w:style>
  <w:style w:type="character" w:customStyle="1" w:styleId="202">
    <w:name w:val="图-表名称 Char"/>
    <w:link w:val="186"/>
    <w:uiPriority w:val="0"/>
    <w:rPr>
      <w:rFonts w:ascii="宋体" w:hAnsi="宋体" w:eastAsia="黑体" w:cs="黑体"/>
      <w:b/>
      <w:sz w:val="24"/>
      <w:szCs w:val="22"/>
    </w:rPr>
  </w:style>
  <w:style w:type="character" w:customStyle="1" w:styleId="203">
    <w:name w:val="表格的标题 Char"/>
    <w:link w:val="201"/>
    <w:uiPriority w:val="0"/>
    <w:rPr>
      <w:rFonts w:ascii="黑体" w:hAnsi="黑体" w:eastAsia="黑体" w:cs="黑体"/>
      <w:bCs/>
      <w:color w:val="000000"/>
      <w:sz w:val="24"/>
      <w:szCs w:val="22"/>
    </w:rPr>
  </w:style>
  <w:style w:type="paragraph" w:customStyle="1" w:styleId="204">
    <w:name w:val="图表111"/>
    <w:basedOn w:val="1"/>
    <w:link w:val="205"/>
    <w:uiPriority w:val="0"/>
    <w:pPr>
      <w:widowControl w:val="0"/>
      <w:adjustRightInd/>
      <w:snapToGrid/>
      <w:spacing w:before="0" w:after="0"/>
      <w:ind w:firstLine="0" w:firstLineChars="0"/>
      <w:jc w:val="center"/>
    </w:pPr>
    <w:rPr>
      <w:rFonts w:cs="Times New Roman"/>
      <w:kern w:val="2"/>
      <w:sz w:val="21"/>
      <w:szCs w:val="24"/>
      <w:lang w:val="zh-CN" w:eastAsia="zh-CN"/>
    </w:rPr>
  </w:style>
  <w:style w:type="character" w:customStyle="1" w:styleId="205">
    <w:name w:val="图表111 Char"/>
    <w:link w:val="204"/>
    <w:uiPriority w:val="0"/>
    <w:rPr>
      <w:rFonts w:ascii="Times New Roman" w:hAnsi="Times New Roman" w:eastAsia="宋体" w:cs="Times New Roman"/>
      <w:kern w:val="2"/>
      <w:sz w:val="21"/>
      <w:szCs w:val="24"/>
      <w:lang w:val="zh-CN" w:eastAsia="zh-CN"/>
    </w:rPr>
  </w:style>
  <w:style w:type="paragraph" w:customStyle="1" w:styleId="206">
    <w:name w:val="第四级"/>
    <w:basedOn w:val="1"/>
    <w:link w:val="207"/>
    <w:qFormat/>
    <w:uiPriority w:val="0"/>
    <w:pPr>
      <w:widowControl w:val="0"/>
      <w:adjustRightInd/>
      <w:snapToGrid/>
      <w:spacing w:before="166" w:after="0"/>
      <w:ind w:firstLine="482"/>
    </w:pPr>
    <w:rPr>
      <w:rFonts w:cs="Times New Roman"/>
      <w:b/>
      <w:kern w:val="2"/>
      <w:szCs w:val="24"/>
      <w:lang w:val="zh-CN" w:eastAsia="zh-CN"/>
    </w:rPr>
  </w:style>
  <w:style w:type="character" w:customStyle="1" w:styleId="207">
    <w:name w:val="第四级 Char"/>
    <w:link w:val="206"/>
    <w:uiPriority w:val="0"/>
    <w:rPr>
      <w:rFonts w:ascii="Times New Roman" w:hAnsi="Times New Roman" w:eastAsia="宋体" w:cs="Times New Roman"/>
      <w:b/>
      <w:kern w:val="2"/>
      <w:sz w:val="24"/>
      <w:szCs w:val="24"/>
      <w:lang w:val="zh-CN" w:eastAsia="zh-CN"/>
    </w:rPr>
  </w:style>
  <w:style w:type="character" w:customStyle="1" w:styleId="208">
    <w:name w:val="标题 6 Char1"/>
    <w:link w:val="8"/>
    <w:semiHidden/>
    <w:uiPriority w:val="9"/>
    <w:rPr>
      <w:rFonts w:ascii="等线 Light" w:hAnsi="等线 Light" w:eastAsia="等线 Light" w:cs="Times New Roman"/>
      <w:b/>
      <w:bCs/>
      <w:kern w:val="2"/>
      <w:sz w:val="24"/>
      <w:szCs w:val="24"/>
    </w:rPr>
  </w:style>
  <w:style w:type="character" w:customStyle="1" w:styleId="209">
    <w:name w:val="标题 7 Char1"/>
    <w:link w:val="9"/>
    <w:semiHidden/>
    <w:uiPriority w:val="9"/>
    <w:rPr>
      <w:rFonts w:ascii="Calibri" w:hAnsi="Calibri" w:eastAsia="宋体" w:cs="Times New Roman"/>
      <w:b/>
      <w:bCs/>
      <w:kern w:val="2"/>
      <w:sz w:val="24"/>
      <w:szCs w:val="24"/>
    </w:rPr>
  </w:style>
  <w:style w:type="character" w:customStyle="1" w:styleId="210">
    <w:name w:val="标题 9 Char1"/>
    <w:link w:val="11"/>
    <w:semiHidden/>
    <w:uiPriority w:val="9"/>
    <w:rPr>
      <w:rFonts w:ascii="等线 Light" w:hAnsi="等线 Light" w:eastAsia="等线 Light" w:cs="Times New Roman"/>
      <w:kern w:val="2"/>
      <w:sz w:val="21"/>
      <w:szCs w:val="21"/>
    </w:rPr>
  </w:style>
  <w:style w:type="character" w:customStyle="1" w:styleId="211">
    <w:name w:val="页眉 字符"/>
    <w:uiPriority w:val="99"/>
    <w:rPr>
      <w:sz w:val="18"/>
      <w:szCs w:val="18"/>
    </w:rPr>
  </w:style>
  <w:style w:type="character" w:customStyle="1" w:styleId="212">
    <w:name w:val="页脚 字符"/>
    <w:uiPriority w:val="99"/>
    <w:rPr>
      <w:sz w:val="18"/>
      <w:szCs w:val="18"/>
    </w:rPr>
  </w:style>
  <w:style w:type="character" w:customStyle="1" w:styleId="213">
    <w:name w:val="标题 1 字符"/>
    <w:uiPriority w:val="9"/>
    <w:rPr>
      <w:rFonts w:ascii="Times New Roman" w:hAnsi="Times New Roman" w:eastAsia="黑体" w:cs="Times New Roman"/>
      <w:kern w:val="44"/>
      <w:sz w:val="36"/>
      <w:szCs w:val="44"/>
    </w:rPr>
  </w:style>
  <w:style w:type="character" w:customStyle="1" w:styleId="214">
    <w:name w:val="标题 字符"/>
    <w:uiPriority w:val="10"/>
    <w:rPr>
      <w:rFonts w:ascii="等线 Light" w:hAnsi="等线 Light" w:eastAsia="等线 Light" w:cs="Times New Roman"/>
      <w:b/>
      <w:bCs/>
      <w:sz w:val="32"/>
      <w:szCs w:val="32"/>
    </w:rPr>
  </w:style>
  <w:style w:type="character" w:customStyle="1" w:styleId="215">
    <w:name w:val="标题 2 字符"/>
    <w:uiPriority w:val="9"/>
    <w:rPr>
      <w:rFonts w:ascii="等线 Light" w:hAnsi="等线 Light" w:eastAsia="等线 Light" w:cs="Times New Roman"/>
      <w:b/>
      <w:bCs/>
      <w:sz w:val="32"/>
      <w:szCs w:val="32"/>
    </w:rPr>
  </w:style>
  <w:style w:type="character" w:customStyle="1" w:styleId="216">
    <w:name w:val="标题 3 字符"/>
    <w:uiPriority w:val="9"/>
    <w:rPr>
      <w:rFonts w:ascii="Times New Roman" w:hAnsi="Times New Roman" w:eastAsia="宋体" w:cs="Times New Roman"/>
      <w:b/>
      <w:bCs/>
      <w:sz w:val="32"/>
      <w:szCs w:val="32"/>
    </w:rPr>
  </w:style>
  <w:style w:type="character" w:customStyle="1" w:styleId="217">
    <w:name w:val="标题 4 字符"/>
    <w:uiPriority w:val="0"/>
    <w:rPr>
      <w:rFonts w:ascii="Arial" w:hAnsi="Arial" w:eastAsia="黑体" w:cs="Times New Roman"/>
      <w:b/>
      <w:snapToGrid w:val="0"/>
      <w:kern w:val="0"/>
      <w:sz w:val="28"/>
      <w:szCs w:val="28"/>
    </w:rPr>
  </w:style>
  <w:style w:type="character" w:customStyle="1" w:styleId="218">
    <w:name w:val="标题 5 字符"/>
    <w:uiPriority w:val="0"/>
    <w:rPr>
      <w:rFonts w:ascii="Calibri" w:hAnsi="Calibri" w:eastAsia="宋体" w:cs="Times New Roman"/>
      <w:b/>
      <w:bCs/>
      <w:sz w:val="28"/>
      <w:szCs w:val="28"/>
    </w:rPr>
  </w:style>
  <w:style w:type="character" w:customStyle="1" w:styleId="219">
    <w:name w:val="标题 8 字符"/>
    <w:semiHidden/>
    <w:uiPriority w:val="9"/>
    <w:rPr>
      <w:rFonts w:ascii="等线 Light" w:hAnsi="等线 Light" w:eastAsia="等线 Light" w:cs="Times New Roman"/>
      <w:sz w:val="24"/>
      <w:szCs w:val="24"/>
    </w:rPr>
  </w:style>
  <w:style w:type="character" w:customStyle="1" w:styleId="220">
    <w:name w:val="文档结构图 字符"/>
    <w:uiPriority w:val="99"/>
    <w:rPr>
      <w:rFonts w:ascii="宋体" w:hAnsi="Calibri" w:eastAsia="宋体" w:cs="Times New Roman"/>
      <w:sz w:val="18"/>
      <w:szCs w:val="18"/>
    </w:rPr>
  </w:style>
  <w:style w:type="character" w:customStyle="1" w:styleId="221">
    <w:name w:val="批注框文本 字符"/>
    <w:uiPriority w:val="99"/>
    <w:rPr>
      <w:rFonts w:ascii="Calibri" w:hAnsi="Calibri" w:eastAsia="宋体" w:cs="Times New Roman"/>
      <w:sz w:val="18"/>
      <w:szCs w:val="18"/>
    </w:rPr>
  </w:style>
  <w:style w:type="character" w:customStyle="1" w:styleId="222">
    <w:name w:val="正文文本缩进 字符"/>
    <w:uiPriority w:val="0"/>
    <w:rPr>
      <w:rFonts w:ascii="宋体"/>
      <w:spacing w:val="-10"/>
      <w:kern w:val="2"/>
      <w:sz w:val="21"/>
    </w:rPr>
  </w:style>
  <w:style w:type="character" w:customStyle="1" w:styleId="223">
    <w:name w:val="正文文本 Char"/>
    <w:uiPriority w:val="0"/>
    <w:rPr>
      <w:rFonts w:ascii="Calibri" w:hAnsi="Calibri"/>
      <w:b/>
      <w:sz w:val="24"/>
    </w:rPr>
  </w:style>
  <w:style w:type="character" w:customStyle="1" w:styleId="224">
    <w:name w:val="四级 Char Char"/>
    <w:link w:val="225"/>
    <w:uiPriority w:val="0"/>
    <w:rPr>
      <w:b/>
    </w:rPr>
  </w:style>
  <w:style w:type="paragraph" w:customStyle="1" w:styleId="225">
    <w:name w:val="四级"/>
    <w:basedOn w:val="1"/>
    <w:next w:val="1"/>
    <w:link w:val="224"/>
    <w:uiPriority w:val="0"/>
    <w:pPr>
      <w:widowControl w:val="0"/>
      <w:adjustRightInd/>
      <w:snapToGrid/>
      <w:spacing w:before="0" w:beforeLines="50" w:after="0"/>
      <w:ind w:firstLine="624"/>
    </w:pPr>
    <w:rPr>
      <w:rFonts w:eastAsia="微软雅黑" w:asciiTheme="minorHAnsi" w:hAnsiTheme="minorHAnsi"/>
      <w:b/>
      <w:sz w:val="20"/>
      <w:szCs w:val="20"/>
    </w:rPr>
  </w:style>
  <w:style w:type="character" w:customStyle="1" w:styleId="226">
    <w:name w:val="页脚 Char1"/>
    <w:uiPriority w:val="0"/>
    <w:rPr>
      <w:snapToGrid w:val="0"/>
      <w:kern w:val="0"/>
      <w:sz w:val="18"/>
      <w:szCs w:val="18"/>
    </w:rPr>
  </w:style>
  <w:style w:type="character" w:customStyle="1" w:styleId="227">
    <w:name w:val="批注框文本 Char1"/>
    <w:uiPriority w:val="0"/>
    <w:rPr>
      <w:snapToGrid w:val="0"/>
      <w:kern w:val="0"/>
      <w:sz w:val="18"/>
      <w:szCs w:val="18"/>
    </w:rPr>
  </w:style>
  <w:style w:type="character" w:customStyle="1" w:styleId="228">
    <w:name w:val="图表 Char Char"/>
    <w:link w:val="184"/>
    <w:uiPriority w:val="0"/>
    <w:rPr>
      <w:rFonts w:ascii="Times New Roman" w:hAnsi="Times New Roman" w:eastAsia="宋体" w:cs="黑体"/>
      <w:b/>
      <w:bCs/>
      <w:sz w:val="24"/>
      <w:szCs w:val="22"/>
    </w:rPr>
  </w:style>
  <w:style w:type="character" w:customStyle="1" w:styleId="229">
    <w:name w:val="页眉 Char1"/>
    <w:uiPriority w:val="0"/>
    <w:rPr>
      <w:snapToGrid w:val="0"/>
      <w:kern w:val="0"/>
      <w:sz w:val="18"/>
      <w:szCs w:val="18"/>
    </w:rPr>
  </w:style>
  <w:style w:type="character" w:customStyle="1" w:styleId="230">
    <w:name w:val="正文文本 Char3"/>
    <w:link w:val="17"/>
    <w:uiPriority w:val="0"/>
    <w:rPr>
      <w:snapToGrid w:val="0"/>
      <w:sz w:val="28"/>
      <w:szCs w:val="28"/>
    </w:rPr>
  </w:style>
  <w:style w:type="character" w:customStyle="1" w:styleId="231">
    <w:name w:val="正文文本 Char1"/>
    <w:basedOn w:val="88"/>
    <w:uiPriority w:val="0"/>
    <w:rPr>
      <w:rFonts w:ascii="Times New Roman" w:hAnsi="Times New Roman" w:eastAsia="宋体"/>
      <w:sz w:val="24"/>
      <w:szCs w:val="22"/>
    </w:rPr>
  </w:style>
  <w:style w:type="character" w:customStyle="1" w:styleId="232">
    <w:name w:val="正文文本 字符1"/>
    <w:semiHidden/>
    <w:uiPriority w:val="99"/>
    <w:rPr>
      <w:rFonts w:cs="黑体"/>
      <w:sz w:val="24"/>
      <w:szCs w:val="22"/>
    </w:rPr>
  </w:style>
  <w:style w:type="character" w:customStyle="1" w:styleId="233">
    <w:name w:val="图名 Char Char"/>
    <w:link w:val="234"/>
    <w:uiPriority w:val="0"/>
    <w:rPr>
      <w:b/>
    </w:rPr>
  </w:style>
  <w:style w:type="paragraph" w:customStyle="1" w:styleId="234">
    <w:name w:val="图名"/>
    <w:basedOn w:val="1"/>
    <w:next w:val="184"/>
    <w:link w:val="233"/>
    <w:uiPriority w:val="0"/>
    <w:pPr>
      <w:widowControl w:val="0"/>
      <w:adjustRightInd/>
      <w:snapToGrid/>
      <w:spacing w:before="0" w:after="0" w:afterLines="50" w:line="240" w:lineRule="auto"/>
      <w:jc w:val="center"/>
    </w:pPr>
    <w:rPr>
      <w:rFonts w:eastAsia="微软雅黑" w:asciiTheme="minorHAnsi" w:hAnsiTheme="minorHAnsi"/>
      <w:b/>
      <w:sz w:val="20"/>
      <w:szCs w:val="20"/>
    </w:rPr>
  </w:style>
  <w:style w:type="character" w:customStyle="1" w:styleId="235">
    <w:name w:val="Book Title"/>
    <w:uiPriority w:val="0"/>
    <w:rPr>
      <w:rFonts w:eastAsia="宋体" w:cs="宋体"/>
      <w:b/>
      <w:bCs/>
      <w:smallCaps/>
      <w:spacing w:val="5"/>
      <w:szCs w:val="21"/>
    </w:rPr>
  </w:style>
  <w:style w:type="character" w:customStyle="1" w:styleId="236">
    <w:name w:val="表名 Char"/>
    <w:link w:val="187"/>
    <w:uiPriority w:val="0"/>
    <w:rPr>
      <w:rFonts w:ascii="Times New Roman" w:hAnsi="Times New Roman" w:eastAsia="宋体" w:cs="黑体"/>
      <w:bCs/>
      <w:sz w:val="24"/>
      <w:szCs w:val="22"/>
    </w:rPr>
  </w:style>
  <w:style w:type="character" w:customStyle="1" w:styleId="237">
    <w:name w:val="目录 1 Char1"/>
    <w:link w:val="63"/>
    <w:uiPriority w:val="39"/>
    <w:rPr>
      <w:rFonts w:ascii="Times New Roman" w:hAnsi="宋体" w:eastAsia="黑体" w:cs="Times New Roman"/>
      <w:kern w:val="2"/>
      <w:sz w:val="28"/>
      <w:szCs w:val="24"/>
    </w:rPr>
  </w:style>
  <w:style w:type="character" w:customStyle="1" w:styleId="238">
    <w:name w:val="正文文本 Char2"/>
    <w:semiHidden/>
    <w:uiPriority w:val="99"/>
    <w:rPr>
      <w:rFonts w:ascii="Calibri" w:hAnsi="Calibri" w:eastAsia="宋体" w:cs="Times New Roman"/>
    </w:rPr>
  </w:style>
  <w:style w:type="paragraph" w:styleId="239">
    <w:name w:val="No Spacing"/>
    <w:qFormat/>
    <w:uiPriority w:val="99"/>
    <w:pPr>
      <w:widowControl w:val="0"/>
      <w:spacing w:before="120" w:beforeLines="50"/>
      <w:ind w:firstLine="480" w:firstLineChars="200"/>
      <w:jc w:val="both"/>
    </w:pPr>
    <w:rPr>
      <w:rFonts w:ascii="Times New Roman" w:hAnsi="Times New Roman" w:eastAsia="宋体" w:cs="Times New Roman"/>
      <w:kern w:val="2"/>
      <w:sz w:val="24"/>
      <w:lang w:val="en-US" w:eastAsia="zh-CN" w:bidi="ar-SA"/>
    </w:rPr>
  </w:style>
  <w:style w:type="paragraph" w:customStyle="1" w:styleId="240">
    <w:name w:val="工可正文"/>
    <w:basedOn w:val="1"/>
    <w:uiPriority w:val="0"/>
    <w:pPr>
      <w:widowControl w:val="0"/>
      <w:spacing w:before="0" w:after="0"/>
    </w:pPr>
    <w:rPr>
      <w:rFonts w:ascii="Arial" w:hAnsi="Arial" w:cs="Times New Roman"/>
      <w:kern w:val="2"/>
      <w:sz w:val="28"/>
    </w:rPr>
  </w:style>
  <w:style w:type="character" w:customStyle="1" w:styleId="241">
    <w:name w:val="HTML 预设格式 Char"/>
    <w:basedOn w:val="88"/>
    <w:uiPriority w:val="0"/>
    <w:rPr>
      <w:rFonts w:ascii="Courier New" w:hAnsi="Courier New" w:eastAsia="宋体" w:cs="Courier New"/>
    </w:rPr>
  </w:style>
  <w:style w:type="character" w:customStyle="1" w:styleId="242">
    <w:name w:val="HTML 预设格式 Char1"/>
    <w:link w:val="84"/>
    <w:uiPriority w:val="0"/>
    <w:rPr>
      <w:rFonts w:ascii="Arial" w:hAnsi="Arial" w:eastAsia="宋体" w:cs="Arial"/>
      <w:sz w:val="24"/>
      <w:szCs w:val="24"/>
    </w:rPr>
  </w:style>
  <w:style w:type="paragraph" w:customStyle="1" w:styleId="243">
    <w:name w:val="表头字体4"/>
    <w:basedOn w:val="27"/>
    <w:uiPriority w:val="0"/>
    <w:pPr>
      <w:spacing w:before="0" w:beforeLines="50" w:after="0" w:afterLines="0" w:line="300" w:lineRule="auto"/>
    </w:pPr>
    <w:rPr>
      <w:rFonts w:ascii="Cambria" w:hAnsi="Cambria" w:eastAsia="宋体"/>
      <w:sz w:val="21"/>
      <w:szCs w:val="21"/>
    </w:rPr>
  </w:style>
  <w:style w:type="character" w:customStyle="1" w:styleId="244">
    <w:name w:val="日期 字符"/>
    <w:uiPriority w:val="99"/>
    <w:rPr>
      <w:rFonts w:ascii="Calibri" w:hAnsi="Calibri"/>
    </w:rPr>
  </w:style>
  <w:style w:type="character" w:customStyle="1" w:styleId="245">
    <w:name w:val="日期 字符1"/>
    <w:semiHidden/>
    <w:uiPriority w:val="99"/>
    <w:rPr>
      <w:rFonts w:cs="黑体"/>
      <w:sz w:val="24"/>
      <w:szCs w:val="22"/>
    </w:rPr>
  </w:style>
  <w:style w:type="character" w:customStyle="1" w:styleId="246">
    <w:name w:val="批注文字 字符"/>
    <w:semiHidden/>
    <w:uiPriority w:val="99"/>
    <w:rPr>
      <w:rFonts w:ascii="宋体" w:hAnsi="宋体" w:eastAsia="宋体" w:cs="Times New Roman"/>
      <w:sz w:val="24"/>
      <w:szCs w:val="21"/>
    </w:rPr>
  </w:style>
  <w:style w:type="paragraph" w:customStyle="1" w:styleId="247">
    <w:name w:val="pic-info"/>
    <w:basedOn w:val="1"/>
    <w:uiPriority w:val="0"/>
    <w:pPr>
      <w:adjustRightInd/>
      <w:snapToGrid/>
      <w:spacing w:before="100" w:beforeAutospacing="1" w:after="100" w:afterAutospacing="1" w:line="240" w:lineRule="auto"/>
      <w:ind w:firstLine="0" w:firstLineChars="0"/>
      <w:jc w:val="left"/>
    </w:pPr>
    <w:rPr>
      <w:rFonts w:ascii="宋体" w:hAnsi="宋体" w:cs="宋体"/>
      <w:szCs w:val="24"/>
    </w:rPr>
  </w:style>
  <w:style w:type="character" w:customStyle="1" w:styleId="248">
    <w:name w:val="批注主题 字符"/>
    <w:semiHidden/>
    <w:uiPriority w:val="99"/>
    <w:rPr>
      <w:rFonts w:ascii="宋体" w:hAnsi="宋体" w:eastAsia="宋体" w:cs="Times New Roman"/>
      <w:b/>
      <w:bCs/>
      <w:kern w:val="0"/>
      <w:sz w:val="24"/>
      <w:szCs w:val="24"/>
    </w:rPr>
  </w:style>
  <w:style w:type="paragraph" w:customStyle="1" w:styleId="249">
    <w:name w:val="TOC Heading"/>
    <w:basedOn w:val="2"/>
    <w:next w:val="1"/>
    <w:unhideWhenUsed/>
    <w:qFormat/>
    <w:uiPriority w:val="39"/>
    <w:pPr>
      <w:adjustRightInd/>
      <w:snapToGrid/>
      <w:spacing w:before="480" w:after="0" w:line="276" w:lineRule="auto"/>
      <w:jc w:val="left"/>
      <w:outlineLvl w:val="9"/>
    </w:pPr>
    <w:rPr>
      <w:rFonts w:ascii="Cambria" w:hAnsi="Cambria" w:eastAsia="宋体" w:cs="Times New Roman"/>
      <w:b/>
      <w:bCs/>
      <w:color w:val="365F91"/>
      <w:kern w:val="0"/>
      <w:sz w:val="28"/>
      <w:szCs w:val="28"/>
    </w:rPr>
  </w:style>
  <w:style w:type="character" w:customStyle="1" w:styleId="250">
    <w:name w:val="题注 字符"/>
    <w:locked/>
    <w:uiPriority w:val="0"/>
    <w:rPr>
      <w:rFonts w:ascii="黑体" w:hAnsi="黑体" w:eastAsia="黑体" w:cs="Arial"/>
      <w:szCs w:val="24"/>
    </w:rPr>
  </w:style>
  <w:style w:type="paragraph" w:customStyle="1" w:styleId="251">
    <w:name w:val="font6"/>
    <w:basedOn w:val="1"/>
    <w:uiPriority w:val="0"/>
    <w:pPr>
      <w:adjustRightInd/>
      <w:snapToGrid/>
      <w:spacing w:before="100" w:beforeAutospacing="1" w:after="100" w:afterAutospacing="1" w:line="240" w:lineRule="auto"/>
      <w:ind w:firstLine="0" w:firstLineChars="0"/>
      <w:jc w:val="left"/>
    </w:pPr>
    <w:rPr>
      <w:rFonts w:ascii="宋体" w:hAnsi="宋体" w:cs="宋体"/>
      <w:sz w:val="18"/>
      <w:szCs w:val="18"/>
    </w:rPr>
  </w:style>
  <w:style w:type="paragraph" w:customStyle="1" w:styleId="252">
    <w:name w:val="font7"/>
    <w:basedOn w:val="1"/>
    <w:uiPriority w:val="0"/>
    <w:pPr>
      <w:adjustRightInd/>
      <w:snapToGrid/>
      <w:spacing w:before="100" w:beforeAutospacing="1" w:after="100" w:afterAutospacing="1" w:line="240" w:lineRule="auto"/>
      <w:ind w:firstLine="0" w:firstLineChars="0"/>
      <w:jc w:val="left"/>
    </w:pPr>
    <w:rPr>
      <w:rFonts w:ascii="宋体" w:hAnsi="宋体" w:cs="宋体"/>
      <w:color w:val="000000"/>
      <w:sz w:val="21"/>
      <w:szCs w:val="21"/>
    </w:rPr>
  </w:style>
  <w:style w:type="paragraph" w:customStyle="1" w:styleId="253">
    <w:name w:val="xl63"/>
    <w:basedOn w:val="1"/>
    <w:uiPriority w:val="0"/>
    <w:pP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54">
    <w:name w:val="xl64"/>
    <w:basedOn w:val="1"/>
    <w:uiPriority w:val="0"/>
    <w:pPr>
      <w:pBdr>
        <w:top w:val="single" w:color="auto" w:sz="12" w:space="0"/>
        <w:left w:val="single" w:color="auto" w:sz="12" w:space="0"/>
        <w:bottom w:val="single" w:color="auto" w:sz="12" w:space="0"/>
        <w:right w:val="single" w:color="auto" w:sz="12" w:space="0"/>
      </w:pBdr>
      <w:shd w:val="clear" w:color="000000" w:fill="BFBFBF"/>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55">
    <w:name w:val="xl66"/>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56">
    <w:name w:val="xl67"/>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57">
    <w:name w:val="xl68"/>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58">
    <w:name w:val="xl69"/>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left"/>
    </w:pPr>
    <w:rPr>
      <w:rFonts w:ascii="宋体" w:hAnsi="宋体" w:cs="宋体"/>
      <w:sz w:val="21"/>
      <w:szCs w:val="21"/>
    </w:rPr>
  </w:style>
  <w:style w:type="paragraph" w:customStyle="1" w:styleId="259">
    <w:name w:val="xl70"/>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宋体" w:hAnsi="宋体" w:cs="宋体"/>
      <w:color w:val="000000"/>
      <w:sz w:val="21"/>
      <w:szCs w:val="21"/>
    </w:rPr>
  </w:style>
  <w:style w:type="paragraph" w:customStyle="1" w:styleId="260">
    <w:name w:val="xl71"/>
    <w:basedOn w:val="1"/>
    <w:uiPriority w:val="0"/>
    <w:pPr>
      <w:pBdr>
        <w:top w:val="single" w:color="auto" w:sz="12" w:space="0"/>
        <w:left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Calibri" w:hAnsi="Calibri" w:cs="宋体"/>
      <w:sz w:val="21"/>
      <w:szCs w:val="21"/>
    </w:rPr>
  </w:style>
  <w:style w:type="paragraph" w:customStyle="1" w:styleId="261">
    <w:name w:val="xl72"/>
    <w:basedOn w:val="1"/>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color w:val="000000"/>
      <w:sz w:val="21"/>
      <w:szCs w:val="21"/>
    </w:rPr>
  </w:style>
  <w:style w:type="paragraph" w:customStyle="1" w:styleId="262">
    <w:name w:val="xl73"/>
    <w:basedOn w:val="1"/>
    <w:uiPriority w:val="0"/>
    <w:pPr>
      <w:pBdr>
        <w:top w:val="single" w:color="auto" w:sz="4" w:space="0"/>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Calibri" w:hAnsi="Calibri" w:cs="宋体"/>
      <w:sz w:val="21"/>
      <w:szCs w:val="21"/>
    </w:rPr>
  </w:style>
  <w:style w:type="paragraph" w:customStyle="1" w:styleId="263">
    <w:name w:val="xl74"/>
    <w:basedOn w:val="1"/>
    <w:uiPriority w:val="0"/>
    <w:pPr>
      <w:pBdr>
        <w:top w:val="single" w:color="auto" w:sz="4" w:space="0"/>
        <w:left w:val="single" w:color="auto" w:sz="4" w:space="0"/>
        <w:bottom w:val="single" w:color="auto" w:sz="4" w:space="0"/>
        <w:right w:val="single" w:color="auto" w:sz="4" w:space="0"/>
      </w:pBdr>
      <w:shd w:val="clear" w:color="000000" w:fill="BFBFBF"/>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64">
    <w:name w:val="xl75"/>
    <w:basedOn w:val="1"/>
    <w:uiPriority w:val="0"/>
    <w:pPr>
      <w:pBdr>
        <w:top w:val="single" w:color="auto" w:sz="4" w:space="0"/>
        <w:left w:val="single" w:color="auto" w:sz="4" w:space="0"/>
        <w:bottom w:val="single" w:color="auto" w:sz="4" w:space="0"/>
      </w:pBdr>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65">
    <w:name w:val="xl76"/>
    <w:basedOn w:val="1"/>
    <w:uiPriority w:val="0"/>
    <w:pPr>
      <w:pBdr>
        <w:top w:val="single" w:color="auto" w:sz="4" w:space="0"/>
        <w:left w:val="single" w:color="auto" w:sz="4" w:space="0"/>
        <w:bottom w:val="single" w:color="auto" w:sz="4"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66">
    <w:name w:val="xl77"/>
    <w:basedOn w:val="1"/>
    <w:uiPriority w:val="0"/>
    <w:pPr>
      <w:pBdr>
        <w:top w:val="single" w:color="auto" w:sz="12" w:space="0"/>
        <w:bottom w:val="single" w:color="auto" w:sz="12" w:space="0"/>
        <w:right w:val="single" w:color="auto" w:sz="12" w:space="0"/>
      </w:pBdr>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67">
    <w:name w:val="xl78"/>
    <w:basedOn w:val="1"/>
    <w:uiPriority w:val="0"/>
    <w:pPr>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68">
    <w:name w:val="xl79"/>
    <w:basedOn w:val="1"/>
    <w:uiPriority w:val="0"/>
    <w:pPr>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69">
    <w:name w:val="xl80"/>
    <w:basedOn w:val="1"/>
    <w:uiPriority w:val="0"/>
    <w:pPr>
      <w:pBdr>
        <w:left w:val="single" w:color="auto" w:sz="4" w:space="0"/>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70">
    <w:name w:val="xl81"/>
    <w:basedOn w:val="1"/>
    <w:uiPriority w:val="0"/>
    <w:pPr>
      <w:pBdr>
        <w:left w:val="single" w:color="auto" w:sz="4" w:space="0"/>
        <w:bottom w:val="single" w:color="auto" w:sz="4"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71">
    <w:name w:val="xl82"/>
    <w:basedOn w:val="1"/>
    <w:uiPriority w:val="0"/>
    <w:pPr>
      <w:pBdr>
        <w:top w:val="single" w:color="auto" w:sz="8" w:space="0"/>
        <w:bottom w:val="single" w:color="auto" w:sz="8" w:space="0"/>
        <w:right w:val="single" w:color="auto" w:sz="4" w:space="0"/>
      </w:pBdr>
      <w:shd w:val="clear" w:color="000000" w:fill="BFBFBF"/>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2">
    <w:name w:val="xl83"/>
    <w:basedOn w:val="1"/>
    <w:uiPriority w:val="0"/>
    <w:pPr>
      <w:pBdr>
        <w:top w:val="single" w:color="auto" w:sz="8" w:space="0"/>
        <w:left w:val="single" w:color="auto" w:sz="4" w:space="0"/>
        <w:bottom w:val="single" w:color="auto" w:sz="8" w:space="0"/>
        <w:right w:val="single" w:color="auto" w:sz="4" w:space="0"/>
      </w:pBdr>
      <w:shd w:val="clear" w:color="000000" w:fill="BFBFBF"/>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3">
    <w:name w:val="xl84"/>
    <w:basedOn w:val="1"/>
    <w:uiPriority w:val="0"/>
    <w:pPr>
      <w:pBdr>
        <w:top w:val="single" w:color="auto" w:sz="8" w:space="0"/>
        <w:left w:val="single" w:color="auto" w:sz="4" w:space="0"/>
        <w:bottom w:val="single" w:color="auto" w:sz="8" w:space="0"/>
      </w:pBdr>
      <w:shd w:val="clear" w:color="000000" w:fill="BFBFBF"/>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4">
    <w:name w:val="xl85"/>
    <w:basedOn w:val="1"/>
    <w:uiPriority w:val="0"/>
    <w:pPr>
      <w:pBdr>
        <w:bottom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5">
    <w:name w:val="xl86"/>
    <w:basedOn w:val="1"/>
    <w:uiPriority w:val="0"/>
    <w:pPr>
      <w:pBdr>
        <w:top w:val="single" w:color="auto" w:sz="4" w:space="0"/>
        <w:bottom w:val="single" w:color="auto" w:sz="8"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6">
    <w:name w:val="xl87"/>
    <w:basedOn w:val="1"/>
    <w:uiPriority w:val="0"/>
    <w:pPr>
      <w:pBdr>
        <w:top w:val="single" w:color="auto" w:sz="4" w:space="0"/>
        <w:left w:val="single" w:color="auto" w:sz="4" w:space="0"/>
        <w:bottom w:val="single" w:color="auto" w:sz="8"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b/>
      <w:bCs/>
      <w:sz w:val="21"/>
      <w:szCs w:val="21"/>
    </w:rPr>
  </w:style>
  <w:style w:type="paragraph" w:customStyle="1" w:styleId="277">
    <w:name w:val="xl88"/>
    <w:basedOn w:val="1"/>
    <w:uiPriority w:val="0"/>
    <w:pPr>
      <w:pBdr>
        <w:top w:val="single" w:color="auto" w:sz="4" w:space="0"/>
        <w:left w:val="single" w:color="auto" w:sz="4" w:space="0"/>
        <w:bottom w:val="single" w:color="auto" w:sz="8"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78">
    <w:name w:val="xl89"/>
    <w:basedOn w:val="1"/>
    <w:uiPriority w:val="0"/>
    <w:pPr>
      <w:pBdr>
        <w:top w:val="single" w:color="auto" w:sz="4" w:space="0"/>
        <w:left w:val="single" w:color="auto" w:sz="4" w:space="0"/>
        <w:bottom w:val="single" w:color="auto" w:sz="8"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79">
    <w:name w:val="xl90"/>
    <w:basedOn w:val="1"/>
    <w:uiPriority w:val="0"/>
    <w:pPr>
      <w:pBdr>
        <w:top w:val="single" w:color="auto" w:sz="4" w:space="0"/>
        <w:left w:val="single" w:color="auto" w:sz="4" w:space="0"/>
        <w:bottom w:val="single" w:color="auto" w:sz="8"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280">
    <w:name w:val="xl91"/>
    <w:basedOn w:val="1"/>
    <w:uiPriority w:val="0"/>
    <w:pPr>
      <w:pBdr>
        <w:top w:val="single" w:color="auto" w:sz="4" w:space="0"/>
        <w:left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 w:val="21"/>
      <w:szCs w:val="21"/>
    </w:rPr>
  </w:style>
  <w:style w:type="paragraph" w:customStyle="1" w:styleId="281">
    <w:name w:val="xl92"/>
    <w:basedOn w:val="1"/>
    <w:uiPriority w:val="0"/>
    <w:pPr>
      <w:pBdr>
        <w:top w:val="single" w:color="auto" w:sz="4" w:space="0"/>
        <w:left w:val="single" w:color="auto" w:sz="4" w:space="0"/>
        <w:right w:val="single" w:color="auto" w:sz="4" w:space="0"/>
      </w:pBdr>
      <w:adjustRightInd/>
      <w:snapToGrid/>
      <w:spacing w:before="100" w:beforeAutospacing="1" w:after="100" w:afterAutospacing="1" w:line="240" w:lineRule="auto"/>
      <w:ind w:firstLine="0" w:firstLineChars="0"/>
      <w:jc w:val="center"/>
    </w:pPr>
    <w:rPr>
      <w:rFonts w:ascii="宋体" w:hAnsi="宋体" w:cs="宋体"/>
      <w:szCs w:val="24"/>
    </w:rPr>
  </w:style>
  <w:style w:type="character" w:customStyle="1" w:styleId="282">
    <w:name w:val="HTML 地址 Char"/>
    <w:basedOn w:val="88"/>
    <w:semiHidden/>
    <w:uiPriority w:val="99"/>
    <w:rPr>
      <w:rFonts w:ascii="Times New Roman" w:hAnsi="Times New Roman" w:eastAsia="宋体"/>
      <w:i/>
      <w:iCs/>
      <w:sz w:val="24"/>
      <w:szCs w:val="22"/>
    </w:rPr>
  </w:style>
  <w:style w:type="character" w:customStyle="1" w:styleId="283">
    <w:name w:val="HTML 地址 Char1"/>
    <w:link w:val="44"/>
    <w:semiHidden/>
    <w:uiPriority w:val="99"/>
    <w:rPr>
      <w:rFonts w:ascii="Calibri" w:hAnsi="Calibri" w:eastAsia="宋体" w:cs="Times New Roman"/>
      <w:i/>
      <w:iCs/>
      <w:kern w:val="2"/>
      <w:sz w:val="21"/>
      <w:szCs w:val="22"/>
    </w:rPr>
  </w:style>
  <w:style w:type="character" w:customStyle="1" w:styleId="284">
    <w:name w:val="称呼 Char"/>
    <w:basedOn w:val="88"/>
    <w:semiHidden/>
    <w:uiPriority w:val="99"/>
    <w:rPr>
      <w:rFonts w:ascii="Times New Roman" w:hAnsi="Times New Roman" w:eastAsia="宋体"/>
      <w:sz w:val="24"/>
      <w:szCs w:val="22"/>
    </w:rPr>
  </w:style>
  <w:style w:type="character" w:customStyle="1" w:styleId="285">
    <w:name w:val="称呼 Char1"/>
    <w:link w:val="34"/>
    <w:semiHidden/>
    <w:uiPriority w:val="99"/>
    <w:rPr>
      <w:rFonts w:ascii="Calibri" w:hAnsi="Calibri" w:eastAsia="宋体" w:cs="Times New Roman"/>
      <w:kern w:val="2"/>
      <w:sz w:val="21"/>
      <w:szCs w:val="22"/>
    </w:rPr>
  </w:style>
  <w:style w:type="character" w:customStyle="1" w:styleId="286">
    <w:name w:val="纯文本 Char"/>
    <w:basedOn w:val="88"/>
    <w:semiHidden/>
    <w:uiPriority w:val="99"/>
    <w:rPr>
      <w:rFonts w:ascii="宋体" w:hAnsi="Courier New" w:eastAsia="宋体" w:cs="Courier New"/>
      <w:sz w:val="21"/>
      <w:szCs w:val="21"/>
    </w:rPr>
  </w:style>
  <w:style w:type="character" w:customStyle="1" w:styleId="287">
    <w:name w:val="纯文本 Char1"/>
    <w:link w:val="48"/>
    <w:semiHidden/>
    <w:uiPriority w:val="99"/>
    <w:rPr>
      <w:rFonts w:ascii="宋体" w:hAnsi="Courier New" w:eastAsia="宋体" w:cs="Courier New"/>
      <w:kern w:val="2"/>
      <w:sz w:val="21"/>
      <w:szCs w:val="21"/>
    </w:rPr>
  </w:style>
  <w:style w:type="character" w:customStyle="1" w:styleId="288">
    <w:name w:val="电子邮件签名 Char"/>
    <w:basedOn w:val="88"/>
    <w:semiHidden/>
    <w:uiPriority w:val="99"/>
    <w:rPr>
      <w:rFonts w:ascii="Times New Roman" w:hAnsi="Times New Roman" w:eastAsia="宋体"/>
      <w:sz w:val="24"/>
      <w:szCs w:val="22"/>
    </w:rPr>
  </w:style>
  <w:style w:type="character" w:customStyle="1" w:styleId="289">
    <w:name w:val="电子邮件签名 Char1"/>
    <w:link w:val="24"/>
    <w:semiHidden/>
    <w:uiPriority w:val="99"/>
    <w:rPr>
      <w:rFonts w:ascii="Calibri" w:hAnsi="Calibri" w:eastAsia="宋体" w:cs="Times New Roman"/>
      <w:kern w:val="2"/>
      <w:sz w:val="21"/>
      <w:szCs w:val="22"/>
    </w:rPr>
  </w:style>
  <w:style w:type="character" w:customStyle="1" w:styleId="290">
    <w:name w:val="副标题 Char"/>
    <w:basedOn w:val="88"/>
    <w:qFormat/>
    <w:uiPriority w:val="11"/>
    <w:rPr>
      <w:rFonts w:eastAsia="宋体" w:asciiTheme="majorHAnsi" w:hAnsiTheme="majorHAnsi" w:cstheme="majorBidi"/>
      <w:b/>
      <w:bCs/>
      <w:kern w:val="28"/>
      <w:sz w:val="32"/>
      <w:szCs w:val="32"/>
    </w:rPr>
  </w:style>
  <w:style w:type="character" w:customStyle="1" w:styleId="291">
    <w:name w:val="副标题 Char1"/>
    <w:link w:val="68"/>
    <w:qFormat/>
    <w:uiPriority w:val="11"/>
    <w:rPr>
      <w:rFonts w:ascii="等线 Light" w:hAnsi="等线 Light" w:eastAsia="宋体" w:cs="Times New Roman"/>
      <w:b/>
      <w:bCs/>
      <w:kern w:val="28"/>
      <w:sz w:val="32"/>
      <w:szCs w:val="32"/>
    </w:rPr>
  </w:style>
  <w:style w:type="character" w:customStyle="1" w:styleId="292">
    <w:name w:val="宏文本 Char"/>
    <w:basedOn w:val="88"/>
    <w:semiHidden/>
    <w:uiPriority w:val="99"/>
    <w:rPr>
      <w:rFonts w:ascii="Courier New" w:hAnsi="Courier New" w:eastAsia="宋体" w:cs="Courier New"/>
      <w:sz w:val="24"/>
      <w:szCs w:val="24"/>
    </w:rPr>
  </w:style>
  <w:style w:type="character" w:customStyle="1" w:styleId="293">
    <w:name w:val="宏文本 Char1"/>
    <w:link w:val="20"/>
    <w:semiHidden/>
    <w:uiPriority w:val="99"/>
    <w:rPr>
      <w:rFonts w:ascii="Courier New" w:hAnsi="Courier New" w:eastAsia="宋体" w:cs="Courier New"/>
      <w:kern w:val="2"/>
      <w:sz w:val="24"/>
      <w:szCs w:val="24"/>
    </w:rPr>
  </w:style>
  <w:style w:type="character" w:customStyle="1" w:styleId="294">
    <w:name w:val="脚注文本 Char"/>
    <w:basedOn w:val="88"/>
    <w:semiHidden/>
    <w:uiPriority w:val="99"/>
    <w:rPr>
      <w:rFonts w:ascii="Times New Roman" w:hAnsi="Times New Roman" w:eastAsia="宋体"/>
      <w:sz w:val="18"/>
      <w:szCs w:val="18"/>
    </w:rPr>
  </w:style>
  <w:style w:type="character" w:customStyle="1" w:styleId="295">
    <w:name w:val="脚注文本 Char1"/>
    <w:link w:val="71"/>
    <w:semiHidden/>
    <w:uiPriority w:val="99"/>
    <w:rPr>
      <w:rFonts w:ascii="Calibri" w:hAnsi="Calibri" w:eastAsia="宋体" w:cs="Times New Roman"/>
      <w:kern w:val="2"/>
      <w:sz w:val="18"/>
      <w:szCs w:val="18"/>
    </w:rPr>
  </w:style>
  <w:style w:type="character" w:customStyle="1" w:styleId="296">
    <w:name w:val="结束语 Char"/>
    <w:basedOn w:val="88"/>
    <w:semiHidden/>
    <w:uiPriority w:val="99"/>
    <w:rPr>
      <w:rFonts w:ascii="Times New Roman" w:hAnsi="Times New Roman" w:eastAsia="宋体"/>
      <w:sz w:val="24"/>
      <w:szCs w:val="22"/>
    </w:rPr>
  </w:style>
  <w:style w:type="character" w:customStyle="1" w:styleId="297">
    <w:name w:val="结束语 Char1"/>
    <w:link w:val="36"/>
    <w:semiHidden/>
    <w:uiPriority w:val="99"/>
    <w:rPr>
      <w:rFonts w:ascii="Calibri" w:hAnsi="Calibri" w:eastAsia="宋体" w:cs="Times New Roman"/>
      <w:kern w:val="2"/>
      <w:sz w:val="21"/>
      <w:szCs w:val="22"/>
    </w:rPr>
  </w:style>
  <w:style w:type="paragraph" w:styleId="298">
    <w:name w:val="Intense Quote"/>
    <w:basedOn w:val="1"/>
    <w:next w:val="1"/>
    <w:link w:val="300"/>
    <w:qFormat/>
    <w:uiPriority w:val="30"/>
    <w:pPr>
      <w:widowControl w:val="0"/>
      <w:pBdr>
        <w:bottom w:val="single" w:color="5B9BD5" w:sz="4" w:space="4"/>
      </w:pBdr>
      <w:adjustRightInd/>
      <w:snapToGrid/>
      <w:spacing w:before="200" w:after="280" w:line="240" w:lineRule="auto"/>
      <w:ind w:left="936" w:right="936" w:firstLine="0" w:firstLineChars="0"/>
    </w:pPr>
    <w:rPr>
      <w:rFonts w:ascii="Calibri" w:hAnsi="Calibri" w:cs="Times New Roman"/>
      <w:b/>
      <w:bCs/>
      <w:i/>
      <w:iCs/>
      <w:color w:val="5B9BD5"/>
      <w:kern w:val="2"/>
      <w:sz w:val="21"/>
    </w:rPr>
  </w:style>
  <w:style w:type="character" w:customStyle="1" w:styleId="299">
    <w:name w:val="明显引用 Char"/>
    <w:basedOn w:val="88"/>
    <w:uiPriority w:val="99"/>
    <w:rPr>
      <w:rFonts w:ascii="Times New Roman" w:hAnsi="Times New Roman" w:eastAsia="宋体"/>
      <w:i/>
      <w:iCs/>
      <w:color w:val="4F81BD" w:themeColor="accent1"/>
      <w:sz w:val="24"/>
      <w:szCs w:val="22"/>
      <w14:textFill>
        <w14:solidFill>
          <w14:schemeClr w14:val="accent1"/>
        </w14:solidFill>
      </w14:textFill>
    </w:rPr>
  </w:style>
  <w:style w:type="character" w:customStyle="1" w:styleId="300">
    <w:name w:val="明显引用 Char1"/>
    <w:link w:val="298"/>
    <w:uiPriority w:val="30"/>
    <w:rPr>
      <w:rFonts w:ascii="Calibri" w:hAnsi="Calibri" w:eastAsia="宋体" w:cs="Times New Roman"/>
      <w:b/>
      <w:bCs/>
      <w:i/>
      <w:iCs/>
      <w:color w:val="5B9BD5"/>
      <w:kern w:val="2"/>
      <w:sz w:val="21"/>
      <w:szCs w:val="22"/>
    </w:rPr>
  </w:style>
  <w:style w:type="character" w:customStyle="1" w:styleId="301">
    <w:name w:val="签名 Char"/>
    <w:basedOn w:val="88"/>
    <w:semiHidden/>
    <w:uiPriority w:val="99"/>
    <w:rPr>
      <w:rFonts w:ascii="Times New Roman" w:hAnsi="Times New Roman" w:eastAsia="宋体"/>
      <w:sz w:val="24"/>
      <w:szCs w:val="22"/>
    </w:rPr>
  </w:style>
  <w:style w:type="character" w:customStyle="1" w:styleId="302">
    <w:name w:val="签名 Char1"/>
    <w:link w:val="62"/>
    <w:semiHidden/>
    <w:uiPriority w:val="99"/>
    <w:rPr>
      <w:rFonts w:ascii="Calibri" w:hAnsi="Calibri" w:eastAsia="宋体" w:cs="Times New Roman"/>
      <w:kern w:val="2"/>
      <w:sz w:val="21"/>
      <w:szCs w:val="22"/>
    </w:rPr>
  </w:style>
  <w:style w:type="paragraph" w:customStyle="1" w:styleId="303">
    <w:name w:val="Bibliography"/>
    <w:basedOn w:val="1"/>
    <w:next w:val="1"/>
    <w:semiHidden/>
    <w:unhideWhenUsed/>
    <w:uiPriority w:val="37"/>
    <w:pPr>
      <w:widowControl w:val="0"/>
      <w:adjustRightInd/>
      <w:snapToGrid/>
      <w:spacing w:before="0" w:after="0" w:line="240" w:lineRule="auto"/>
      <w:ind w:firstLine="0" w:firstLineChars="0"/>
    </w:pPr>
    <w:rPr>
      <w:rFonts w:ascii="Calibri" w:hAnsi="Calibri" w:cs="Times New Roman"/>
      <w:kern w:val="2"/>
      <w:sz w:val="21"/>
    </w:rPr>
  </w:style>
  <w:style w:type="character" w:customStyle="1" w:styleId="304">
    <w:name w:val="尾注文本 Char"/>
    <w:basedOn w:val="88"/>
    <w:semiHidden/>
    <w:uiPriority w:val="99"/>
    <w:rPr>
      <w:rFonts w:ascii="Times New Roman" w:hAnsi="Times New Roman" w:eastAsia="宋体"/>
      <w:sz w:val="24"/>
      <w:szCs w:val="22"/>
    </w:rPr>
  </w:style>
  <w:style w:type="character" w:customStyle="1" w:styleId="305">
    <w:name w:val="尾注文本 Char1"/>
    <w:link w:val="55"/>
    <w:semiHidden/>
    <w:uiPriority w:val="99"/>
    <w:rPr>
      <w:rFonts w:ascii="Calibri" w:hAnsi="Calibri" w:eastAsia="宋体" w:cs="Times New Roman"/>
      <w:kern w:val="2"/>
      <w:sz w:val="21"/>
      <w:szCs w:val="22"/>
    </w:rPr>
  </w:style>
  <w:style w:type="character" w:customStyle="1" w:styleId="306">
    <w:name w:val="信息标题 Char"/>
    <w:basedOn w:val="88"/>
    <w:semiHidden/>
    <w:uiPriority w:val="99"/>
    <w:rPr>
      <w:rFonts w:asciiTheme="majorHAnsi" w:hAnsiTheme="majorHAnsi" w:eastAsiaTheme="majorEastAsia" w:cstheme="majorBidi"/>
      <w:sz w:val="24"/>
      <w:szCs w:val="24"/>
      <w:shd w:val="pct20" w:color="auto" w:fill="auto"/>
    </w:rPr>
  </w:style>
  <w:style w:type="character" w:customStyle="1" w:styleId="307">
    <w:name w:val="信息标题 Char1"/>
    <w:link w:val="83"/>
    <w:semiHidden/>
    <w:uiPriority w:val="99"/>
    <w:rPr>
      <w:rFonts w:ascii="等线 Light" w:hAnsi="等线 Light" w:eastAsia="等线 Light" w:cs="Times New Roman"/>
      <w:kern w:val="2"/>
      <w:sz w:val="24"/>
      <w:szCs w:val="24"/>
      <w:shd w:val="pct20" w:color="auto" w:fill="auto"/>
    </w:rPr>
  </w:style>
  <w:style w:type="paragraph" w:styleId="308">
    <w:name w:val="Quote"/>
    <w:basedOn w:val="1"/>
    <w:next w:val="1"/>
    <w:link w:val="310"/>
    <w:qFormat/>
    <w:uiPriority w:val="29"/>
    <w:pPr>
      <w:widowControl w:val="0"/>
      <w:adjustRightInd/>
      <w:snapToGrid/>
      <w:spacing w:before="0" w:after="0" w:line="240" w:lineRule="auto"/>
      <w:ind w:firstLine="0" w:firstLineChars="0"/>
    </w:pPr>
    <w:rPr>
      <w:rFonts w:ascii="Calibri" w:hAnsi="Calibri" w:cs="Times New Roman"/>
      <w:i/>
      <w:iCs/>
      <w:color w:val="000000"/>
      <w:kern w:val="2"/>
      <w:sz w:val="21"/>
    </w:rPr>
  </w:style>
  <w:style w:type="character" w:customStyle="1" w:styleId="309">
    <w:name w:val="引用 Char"/>
    <w:basedOn w:val="88"/>
    <w:uiPriority w:val="99"/>
    <w:rPr>
      <w:rFonts w:ascii="Times New Roman" w:hAnsi="Times New Roman" w:eastAsia="宋体"/>
      <w:i/>
      <w:iCs/>
      <w:color w:val="404040" w:themeColor="text1" w:themeTint="BF"/>
      <w:sz w:val="24"/>
      <w:szCs w:val="22"/>
      <w14:textFill>
        <w14:solidFill>
          <w14:schemeClr w14:val="tx1">
            <w14:lumMod w14:val="75000"/>
            <w14:lumOff w14:val="25000"/>
          </w14:schemeClr>
        </w14:solidFill>
      </w14:textFill>
    </w:rPr>
  </w:style>
  <w:style w:type="character" w:customStyle="1" w:styleId="310">
    <w:name w:val="引用 Char1"/>
    <w:link w:val="308"/>
    <w:uiPriority w:val="29"/>
    <w:rPr>
      <w:rFonts w:ascii="Calibri" w:hAnsi="Calibri" w:eastAsia="宋体" w:cs="Times New Roman"/>
      <w:i/>
      <w:iCs/>
      <w:color w:val="000000"/>
      <w:kern w:val="2"/>
      <w:sz w:val="21"/>
      <w:szCs w:val="22"/>
    </w:rPr>
  </w:style>
  <w:style w:type="character" w:customStyle="1" w:styleId="311">
    <w:name w:val="正文首行缩进 Char"/>
    <w:basedOn w:val="231"/>
    <w:semiHidden/>
    <w:uiPriority w:val="99"/>
    <w:rPr>
      <w:rFonts w:ascii="Times New Roman" w:hAnsi="Times New Roman" w:eastAsia="宋体"/>
      <w:sz w:val="24"/>
      <w:szCs w:val="22"/>
    </w:rPr>
  </w:style>
  <w:style w:type="character" w:customStyle="1" w:styleId="312">
    <w:name w:val="正文首行缩进 Char1"/>
    <w:link w:val="16"/>
    <w:semiHidden/>
    <w:uiPriority w:val="99"/>
    <w:rPr>
      <w:rFonts w:ascii="Calibri" w:hAnsi="Calibri"/>
      <w:sz w:val="21"/>
      <w:szCs w:val="22"/>
    </w:rPr>
  </w:style>
  <w:style w:type="character" w:customStyle="1" w:styleId="313">
    <w:name w:val="正文首行缩进 2 Char"/>
    <w:basedOn w:val="128"/>
    <w:semiHidden/>
    <w:uiPriority w:val="99"/>
    <w:rPr>
      <w:rFonts w:ascii="Times New Roman" w:hAnsi="Times New Roman" w:eastAsia="宋体" w:cs="Times New Roman"/>
      <w:sz w:val="24"/>
      <w:szCs w:val="22"/>
    </w:rPr>
  </w:style>
  <w:style w:type="character" w:customStyle="1" w:styleId="314">
    <w:name w:val="正文首行缩进 2 Char1"/>
    <w:link w:val="60"/>
    <w:semiHidden/>
    <w:uiPriority w:val="99"/>
    <w:rPr>
      <w:rFonts w:ascii="Calibri" w:hAnsi="Calibri" w:eastAsia="宋体" w:cs="Times New Roman"/>
      <w:kern w:val="2"/>
      <w:sz w:val="21"/>
      <w:szCs w:val="22"/>
    </w:rPr>
  </w:style>
  <w:style w:type="character" w:customStyle="1" w:styleId="315">
    <w:name w:val="正文文本 2 Char"/>
    <w:basedOn w:val="88"/>
    <w:semiHidden/>
    <w:uiPriority w:val="99"/>
    <w:rPr>
      <w:rFonts w:ascii="Times New Roman" w:hAnsi="Times New Roman" w:eastAsia="宋体"/>
      <w:sz w:val="24"/>
      <w:szCs w:val="22"/>
    </w:rPr>
  </w:style>
  <w:style w:type="character" w:customStyle="1" w:styleId="316">
    <w:name w:val="正文文本 2 Char1"/>
    <w:link w:val="80"/>
    <w:semiHidden/>
    <w:uiPriority w:val="99"/>
    <w:rPr>
      <w:rFonts w:ascii="Calibri" w:hAnsi="Calibri" w:eastAsia="宋体" w:cs="Times New Roman"/>
      <w:kern w:val="2"/>
      <w:sz w:val="21"/>
      <w:szCs w:val="22"/>
    </w:rPr>
  </w:style>
  <w:style w:type="character" w:customStyle="1" w:styleId="317">
    <w:name w:val="正文文本 3 Char"/>
    <w:basedOn w:val="88"/>
    <w:semiHidden/>
    <w:uiPriority w:val="99"/>
    <w:rPr>
      <w:rFonts w:ascii="Times New Roman" w:hAnsi="Times New Roman" w:eastAsia="宋体"/>
      <w:sz w:val="16"/>
      <w:szCs w:val="16"/>
    </w:rPr>
  </w:style>
  <w:style w:type="character" w:customStyle="1" w:styleId="318">
    <w:name w:val="正文文本 3 Char1"/>
    <w:link w:val="35"/>
    <w:semiHidden/>
    <w:qFormat/>
    <w:uiPriority w:val="99"/>
    <w:rPr>
      <w:rFonts w:ascii="Calibri" w:hAnsi="Calibri" w:eastAsia="宋体" w:cs="Times New Roman"/>
      <w:kern w:val="2"/>
      <w:sz w:val="16"/>
      <w:szCs w:val="16"/>
    </w:rPr>
  </w:style>
  <w:style w:type="character" w:customStyle="1" w:styleId="319">
    <w:name w:val="正文文本缩进 2 Char"/>
    <w:basedOn w:val="88"/>
    <w:semiHidden/>
    <w:uiPriority w:val="99"/>
    <w:rPr>
      <w:rFonts w:ascii="Times New Roman" w:hAnsi="Times New Roman" w:eastAsia="宋体"/>
      <w:sz w:val="24"/>
      <w:szCs w:val="22"/>
    </w:rPr>
  </w:style>
  <w:style w:type="character" w:customStyle="1" w:styleId="320">
    <w:name w:val="正文文本缩进 2 Char1"/>
    <w:link w:val="54"/>
    <w:semiHidden/>
    <w:uiPriority w:val="99"/>
    <w:rPr>
      <w:rFonts w:ascii="Calibri" w:hAnsi="Calibri" w:eastAsia="宋体" w:cs="Times New Roman"/>
      <w:kern w:val="2"/>
      <w:sz w:val="21"/>
      <w:szCs w:val="22"/>
    </w:rPr>
  </w:style>
  <w:style w:type="character" w:customStyle="1" w:styleId="321">
    <w:name w:val="正文文本缩进 3 Char"/>
    <w:basedOn w:val="88"/>
    <w:semiHidden/>
    <w:uiPriority w:val="99"/>
    <w:rPr>
      <w:rFonts w:ascii="Times New Roman" w:hAnsi="Times New Roman" w:eastAsia="宋体"/>
      <w:sz w:val="16"/>
      <w:szCs w:val="16"/>
    </w:rPr>
  </w:style>
  <w:style w:type="character" w:customStyle="1" w:styleId="322">
    <w:name w:val="正文文本缩进 3 Char1"/>
    <w:link w:val="74"/>
    <w:semiHidden/>
    <w:uiPriority w:val="99"/>
    <w:rPr>
      <w:rFonts w:ascii="Calibri" w:hAnsi="Calibri" w:eastAsia="宋体" w:cs="Times New Roman"/>
      <w:kern w:val="2"/>
      <w:sz w:val="16"/>
      <w:szCs w:val="16"/>
    </w:rPr>
  </w:style>
  <w:style w:type="character" w:customStyle="1" w:styleId="323">
    <w:name w:val="注释标题 Char"/>
    <w:basedOn w:val="88"/>
    <w:semiHidden/>
    <w:uiPriority w:val="99"/>
    <w:rPr>
      <w:rFonts w:ascii="Times New Roman" w:hAnsi="Times New Roman" w:eastAsia="宋体"/>
      <w:sz w:val="24"/>
      <w:szCs w:val="22"/>
    </w:rPr>
  </w:style>
  <w:style w:type="character" w:customStyle="1" w:styleId="324">
    <w:name w:val="注释标题 Char1"/>
    <w:link w:val="21"/>
    <w:semiHidden/>
    <w:uiPriority w:val="99"/>
    <w:rPr>
      <w:rFonts w:ascii="Calibri" w:hAnsi="Calibri" w:eastAsia="宋体" w:cs="Times New Roman"/>
      <w:kern w:val="2"/>
      <w:sz w:val="21"/>
      <w:szCs w:val="22"/>
    </w:rPr>
  </w:style>
  <w:style w:type="paragraph" w:customStyle="1" w:styleId="325">
    <w:name w:val="标题3"/>
    <w:basedOn w:val="5"/>
    <w:link w:val="326"/>
    <w:qFormat/>
    <w:uiPriority w:val="0"/>
    <w:pPr>
      <w:widowControl w:val="0"/>
      <w:snapToGrid/>
      <w:spacing w:before="166" w:after="0"/>
      <w:jc w:val="both"/>
    </w:pPr>
    <w:rPr>
      <w:rFonts w:eastAsia="宋体" w:cs="Times New Roman"/>
      <w:b/>
      <w:snapToGrid w:val="0"/>
      <w:szCs w:val="28"/>
      <w:lang w:val="zh-CN" w:eastAsia="zh-CN"/>
    </w:rPr>
  </w:style>
  <w:style w:type="character" w:customStyle="1" w:styleId="326">
    <w:name w:val="标题3 Char"/>
    <w:link w:val="325"/>
    <w:uiPriority w:val="0"/>
    <w:rPr>
      <w:rFonts w:ascii="Times New Roman" w:hAnsi="Times New Roman" w:eastAsia="宋体" w:cs="Times New Roman"/>
      <w:b/>
      <w:snapToGrid w:val="0"/>
      <w:sz w:val="28"/>
      <w:szCs w:val="28"/>
      <w:lang w:val="zh-CN" w:eastAsia="zh-CN"/>
    </w:rPr>
  </w:style>
  <w:style w:type="character" w:customStyle="1" w:styleId="327">
    <w:name w:val="目录 1 Char"/>
    <w:uiPriority w:val="39"/>
    <w:rPr>
      <w:rFonts w:cs="宋体"/>
      <w:b/>
      <w:bCs/>
      <w:sz w:val="24"/>
      <w:szCs w:val="21"/>
    </w:rPr>
  </w:style>
  <w:style w:type="paragraph" w:customStyle="1" w:styleId="328">
    <w:name w:val="图形格式"/>
    <w:basedOn w:val="1"/>
    <w:uiPriority w:val="0"/>
    <w:pPr>
      <w:keepNext/>
      <w:widowControl w:val="0"/>
      <w:spacing w:before="0" w:after="0"/>
      <w:jc w:val="center"/>
    </w:pPr>
    <w:rPr>
      <w:rFonts w:ascii="Calibri" w:hAnsi="Calibri" w:cs="Arial"/>
      <w:kern w:val="2"/>
      <w:sz w:val="28"/>
    </w:rPr>
  </w:style>
  <w:style w:type="paragraph" w:customStyle="1" w:styleId="329">
    <w:name w:val="标题4"/>
    <w:basedOn w:val="1"/>
    <w:next w:val="1"/>
    <w:link w:val="330"/>
    <w:uiPriority w:val="0"/>
    <w:pPr>
      <w:widowControl w:val="0"/>
      <w:adjustRightInd/>
      <w:snapToGrid/>
      <w:spacing w:before="0" w:after="0"/>
      <w:ind w:firstLine="482"/>
    </w:pPr>
    <w:rPr>
      <w:rFonts w:cs="Times New Roman"/>
      <w:b/>
      <w:kern w:val="2"/>
      <w:szCs w:val="24"/>
      <w:lang w:val="zh-CN" w:eastAsia="zh-CN"/>
    </w:rPr>
  </w:style>
  <w:style w:type="character" w:customStyle="1" w:styleId="330">
    <w:name w:val="标题4 Char"/>
    <w:link w:val="329"/>
    <w:uiPriority w:val="0"/>
    <w:rPr>
      <w:rFonts w:ascii="Times New Roman" w:hAnsi="Times New Roman" w:eastAsia="宋体" w:cs="Times New Roman"/>
      <w:b/>
      <w:kern w:val="2"/>
      <w:sz w:val="24"/>
      <w:szCs w:val="24"/>
      <w:lang w:val="zh-CN" w:eastAsia="zh-CN"/>
    </w:rPr>
  </w:style>
  <w:style w:type="character" w:styleId="331">
    <w:name w:val="Placeholder Text"/>
    <w:semiHidden/>
    <w:uiPriority w:val="99"/>
    <w:rPr>
      <w:color w:val="808080"/>
    </w:rPr>
  </w:style>
  <w:style w:type="character" w:customStyle="1" w:styleId="332">
    <w:name w:val="表格内容 五号"/>
    <w:uiPriority w:val="0"/>
    <w:rPr>
      <w:rFonts w:eastAsia="宋体"/>
      <w:sz w:val="21"/>
    </w:rPr>
  </w:style>
  <w:style w:type="character" w:customStyle="1" w:styleId="333">
    <w:name w:val="表格标题 黑体"/>
    <w:uiPriority w:val="0"/>
    <w:rPr>
      <w:rFonts w:ascii="黑体" w:hAnsi="黑体" w:eastAsia="黑体"/>
    </w:rPr>
  </w:style>
  <w:style w:type="paragraph" w:customStyle="1" w:styleId="334">
    <w:name w:val="样式 首行缩进:  0.85 厘米5"/>
    <w:basedOn w:val="1"/>
    <w:uiPriority w:val="0"/>
    <w:pPr>
      <w:widowControl w:val="0"/>
      <w:adjustRightInd/>
      <w:snapToGrid/>
      <w:spacing w:before="0" w:after="0" w:line="264" w:lineRule="auto"/>
      <w:ind w:firstLine="482" w:firstLineChars="175"/>
    </w:pPr>
    <w:rPr>
      <w:rFonts w:cs="Times New Roman"/>
      <w:kern w:val="2"/>
      <w:szCs w:val="20"/>
    </w:rPr>
  </w:style>
  <w:style w:type="character" w:customStyle="1" w:styleId="335">
    <w:name w:val="样式 标题 5标题 5 Char标题 5 Char Char + 行距: 多倍行距 1.1 字行 Char"/>
    <w:link w:val="336"/>
    <w:uiPriority w:val="0"/>
  </w:style>
  <w:style w:type="paragraph" w:customStyle="1" w:styleId="336">
    <w:name w:val="样式 标题 5标题 5 Char标题 5 Char Char + 行距: 多倍行距 1.1 字行"/>
    <w:basedOn w:val="7"/>
    <w:link w:val="335"/>
    <w:uiPriority w:val="0"/>
    <w:pPr>
      <w:tabs>
        <w:tab w:val="clear" w:pos="0"/>
      </w:tabs>
      <w:adjustRightInd w:val="0"/>
      <w:spacing w:line="264" w:lineRule="auto"/>
      <w:ind w:firstLine="200" w:firstLineChars="200"/>
      <w:jc w:val="both"/>
      <w:textAlignment w:val="baseline"/>
    </w:pPr>
    <w:rPr>
      <w:rFonts w:eastAsia="微软雅黑" w:asciiTheme="minorHAnsi" w:hAnsiTheme="minorHAnsi" w:cstheme="minorBidi"/>
      <w:b w:val="0"/>
      <w:bCs w:val="0"/>
      <w:sz w:val="20"/>
      <w:szCs w:val="20"/>
    </w:rPr>
  </w:style>
  <w:style w:type="paragraph" w:customStyle="1" w:styleId="337">
    <w:name w:val="样式 标题 4 + 首行缩进:  0.74 厘米"/>
    <w:basedOn w:val="6"/>
    <w:uiPriority w:val="0"/>
    <w:pPr>
      <w:widowControl w:val="0"/>
      <w:snapToGrid/>
      <w:spacing w:before="0" w:after="0" w:line="264" w:lineRule="auto"/>
      <w:ind w:left="-240" w:firstLine="420"/>
    </w:pPr>
    <w:rPr>
      <w:rFonts w:ascii="Arial" w:hAnsi="Arial" w:eastAsia="宋体" w:cs="Times New Roman"/>
      <w:bCs w:val="0"/>
      <w:kern w:val="2"/>
      <w:sz w:val="24"/>
      <w:szCs w:val="20"/>
      <w:lang w:val="zh-CN" w:eastAsia="zh-CN"/>
    </w:rPr>
  </w:style>
  <w:style w:type="paragraph" w:customStyle="1" w:styleId="338">
    <w:name w:val="样式 加粗 首行缩进:  2 字符1"/>
    <w:basedOn w:val="1"/>
    <w:uiPriority w:val="0"/>
    <w:pPr>
      <w:widowControl w:val="0"/>
      <w:adjustRightInd/>
      <w:snapToGrid/>
      <w:spacing w:before="0" w:after="0" w:line="440" w:lineRule="exact"/>
      <w:ind w:firstLine="482" w:firstLineChars="175"/>
    </w:pPr>
    <w:rPr>
      <w:rFonts w:cs="Times New Roman"/>
      <w:kern w:val="2"/>
      <w:szCs w:val="20"/>
    </w:rPr>
  </w:style>
  <w:style w:type="character" w:customStyle="1" w:styleId="339">
    <w:name w:val="B3 Char"/>
    <w:uiPriority w:val="0"/>
    <w:rPr>
      <w:rFonts w:eastAsia="宋体"/>
      <w:snapToGrid w:val="0"/>
      <w:kern w:val="2"/>
      <w:sz w:val="24"/>
      <w:lang w:val="en-US" w:eastAsia="zh-CN"/>
    </w:rPr>
  </w:style>
  <w:style w:type="character" w:customStyle="1" w:styleId="340">
    <w:name w:val="B3 Char1"/>
    <w:link w:val="341"/>
    <w:uiPriority w:val="0"/>
    <w:rPr>
      <w:snapToGrid w:val="0"/>
      <w:sz w:val="24"/>
    </w:rPr>
  </w:style>
  <w:style w:type="paragraph" w:customStyle="1" w:styleId="341">
    <w:name w:val="B3"/>
    <w:basedOn w:val="1"/>
    <w:link w:val="340"/>
    <w:uiPriority w:val="0"/>
    <w:pPr>
      <w:widowControl w:val="0"/>
      <w:spacing w:before="0" w:beforeLines="100" w:after="0" w:afterLines="100"/>
      <w:ind w:firstLine="420" w:firstLineChars="175"/>
    </w:pPr>
    <w:rPr>
      <w:rFonts w:eastAsia="微软雅黑" w:asciiTheme="minorHAnsi" w:hAnsiTheme="minorHAnsi"/>
      <w:snapToGrid w:val="0"/>
      <w:szCs w:val="20"/>
    </w:rPr>
  </w:style>
  <w:style w:type="paragraph" w:customStyle="1" w:styleId="342">
    <w:name w:val="样式 首行缩进:  0.85 厘米"/>
    <w:basedOn w:val="1"/>
    <w:uiPriority w:val="0"/>
    <w:pPr>
      <w:widowControl w:val="0"/>
      <w:adjustRightInd/>
      <w:snapToGrid/>
      <w:spacing w:before="0" w:after="0" w:line="300" w:lineRule="auto"/>
    </w:pPr>
    <w:rPr>
      <w:rFonts w:cs="Times New Roman"/>
      <w:kern w:val="2"/>
      <w:szCs w:val="20"/>
    </w:rPr>
  </w:style>
  <w:style w:type="character" w:customStyle="1" w:styleId="343">
    <w:name w:val="正文文本缩进 Char1"/>
    <w:semiHidden/>
    <w:uiPriority w:val="99"/>
    <w:rPr>
      <w:rFonts w:ascii="宋体" w:hAnsi="宋体" w:eastAsia="宋体"/>
      <w:kern w:val="2"/>
      <w:sz w:val="24"/>
      <w:szCs w:val="24"/>
    </w:rPr>
  </w:style>
  <w:style w:type="paragraph" w:customStyle="1" w:styleId="344">
    <w:name w:val="样式 首行缩进:  0.85 厘米1"/>
    <w:basedOn w:val="1"/>
    <w:uiPriority w:val="0"/>
    <w:pPr>
      <w:widowControl w:val="0"/>
      <w:adjustRightInd/>
      <w:snapToGrid/>
      <w:spacing w:before="0" w:after="0" w:line="264" w:lineRule="auto"/>
      <w:ind w:firstLine="482" w:firstLineChars="175"/>
    </w:pPr>
    <w:rPr>
      <w:rFonts w:cs="Times New Roman"/>
      <w:kern w:val="2"/>
      <w:szCs w:val="20"/>
    </w:rPr>
  </w:style>
  <w:style w:type="paragraph" w:customStyle="1" w:styleId="345">
    <w:name w:val="页眉页脚"/>
    <w:basedOn w:val="61"/>
    <w:next w:val="341"/>
    <w:uiPriority w:val="0"/>
    <w:pPr>
      <w:widowControl w:val="0"/>
      <w:pBdr>
        <w:bottom w:val="thickThinSmallGap" w:color="auto" w:sz="12" w:space="1"/>
      </w:pBdr>
      <w:tabs>
        <w:tab w:val="clear" w:pos="4153"/>
        <w:tab w:val="clear" w:pos="8306"/>
      </w:tabs>
      <w:adjustRightInd/>
      <w:snapToGrid/>
      <w:spacing w:before="0" w:after="0"/>
      <w:ind w:firstLine="0" w:firstLineChars="0"/>
      <w:jc w:val="distribute"/>
    </w:pPr>
    <w:rPr>
      <w:rFonts w:eastAsia="仿宋_GB2312" w:cs="Times New Roman"/>
      <w:kern w:val="2"/>
      <w:sz w:val="21"/>
      <w:szCs w:val="21"/>
      <w:lang w:val="zh-CN" w:eastAsia="zh-CN"/>
    </w:rPr>
  </w:style>
  <w:style w:type="character" w:customStyle="1" w:styleId="346">
    <w:name w:val="正文样式 Char"/>
    <w:link w:val="347"/>
    <w:uiPriority w:val="0"/>
    <w:rPr>
      <w:sz w:val="24"/>
    </w:rPr>
  </w:style>
  <w:style w:type="paragraph" w:customStyle="1" w:styleId="347">
    <w:name w:val="正文样式"/>
    <w:basedOn w:val="1"/>
    <w:link w:val="346"/>
    <w:uiPriority w:val="0"/>
    <w:pPr>
      <w:widowControl w:val="0"/>
      <w:adjustRightInd/>
      <w:snapToGrid/>
      <w:spacing w:before="0" w:after="0" w:line="440" w:lineRule="exact"/>
    </w:pPr>
    <w:rPr>
      <w:rFonts w:eastAsia="微软雅黑" w:asciiTheme="minorHAnsi" w:hAnsiTheme="minorHAnsi"/>
      <w:szCs w:val="20"/>
    </w:rPr>
  </w:style>
  <w:style w:type="paragraph" w:customStyle="1" w:styleId="348">
    <w:name w:val="样式 标题 3标题 3 Char Char标题 3 Charstyle3条标题3 bullet2标题 31标题 ..."/>
    <w:basedOn w:val="5"/>
    <w:uiPriority w:val="0"/>
    <w:pPr>
      <w:widowControl w:val="0"/>
      <w:adjustRightInd w:val="0"/>
      <w:spacing w:before="0" w:line="264" w:lineRule="auto"/>
    </w:pPr>
    <w:rPr>
      <w:rFonts w:cs="Times New Roman"/>
      <w:b/>
      <w:kern w:val="24"/>
      <w:szCs w:val="20"/>
      <w:lang w:val="zh-CN" w:eastAsia="zh-CN"/>
    </w:rPr>
  </w:style>
  <w:style w:type="paragraph" w:customStyle="1" w:styleId="349">
    <w:name w:val="表文"/>
    <w:basedOn w:val="1"/>
    <w:uiPriority w:val="0"/>
    <w:pPr>
      <w:widowControl w:val="0"/>
      <w:adjustRightInd/>
      <w:snapToGrid/>
      <w:spacing w:before="0" w:after="0" w:line="300" w:lineRule="auto"/>
      <w:ind w:firstLine="0" w:firstLineChars="0"/>
      <w:jc w:val="center"/>
    </w:pPr>
    <w:rPr>
      <w:rFonts w:cs="Times New Roman"/>
      <w:kern w:val="2"/>
      <w:sz w:val="21"/>
      <w:szCs w:val="20"/>
    </w:rPr>
  </w:style>
  <w:style w:type="paragraph" w:customStyle="1" w:styleId="350">
    <w:name w:val="样式 加粗 首行缩进:  2 字符"/>
    <w:basedOn w:val="1"/>
    <w:uiPriority w:val="0"/>
    <w:pPr>
      <w:widowControl w:val="0"/>
      <w:adjustRightInd/>
      <w:snapToGrid/>
      <w:spacing w:before="0" w:after="0" w:line="440" w:lineRule="exact"/>
      <w:ind w:firstLine="482" w:firstLineChars="175"/>
    </w:pPr>
    <w:rPr>
      <w:rFonts w:cs="Times New Roman"/>
      <w:kern w:val="2"/>
      <w:szCs w:val="20"/>
    </w:rPr>
  </w:style>
  <w:style w:type="paragraph" w:customStyle="1" w:styleId="351">
    <w:name w:val="msonormal"/>
    <w:basedOn w:val="1"/>
    <w:uiPriority w:val="0"/>
    <w:pPr>
      <w:adjustRightInd/>
      <w:snapToGrid/>
      <w:spacing w:before="100" w:beforeAutospacing="1" w:after="100" w:afterAutospacing="1" w:line="240" w:lineRule="auto"/>
      <w:ind w:firstLine="0" w:firstLineChars="0"/>
      <w:jc w:val="left"/>
    </w:pPr>
    <w:rPr>
      <w:rFonts w:ascii="宋体" w:hAnsi="宋体" w:cs="宋体"/>
      <w:szCs w:val="24"/>
    </w:rPr>
  </w:style>
  <w:style w:type="paragraph" w:customStyle="1" w:styleId="352">
    <w:name w:val="font8"/>
    <w:basedOn w:val="1"/>
    <w:uiPriority w:val="0"/>
    <w:pPr>
      <w:adjustRightInd/>
      <w:snapToGrid/>
      <w:spacing w:before="100" w:beforeAutospacing="1" w:after="100" w:afterAutospacing="1" w:line="240" w:lineRule="auto"/>
      <w:ind w:firstLine="0" w:firstLineChars="0"/>
      <w:jc w:val="left"/>
    </w:pPr>
    <w:rPr>
      <w:rFonts w:ascii="宋体" w:hAnsi="宋体" w:cs="宋体"/>
      <w:color w:val="000000"/>
      <w:sz w:val="21"/>
      <w:szCs w:val="21"/>
    </w:rPr>
  </w:style>
  <w:style w:type="paragraph" w:customStyle="1" w:styleId="353">
    <w:name w:val="font9"/>
    <w:basedOn w:val="1"/>
    <w:uiPriority w:val="0"/>
    <w:pPr>
      <w:adjustRightInd/>
      <w:snapToGrid/>
      <w:spacing w:before="100" w:beforeAutospacing="1" w:after="100" w:afterAutospacing="1" w:line="240" w:lineRule="auto"/>
      <w:ind w:firstLine="0" w:firstLineChars="0"/>
      <w:jc w:val="left"/>
    </w:pPr>
    <w:rPr>
      <w:rFonts w:cs="Times New Roman"/>
      <w:color w:val="000000"/>
      <w:sz w:val="21"/>
      <w:szCs w:val="21"/>
    </w:rPr>
  </w:style>
  <w:style w:type="paragraph" w:customStyle="1" w:styleId="354">
    <w:name w:val="font10"/>
    <w:basedOn w:val="1"/>
    <w:uiPriority w:val="0"/>
    <w:pPr>
      <w:adjustRightInd/>
      <w:snapToGrid/>
      <w:spacing w:before="100" w:beforeAutospacing="1" w:after="100" w:afterAutospacing="1" w:line="240" w:lineRule="auto"/>
      <w:ind w:firstLine="0" w:firstLineChars="0"/>
      <w:jc w:val="left"/>
    </w:pPr>
    <w:rPr>
      <w:rFonts w:ascii="等线" w:hAnsi="等线" w:eastAsia="等线" w:cs="宋体"/>
      <w:color w:val="000000"/>
      <w:sz w:val="21"/>
      <w:szCs w:val="21"/>
    </w:rPr>
  </w:style>
  <w:style w:type="paragraph" w:customStyle="1" w:styleId="355">
    <w:name w:val="xl93"/>
    <w:basedOn w:val="1"/>
    <w:uiPriority w:val="0"/>
    <w:pPr>
      <w:pBdr>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56">
    <w:name w:val="xl94"/>
    <w:basedOn w:val="1"/>
    <w:uiPriority w:val="0"/>
    <w:pPr>
      <w:pBdr>
        <w:top w:val="single" w:color="auto" w:sz="12" w:space="0"/>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57">
    <w:name w:val="xl95"/>
    <w:basedOn w:val="1"/>
    <w:uiPriority w:val="0"/>
    <w:pPr>
      <w:pBdr>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58">
    <w:name w:val="xl96"/>
    <w:basedOn w:val="1"/>
    <w:uiPriority w:val="0"/>
    <w:pPr>
      <w:pBdr>
        <w:bottom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59">
    <w:name w:val="xl97"/>
    <w:basedOn w:val="1"/>
    <w:uiPriority w:val="0"/>
    <w:pPr>
      <w:pBdr>
        <w:top w:val="single" w:color="auto" w:sz="12" w:space="0"/>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Cs w:val="24"/>
    </w:rPr>
  </w:style>
  <w:style w:type="paragraph" w:customStyle="1" w:styleId="360">
    <w:name w:val="xl98"/>
    <w:basedOn w:val="1"/>
    <w:qFormat/>
    <w:uiPriority w:val="0"/>
    <w:pPr>
      <w:pBdr>
        <w:top w:val="single" w:color="auto" w:sz="12" w:space="0"/>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1">
    <w:name w:val="xl99"/>
    <w:basedOn w:val="1"/>
    <w:qFormat/>
    <w:uiPriority w:val="0"/>
    <w:pPr>
      <w:pBdr>
        <w:top w:val="single" w:color="auto" w:sz="12" w:space="0"/>
        <w:bottom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2">
    <w:name w:val="xl100"/>
    <w:basedOn w:val="1"/>
    <w:qFormat/>
    <w:uiPriority w:val="0"/>
    <w:pPr>
      <w:pBdr>
        <w:top w:val="single" w:color="000000" w:sz="12" w:space="0"/>
        <w:bottom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3">
    <w:name w:val="xl101"/>
    <w:basedOn w:val="1"/>
    <w:qFormat/>
    <w:uiPriority w:val="0"/>
    <w:pPr>
      <w:pBdr>
        <w:top w:val="single" w:color="000000" w:sz="12" w:space="0"/>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4">
    <w:name w:val="xl102"/>
    <w:basedOn w:val="1"/>
    <w:uiPriority w:val="0"/>
    <w:pPr>
      <w:pBdr>
        <w:bottom w:val="single" w:color="000000"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5">
    <w:name w:val="xl103"/>
    <w:basedOn w:val="1"/>
    <w:uiPriority w:val="0"/>
    <w:pPr>
      <w:pBdr>
        <w:bottom w:val="single" w:color="000000"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66">
    <w:name w:val="xl104"/>
    <w:basedOn w:val="1"/>
    <w:uiPriority w:val="0"/>
    <w:pPr>
      <w:pBdr>
        <w:top w:val="single" w:color="auto" w:sz="12" w:space="0"/>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67">
    <w:name w:val="xl105"/>
    <w:basedOn w:val="1"/>
    <w:uiPriority w:val="0"/>
    <w:pPr>
      <w:pBdr>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68">
    <w:name w:val="xl106"/>
    <w:basedOn w:val="1"/>
    <w:uiPriority w:val="0"/>
    <w:pPr>
      <w:pBdr>
        <w:bottom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69">
    <w:name w:val="xl107"/>
    <w:basedOn w:val="1"/>
    <w:uiPriority w:val="0"/>
    <w:pPr>
      <w:pBdr>
        <w:bottom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Cs w:val="24"/>
    </w:rPr>
  </w:style>
  <w:style w:type="paragraph" w:customStyle="1" w:styleId="370">
    <w:name w:val="xl108"/>
    <w:basedOn w:val="1"/>
    <w:uiPriority w:val="0"/>
    <w:pPr>
      <w:pBdr>
        <w:bottom w:val="single" w:color="000000" w:sz="12"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Cs w:val="24"/>
    </w:rPr>
  </w:style>
  <w:style w:type="paragraph" w:customStyle="1" w:styleId="371">
    <w:name w:val="xl109"/>
    <w:basedOn w:val="1"/>
    <w:uiPriority w:val="0"/>
    <w:pPr>
      <w:pBdr>
        <w:top w:val="single" w:color="000000" w:sz="12" w:space="0"/>
        <w:bottom w:val="single" w:color="000000" w:sz="8" w:space="0"/>
        <w:right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2">
    <w:name w:val="xl110"/>
    <w:basedOn w:val="1"/>
    <w:uiPriority w:val="0"/>
    <w:pPr>
      <w:pBdr>
        <w:top w:val="single" w:color="000000" w:sz="12" w:space="0"/>
        <w:bottom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3">
    <w:name w:val="xl111"/>
    <w:basedOn w:val="1"/>
    <w:uiPriority w:val="0"/>
    <w:pPr>
      <w:pBdr>
        <w:bottom w:val="single" w:color="000000" w:sz="12" w:space="0"/>
        <w:right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4">
    <w:name w:val="xl112"/>
    <w:basedOn w:val="1"/>
    <w:uiPriority w:val="0"/>
    <w:pPr>
      <w:pBdr>
        <w:bottom w:val="single" w:color="000000" w:sz="12" w:space="0"/>
        <w:right w:val="single" w:color="000000" w:sz="8" w:space="0"/>
      </w:pBdr>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75">
    <w:name w:val="xl113"/>
    <w:basedOn w:val="1"/>
    <w:uiPriority w:val="0"/>
    <w:pPr>
      <w:pBdr>
        <w:top w:val="single" w:color="auto" w:sz="12" w:space="0"/>
        <w:bottom w:val="single" w:color="auto" w:sz="12" w:space="0"/>
        <w:right w:val="single" w:color="auto"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6">
    <w:name w:val="xl114"/>
    <w:basedOn w:val="1"/>
    <w:uiPriority w:val="0"/>
    <w:pPr>
      <w:pBdr>
        <w:top w:val="single" w:color="auto" w:sz="12" w:space="0"/>
        <w:bottom w:val="single" w:color="auto" w:sz="12"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7">
    <w:name w:val="xl115"/>
    <w:basedOn w:val="1"/>
    <w:uiPriority w:val="0"/>
    <w:pPr>
      <w:pBdr>
        <w:top w:val="single" w:color="000000" w:sz="12" w:space="0"/>
        <w:bottom w:val="single" w:color="000000" w:sz="12" w:space="0"/>
        <w:right w:val="single" w:color="000000"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378">
    <w:name w:val="xl116"/>
    <w:basedOn w:val="1"/>
    <w:uiPriority w:val="0"/>
    <w:pPr>
      <w:pBdr>
        <w:top w:val="single" w:color="000000" w:sz="12" w:space="0"/>
        <w:bottom w:val="single" w:color="000000" w:sz="12" w:space="0"/>
        <w:right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79">
    <w:name w:val="xl117"/>
    <w:basedOn w:val="1"/>
    <w:uiPriority w:val="0"/>
    <w:pPr>
      <w:pBdr>
        <w:top w:val="single" w:color="000000" w:sz="12" w:space="0"/>
        <w:bottom w:val="single" w:color="000000"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80">
    <w:name w:val="xl118"/>
    <w:basedOn w:val="1"/>
    <w:uiPriority w:val="0"/>
    <w:pPr>
      <w:pBdr>
        <w:top w:val="single" w:color="auto" w:sz="12" w:space="0"/>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81">
    <w:name w:val="xl119"/>
    <w:basedOn w:val="1"/>
    <w:uiPriority w:val="0"/>
    <w:pPr>
      <w:pBdr>
        <w:top w:val="single" w:color="auto" w:sz="12" w:space="0"/>
        <w:bottom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82">
    <w:name w:val="xl120"/>
    <w:basedOn w:val="1"/>
    <w:uiPriority w:val="0"/>
    <w:pPr>
      <w:pBdr>
        <w:top w:val="single" w:color="000000" w:sz="12" w:space="0"/>
        <w:bottom w:val="single" w:color="000000"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83">
    <w:name w:val="xl121"/>
    <w:basedOn w:val="1"/>
    <w:uiPriority w:val="0"/>
    <w:pPr>
      <w:pBdr>
        <w:top w:val="single" w:color="auto" w:sz="12" w:space="0"/>
        <w:bottom w:val="single" w:color="auto" w:sz="8" w:space="0"/>
        <w:right w:val="single" w:color="auto" w:sz="8" w:space="0"/>
      </w:pBdr>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84">
    <w:name w:val="xl122"/>
    <w:basedOn w:val="1"/>
    <w:uiPriority w:val="0"/>
    <w:pPr>
      <w:pBdr>
        <w:bottom w:val="single" w:color="auto" w:sz="12" w:space="0"/>
        <w:right w:val="single" w:color="auto" w:sz="8" w:space="0"/>
      </w:pBdr>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85">
    <w:name w:val="xl123"/>
    <w:basedOn w:val="1"/>
    <w:uiPriority w:val="0"/>
    <w:pPr>
      <w:pBdr>
        <w:bottom w:val="single" w:color="auto" w:sz="8" w:space="0"/>
        <w:right w:val="single" w:color="auto"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86">
    <w:name w:val="xl124"/>
    <w:basedOn w:val="1"/>
    <w:uiPriority w:val="0"/>
    <w:pPr>
      <w:pBdr>
        <w:bottom w:val="single" w:color="auto" w:sz="8" w:space="0"/>
        <w:right w:val="single" w:color="auto" w:sz="8" w:space="0"/>
      </w:pBdr>
      <w:shd w:val="clear" w:color="000000" w:fill="FFFF00"/>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87">
    <w:name w:val="xl125"/>
    <w:basedOn w:val="1"/>
    <w:uiPriority w:val="0"/>
    <w:pPr>
      <w:pBdr>
        <w:bottom w:val="single" w:color="auto"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88">
    <w:name w:val="xl126"/>
    <w:basedOn w:val="1"/>
    <w:uiPriority w:val="0"/>
    <w:pPr>
      <w:pBdr>
        <w:right w:val="single" w:color="auto"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89">
    <w:name w:val="xl127"/>
    <w:basedOn w:val="1"/>
    <w:uiPriority w:val="0"/>
    <w:pPr>
      <w:pBdr>
        <w:right w:val="single" w:color="auto" w:sz="8" w:space="0"/>
      </w:pBdr>
      <w:shd w:val="clear" w:color="000000" w:fill="FFFF00"/>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90">
    <w:name w:val="xl128"/>
    <w:basedOn w:val="1"/>
    <w:uiPriority w:val="0"/>
    <w:pP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91">
    <w:name w:val="xl129"/>
    <w:basedOn w:val="1"/>
    <w:uiPriority w:val="0"/>
    <w:pPr>
      <w:pBdr>
        <w:top w:val="single" w:color="000000" w:sz="12" w:space="0"/>
        <w:bottom w:val="single" w:color="000000" w:sz="12" w:space="0"/>
        <w:right w:val="single" w:color="000000"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92">
    <w:name w:val="xl130"/>
    <w:basedOn w:val="1"/>
    <w:uiPriority w:val="0"/>
    <w:pPr>
      <w:pBdr>
        <w:top w:val="single" w:color="000000" w:sz="12" w:space="0"/>
        <w:bottom w:val="single" w:color="000000" w:sz="12"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93">
    <w:name w:val="xl131"/>
    <w:basedOn w:val="1"/>
    <w:uiPriority w:val="0"/>
    <w:pPr>
      <w:pBdr>
        <w:top w:val="single" w:color="000000" w:sz="12" w:space="0"/>
        <w:bottom w:val="single" w:color="000000" w:sz="8" w:space="0"/>
        <w:right w:val="single" w:color="000000" w:sz="8" w:space="0"/>
      </w:pBdr>
      <w:adjustRightInd/>
      <w:snapToGrid/>
      <w:spacing w:before="100" w:beforeAutospacing="1" w:after="100" w:afterAutospacing="1" w:line="240" w:lineRule="auto"/>
      <w:ind w:firstLine="0" w:firstLineChars="0"/>
      <w:jc w:val="left"/>
      <w:textAlignment w:val="center"/>
    </w:pPr>
    <w:rPr>
      <w:rFonts w:ascii="宋体" w:hAnsi="宋体" w:cs="宋体"/>
      <w:sz w:val="21"/>
      <w:szCs w:val="21"/>
    </w:rPr>
  </w:style>
  <w:style w:type="paragraph" w:customStyle="1" w:styleId="394">
    <w:name w:val="xl132"/>
    <w:basedOn w:val="1"/>
    <w:uiPriority w:val="0"/>
    <w:pPr>
      <w:pBdr>
        <w:top w:val="single" w:color="auto" w:sz="12" w:space="0"/>
        <w:bottom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395">
    <w:name w:val="xl133"/>
    <w:basedOn w:val="1"/>
    <w:uiPriority w:val="0"/>
    <w:pPr>
      <w:pBdr>
        <w:top w:val="single" w:color="000000" w:sz="8" w:space="0"/>
        <w:left w:val="single" w:color="000000" w:sz="8" w:space="0"/>
        <w:bottom w:val="single" w:color="000000" w:sz="8" w:space="0"/>
        <w:right w:val="single" w:color="000000"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396">
    <w:name w:val="xl134"/>
    <w:basedOn w:val="1"/>
    <w:uiPriority w:val="0"/>
    <w:pPr>
      <w:pBdr>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397">
    <w:name w:val="xl135"/>
    <w:basedOn w:val="1"/>
    <w:uiPriority w:val="0"/>
    <w:pPr>
      <w:pBdr>
        <w:bottom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Cs w:val="24"/>
    </w:rPr>
  </w:style>
  <w:style w:type="paragraph" w:customStyle="1" w:styleId="398">
    <w:name w:val="xl136"/>
    <w:basedOn w:val="1"/>
    <w:uiPriority w:val="0"/>
    <w:pPr>
      <w:pBdr>
        <w:top w:val="single" w:color="000000"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399">
    <w:name w:val="xl137"/>
    <w:basedOn w:val="1"/>
    <w:uiPriority w:val="0"/>
    <w:pPr>
      <w:pBdr>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00">
    <w:name w:val="xl138"/>
    <w:basedOn w:val="1"/>
    <w:uiPriority w:val="0"/>
    <w:pPr>
      <w:pBdr>
        <w:top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1">
    <w:name w:val="xl139"/>
    <w:basedOn w:val="1"/>
    <w:uiPriority w:val="0"/>
    <w:pPr>
      <w:pBdr>
        <w:top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2">
    <w:name w:val="xl140"/>
    <w:basedOn w:val="1"/>
    <w:uiPriority w:val="0"/>
    <w:pPr>
      <w:pBdr>
        <w:top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3">
    <w:name w:val="xl141"/>
    <w:basedOn w:val="1"/>
    <w:uiPriority w:val="0"/>
    <w:pPr>
      <w:pBdr>
        <w:top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04">
    <w:name w:val="xl142"/>
    <w:basedOn w:val="1"/>
    <w:uiPriority w:val="0"/>
    <w:pPr>
      <w:pBdr>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05">
    <w:name w:val="xl143"/>
    <w:basedOn w:val="1"/>
    <w:uiPriority w:val="0"/>
    <w:pPr>
      <w:pBdr>
        <w:top w:val="single" w:color="auto" w:sz="12" w:space="0"/>
        <w:right w:val="single" w:color="auto" w:sz="8"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6">
    <w:name w:val="xl144"/>
    <w:basedOn w:val="1"/>
    <w:uiPriority w:val="0"/>
    <w:pPr>
      <w:pBdr>
        <w:top w:val="single" w:color="000000" w:sz="12" w:space="0"/>
        <w:right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7">
    <w:name w:val="xl145"/>
    <w:basedOn w:val="1"/>
    <w:uiPriority w:val="0"/>
    <w:pPr>
      <w:pBdr>
        <w:top w:val="single" w:color="000000"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08">
    <w:name w:val="xl146"/>
    <w:basedOn w:val="1"/>
    <w:uiPriority w:val="0"/>
    <w:pPr>
      <w:pBdr>
        <w:top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09">
    <w:name w:val="xl147"/>
    <w:basedOn w:val="1"/>
    <w:uiPriority w:val="0"/>
    <w:pPr>
      <w:pBdr>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10">
    <w:name w:val="xl148"/>
    <w:basedOn w:val="1"/>
    <w:uiPriority w:val="0"/>
    <w:pPr>
      <w:pBdr>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11">
    <w:name w:val="xl149"/>
    <w:basedOn w:val="1"/>
    <w:uiPriority w:val="0"/>
    <w:pPr>
      <w:pBdr>
        <w:bottom w:val="single" w:color="auto" w:sz="8" w:space="0"/>
        <w:right w:val="single" w:color="auto" w:sz="8" w:space="0"/>
      </w:pBdr>
      <w:adjustRightInd/>
      <w:snapToGrid/>
      <w:spacing w:before="100" w:beforeAutospacing="1" w:after="100" w:afterAutospacing="1" w:line="240" w:lineRule="auto"/>
      <w:ind w:firstLine="0" w:firstLineChars="0"/>
      <w:jc w:val="center"/>
      <w:textAlignment w:val="center"/>
    </w:pPr>
    <w:rPr>
      <w:rFonts w:ascii="Calibri" w:hAnsi="Calibri" w:cs="Calibri"/>
      <w:sz w:val="21"/>
      <w:szCs w:val="21"/>
    </w:rPr>
  </w:style>
  <w:style w:type="paragraph" w:customStyle="1" w:styleId="412">
    <w:name w:val="xl150"/>
    <w:basedOn w:val="1"/>
    <w:uiPriority w:val="0"/>
    <w:pPr>
      <w:pBdr>
        <w:right w:val="single" w:color="000000" w:sz="8"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13">
    <w:name w:val="xl151"/>
    <w:basedOn w:val="1"/>
    <w:uiPriority w:val="0"/>
    <w:pPr>
      <w:pBdr>
        <w:top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414">
    <w:name w:val="xl152"/>
    <w:basedOn w:val="1"/>
    <w:uiPriority w:val="0"/>
    <w:pPr>
      <w:pBdr>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415">
    <w:name w:val="xl153"/>
    <w:basedOn w:val="1"/>
    <w:uiPriority w:val="0"/>
    <w:pPr>
      <w:pBdr>
        <w:bottom w:val="single" w:color="auto" w:sz="12" w:space="0"/>
        <w:right w:val="single" w:color="auto" w:sz="8" w:space="0"/>
      </w:pBdr>
      <w:adjustRightInd/>
      <w:snapToGrid/>
      <w:spacing w:before="100" w:beforeAutospacing="1" w:after="100" w:afterAutospacing="1" w:line="240" w:lineRule="auto"/>
      <w:ind w:firstLine="0" w:firstLineChars="0"/>
      <w:jc w:val="center"/>
      <w:textAlignment w:val="center"/>
    </w:pPr>
    <w:rPr>
      <w:rFonts w:ascii="宋体" w:hAnsi="宋体" w:cs="宋体"/>
      <w:color w:val="000000"/>
      <w:sz w:val="21"/>
      <w:szCs w:val="21"/>
    </w:rPr>
  </w:style>
  <w:style w:type="paragraph" w:customStyle="1" w:styleId="416">
    <w:name w:val="xl154"/>
    <w:basedOn w:val="1"/>
    <w:uiPriority w:val="0"/>
    <w:pP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417">
    <w:name w:val="xl155"/>
    <w:basedOn w:val="1"/>
    <w:uiPriority w:val="0"/>
    <w:pPr>
      <w:pBdr>
        <w:bottom w:val="single" w:color="auto" w:sz="12" w:space="0"/>
      </w:pBdr>
      <w:adjustRightInd/>
      <w:snapToGrid/>
      <w:spacing w:before="100" w:beforeAutospacing="1" w:after="100" w:afterAutospacing="1" w:line="240" w:lineRule="auto"/>
      <w:ind w:firstLine="0" w:firstLineChars="0"/>
      <w:jc w:val="center"/>
    </w:pPr>
    <w:rPr>
      <w:rFonts w:ascii="宋体" w:hAnsi="宋体" w:cs="宋体"/>
      <w:szCs w:val="24"/>
    </w:rPr>
  </w:style>
  <w:style w:type="paragraph" w:customStyle="1" w:styleId="418">
    <w:name w:val="xl156"/>
    <w:basedOn w:val="1"/>
    <w:uiPriority w:val="0"/>
    <w:pPr>
      <w:pBdr>
        <w:top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19">
    <w:name w:val="xl157"/>
    <w:basedOn w:val="1"/>
    <w:uiPriority w:val="0"/>
    <w:pP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20">
    <w:name w:val="xl158"/>
    <w:basedOn w:val="1"/>
    <w:uiPriority w:val="0"/>
    <w:pPr>
      <w:pBdr>
        <w:top w:val="single" w:color="auto" w:sz="12" w:space="0"/>
      </w:pBdr>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21">
    <w:name w:val="xl159"/>
    <w:basedOn w:val="1"/>
    <w:uiPriority w:val="0"/>
    <w:pPr>
      <w:pBdr>
        <w:top w:val="single" w:color="000000" w:sz="12"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22">
    <w:name w:val="xl160"/>
    <w:basedOn w:val="1"/>
    <w:uiPriority w:val="0"/>
    <w:pP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 w:type="paragraph" w:customStyle="1" w:styleId="423">
    <w:name w:val="xl161"/>
    <w:basedOn w:val="1"/>
    <w:uiPriority w:val="0"/>
    <w:pPr>
      <w:pBdr>
        <w:bottom w:val="single" w:color="auto" w:sz="12" w:space="0"/>
      </w:pBdr>
      <w:shd w:val="clear" w:color="000000" w:fill="FFFF00"/>
      <w:adjustRightInd/>
      <w:snapToGrid/>
      <w:spacing w:before="100" w:beforeAutospacing="1" w:after="100" w:afterAutospacing="1" w:line="240" w:lineRule="auto"/>
      <w:ind w:firstLine="0" w:firstLineChars="0"/>
      <w:jc w:val="center"/>
      <w:textAlignment w:val="center"/>
    </w:pPr>
    <w:rPr>
      <w:rFonts w:ascii="宋体" w:hAnsi="宋体" w:cs="宋体"/>
      <w:sz w:val="21"/>
      <w:szCs w:val="21"/>
    </w:rPr>
  </w:style>
</w:styles>
</file>

<file path=word/_rels/document.xml.rels><?xml version="1.0" encoding="UTF-8" standalone="yes"?>
<Relationships xmlns="http://schemas.openxmlformats.org/package/2006/relationships"><Relationship Id="rId99" Type="http://schemas.openxmlformats.org/officeDocument/2006/relationships/chart" Target="charts/chart17.xml"/><Relationship Id="rId98" Type="http://schemas.openxmlformats.org/officeDocument/2006/relationships/image" Target="media/image43.png"/><Relationship Id="rId97" Type="http://schemas.openxmlformats.org/officeDocument/2006/relationships/image" Target="../NULL"/><Relationship Id="rId96" Type="http://schemas.openxmlformats.org/officeDocument/2006/relationships/image" Target="media/image41.jpeg"/><Relationship Id="rId95" Type="http://schemas.openxmlformats.org/officeDocument/2006/relationships/image" Target="media/image40.jpeg"/><Relationship Id="rId94" Type="http://schemas.openxmlformats.org/officeDocument/2006/relationships/image" Target="media/image39.jpeg"/><Relationship Id="rId93" Type="http://schemas.openxmlformats.org/officeDocument/2006/relationships/image" Target="media/image38.png"/><Relationship Id="rId92" Type="http://schemas.openxmlformats.org/officeDocument/2006/relationships/oleObject" Target="embeddings/oleObject12.bin"/><Relationship Id="rId91" Type="http://schemas.openxmlformats.org/officeDocument/2006/relationships/image" Target="media/image37.png"/><Relationship Id="rId90" Type="http://schemas.openxmlformats.org/officeDocument/2006/relationships/oleObject" Target="embeddings/oleObject11.bin"/><Relationship Id="rId9" Type="http://schemas.openxmlformats.org/officeDocument/2006/relationships/header" Target="header4.xml"/><Relationship Id="rId89" Type="http://schemas.openxmlformats.org/officeDocument/2006/relationships/image" Target="media/image36.png"/><Relationship Id="rId88" Type="http://schemas.openxmlformats.org/officeDocument/2006/relationships/oleObject" Target="embeddings/oleObject10.bin"/><Relationship Id="rId87" Type="http://schemas.openxmlformats.org/officeDocument/2006/relationships/image" Target="media/image35.png"/><Relationship Id="rId86" Type="http://schemas.openxmlformats.org/officeDocument/2006/relationships/oleObject" Target="embeddings/oleObject9.bin"/><Relationship Id="rId85" Type="http://schemas.openxmlformats.org/officeDocument/2006/relationships/image" Target="media/image34.png"/><Relationship Id="rId84" Type="http://schemas.openxmlformats.org/officeDocument/2006/relationships/image" Target="media/image33.jpeg"/><Relationship Id="rId83" Type="http://schemas.openxmlformats.org/officeDocument/2006/relationships/image" Target="media/image32.png"/><Relationship Id="rId82" Type="http://schemas.openxmlformats.org/officeDocument/2006/relationships/image" Target="media/image31.jpeg"/><Relationship Id="rId81" Type="http://schemas.openxmlformats.org/officeDocument/2006/relationships/image" Target="media/image30.jpeg"/><Relationship Id="rId80" Type="http://schemas.openxmlformats.org/officeDocument/2006/relationships/image" Target="media/image29.jpeg"/><Relationship Id="rId8" Type="http://schemas.openxmlformats.org/officeDocument/2006/relationships/footer" Target="footer3.xml"/><Relationship Id="rId79" Type="http://schemas.openxmlformats.org/officeDocument/2006/relationships/image" Target="media/image28.jpeg"/><Relationship Id="rId78" Type="http://schemas.openxmlformats.org/officeDocument/2006/relationships/image" Target="media/image27.emf"/><Relationship Id="rId77" Type="http://schemas.openxmlformats.org/officeDocument/2006/relationships/oleObject" Target="embeddings/oleObject8.bin"/><Relationship Id="rId76" Type="http://schemas.openxmlformats.org/officeDocument/2006/relationships/image" Target="media/image26.emf"/><Relationship Id="rId75" Type="http://schemas.openxmlformats.org/officeDocument/2006/relationships/oleObject" Target="embeddings/oleObject7.bin"/><Relationship Id="rId74" Type="http://schemas.openxmlformats.org/officeDocument/2006/relationships/image" Target="media/image25.png"/><Relationship Id="rId73" Type="http://schemas.openxmlformats.org/officeDocument/2006/relationships/image" Target="media/image24.png"/><Relationship Id="rId72" Type="http://schemas.openxmlformats.org/officeDocument/2006/relationships/image" Target="media/image23.jpeg"/><Relationship Id="rId71" Type="http://schemas.openxmlformats.org/officeDocument/2006/relationships/image" Target="media/image22.emf"/><Relationship Id="rId70" Type="http://schemas.openxmlformats.org/officeDocument/2006/relationships/image" Target="media/image21.emf"/><Relationship Id="rId7" Type="http://schemas.openxmlformats.org/officeDocument/2006/relationships/footer" Target="footer2.xml"/><Relationship Id="rId69" Type="http://schemas.openxmlformats.org/officeDocument/2006/relationships/image" Target="media/image20.emf"/><Relationship Id="rId68" Type="http://schemas.openxmlformats.org/officeDocument/2006/relationships/image" Target="media/image19.emf"/><Relationship Id="rId67" Type="http://schemas.openxmlformats.org/officeDocument/2006/relationships/image" Target="media/image18.jpeg"/><Relationship Id="rId66" Type="http://schemas.openxmlformats.org/officeDocument/2006/relationships/image" Target="media/image17.wmf"/><Relationship Id="rId65" Type="http://schemas.openxmlformats.org/officeDocument/2006/relationships/oleObject" Target="embeddings/oleObject6.bin"/><Relationship Id="rId64" Type="http://schemas.openxmlformats.org/officeDocument/2006/relationships/image" Target="media/image16.wmf"/><Relationship Id="rId63" Type="http://schemas.openxmlformats.org/officeDocument/2006/relationships/oleObject" Target="embeddings/oleObject5.bin"/><Relationship Id="rId62" Type="http://schemas.openxmlformats.org/officeDocument/2006/relationships/image" Target="media/image15.wmf"/><Relationship Id="rId61" Type="http://schemas.openxmlformats.org/officeDocument/2006/relationships/oleObject" Target="embeddings/oleObject4.bin"/><Relationship Id="rId60" Type="http://schemas.openxmlformats.org/officeDocument/2006/relationships/image" Target="media/image14.wmf"/><Relationship Id="rId6" Type="http://schemas.openxmlformats.org/officeDocument/2006/relationships/footer" Target="footer1.xml"/><Relationship Id="rId59" Type="http://schemas.openxmlformats.org/officeDocument/2006/relationships/oleObject" Target="embeddings/oleObject3.bin"/><Relationship Id="rId58" Type="http://schemas.openxmlformats.org/officeDocument/2006/relationships/image" Target="media/image13.wmf"/><Relationship Id="rId57" Type="http://schemas.openxmlformats.org/officeDocument/2006/relationships/oleObject" Target="embeddings/oleObject2.bin"/><Relationship Id="rId56" Type="http://schemas.openxmlformats.org/officeDocument/2006/relationships/image" Target="media/image12.wmf"/><Relationship Id="rId55" Type="http://schemas.openxmlformats.org/officeDocument/2006/relationships/oleObject" Target="embeddings/oleObject1.bin"/><Relationship Id="rId54" Type="http://schemas.openxmlformats.org/officeDocument/2006/relationships/image" Target="media/image11.jpeg"/><Relationship Id="rId53" Type="http://schemas.openxmlformats.org/officeDocument/2006/relationships/image" Target="media/image10.jpeg"/><Relationship Id="rId52" Type="http://schemas.openxmlformats.org/officeDocument/2006/relationships/image" Target="media/image9.png"/><Relationship Id="rId51" Type="http://schemas.openxmlformats.org/officeDocument/2006/relationships/image" Target="media/image8.png"/><Relationship Id="rId50" Type="http://schemas.openxmlformats.org/officeDocument/2006/relationships/image" Target="media/image7.jpeg"/><Relationship Id="rId5" Type="http://schemas.openxmlformats.org/officeDocument/2006/relationships/header" Target="header3.xml"/><Relationship Id="rId49" Type="http://schemas.openxmlformats.org/officeDocument/2006/relationships/chart" Target="charts/chart16.xml"/><Relationship Id="rId48" Type="http://schemas.openxmlformats.org/officeDocument/2006/relationships/image" Target="media/image6.png"/><Relationship Id="rId47" Type="http://schemas.openxmlformats.org/officeDocument/2006/relationships/chart" Target="charts/chart15.xml"/><Relationship Id="rId46" Type="http://schemas.openxmlformats.org/officeDocument/2006/relationships/chart" Target="charts/chart14.xml"/><Relationship Id="rId45" Type="http://schemas.openxmlformats.org/officeDocument/2006/relationships/image" Target="media/image5.png"/><Relationship Id="rId44" Type="http://schemas.openxmlformats.org/officeDocument/2006/relationships/chart" Target="charts/chart13.xml"/><Relationship Id="rId43" Type="http://schemas.openxmlformats.org/officeDocument/2006/relationships/chart" Target="charts/chart12.xml"/><Relationship Id="rId42" Type="http://schemas.openxmlformats.org/officeDocument/2006/relationships/chart" Target="charts/chart11.xml"/><Relationship Id="rId41" Type="http://schemas.openxmlformats.org/officeDocument/2006/relationships/chart" Target="charts/chart10.xml"/><Relationship Id="rId40" Type="http://schemas.openxmlformats.org/officeDocument/2006/relationships/chart" Target="charts/chart9.xml"/><Relationship Id="rId4" Type="http://schemas.openxmlformats.org/officeDocument/2006/relationships/header" Target="header2.xml"/><Relationship Id="rId39" Type="http://schemas.openxmlformats.org/officeDocument/2006/relationships/chart" Target="charts/chart8.xml"/><Relationship Id="rId38" Type="http://schemas.openxmlformats.org/officeDocument/2006/relationships/chart" Target="charts/chart7.xml"/><Relationship Id="rId37" Type="http://schemas.openxmlformats.org/officeDocument/2006/relationships/chart" Target="charts/chart6.xml"/><Relationship Id="rId36" Type="http://schemas.openxmlformats.org/officeDocument/2006/relationships/chart" Target="charts/chart5.xml"/><Relationship Id="rId35" Type="http://schemas.openxmlformats.org/officeDocument/2006/relationships/chart" Target="charts/chart4.xml"/><Relationship Id="rId34" Type="http://schemas.openxmlformats.org/officeDocument/2006/relationships/chart" Target="charts/chart3.xml"/><Relationship Id="rId33" Type="http://schemas.openxmlformats.org/officeDocument/2006/relationships/chart" Target="charts/chart2.xml"/><Relationship Id="rId32" Type="http://schemas.openxmlformats.org/officeDocument/2006/relationships/chart" Target="charts/chart1.xml"/><Relationship Id="rId31" Type="http://schemas.openxmlformats.org/officeDocument/2006/relationships/image" Target="media/image4.png"/><Relationship Id="rId30" Type="http://schemas.openxmlformats.org/officeDocument/2006/relationships/image" Target="media/image3.png"/><Relationship Id="rId3" Type="http://schemas.openxmlformats.org/officeDocument/2006/relationships/header" Target="header1.xml"/><Relationship Id="rId29" Type="http://schemas.openxmlformats.org/officeDocument/2006/relationships/image" Target="media/image2.jpeg"/><Relationship Id="rId28" Type="http://schemas.openxmlformats.org/officeDocument/2006/relationships/image" Target="media/image1.png"/><Relationship Id="rId27" Type="http://schemas.openxmlformats.org/officeDocument/2006/relationships/theme" Target="theme/theme1.xml"/><Relationship Id="rId26" Type="http://schemas.openxmlformats.org/officeDocument/2006/relationships/footer" Target="footer15.xml"/><Relationship Id="rId25" Type="http://schemas.openxmlformats.org/officeDocument/2006/relationships/footer" Target="footer14.xml"/><Relationship Id="rId24" Type="http://schemas.openxmlformats.org/officeDocument/2006/relationships/footer" Target="footer13.xml"/><Relationship Id="rId23" Type="http://schemas.openxmlformats.org/officeDocument/2006/relationships/header" Target="header9.xml"/><Relationship Id="rId22" Type="http://schemas.openxmlformats.org/officeDocument/2006/relationships/footer" Target="footer12.xml"/><Relationship Id="rId21" Type="http://schemas.openxmlformats.org/officeDocument/2006/relationships/footer" Target="footer11.xml"/><Relationship Id="rId20" Type="http://schemas.openxmlformats.org/officeDocument/2006/relationships/footer" Target="footer10.xml"/><Relationship Id="rId2" Type="http://schemas.openxmlformats.org/officeDocument/2006/relationships/settings" Target="settings.xml"/><Relationship Id="rId19" Type="http://schemas.openxmlformats.org/officeDocument/2006/relationships/header" Target="header8.xml"/><Relationship Id="rId18" Type="http://schemas.openxmlformats.org/officeDocument/2006/relationships/header" Target="header7.xml"/><Relationship Id="rId17" Type="http://schemas.openxmlformats.org/officeDocument/2006/relationships/footer" Target="footer9.xml"/><Relationship Id="rId16" Type="http://schemas.openxmlformats.org/officeDocument/2006/relationships/footer" Target="footer8.xml"/><Relationship Id="rId15" Type="http://schemas.openxmlformats.org/officeDocument/2006/relationships/footer" Target="footer7.xml"/><Relationship Id="rId14" Type="http://schemas.openxmlformats.org/officeDocument/2006/relationships/header" Target="header6.xml"/><Relationship Id="rId13" Type="http://schemas.openxmlformats.org/officeDocument/2006/relationships/footer" Target="footer6.xml"/><Relationship Id="rId12" Type="http://schemas.openxmlformats.org/officeDocument/2006/relationships/footer" Target="footer5.xml"/><Relationship Id="rId112" Type="http://schemas.openxmlformats.org/officeDocument/2006/relationships/fontTable" Target="fontTable.xml"/><Relationship Id="rId111" Type="http://schemas.openxmlformats.org/officeDocument/2006/relationships/customXml" Target="../customXml/item2.xml"/><Relationship Id="rId110" Type="http://schemas.openxmlformats.org/officeDocument/2006/relationships/numbering" Target="numbering.xml"/><Relationship Id="rId11" Type="http://schemas.openxmlformats.org/officeDocument/2006/relationships/footer" Target="footer4.xml"/><Relationship Id="rId109" Type="http://schemas.openxmlformats.org/officeDocument/2006/relationships/customXml" Target="../customXml/item1.xml"/><Relationship Id="rId108" Type="http://schemas.openxmlformats.org/officeDocument/2006/relationships/chart" Target="charts/chart26.xml"/><Relationship Id="rId107" Type="http://schemas.openxmlformats.org/officeDocument/2006/relationships/chart" Target="charts/chart25.xml"/><Relationship Id="rId106" Type="http://schemas.openxmlformats.org/officeDocument/2006/relationships/chart" Target="charts/chart24.xml"/><Relationship Id="rId105" Type="http://schemas.openxmlformats.org/officeDocument/2006/relationships/chart" Target="charts/chart23.xml"/><Relationship Id="rId104" Type="http://schemas.openxmlformats.org/officeDocument/2006/relationships/chart" Target="charts/chart22.xml"/><Relationship Id="rId103" Type="http://schemas.openxmlformats.org/officeDocument/2006/relationships/chart" Target="charts/chart21.xml"/><Relationship Id="rId102" Type="http://schemas.openxmlformats.org/officeDocument/2006/relationships/chart" Target="charts/chart20.xml"/><Relationship Id="rId101" Type="http://schemas.openxmlformats.org/officeDocument/2006/relationships/chart" Target="charts/chart19.xml"/><Relationship Id="rId100" Type="http://schemas.openxmlformats.org/officeDocument/2006/relationships/chart" Target="charts/chart18.xml"/><Relationship Id="rId10" Type="http://schemas.openxmlformats.org/officeDocument/2006/relationships/header" Target="header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package" Target="../embeddings/Workbook1.xlsx"/></Relationships>
</file>

<file path=word/charts/_rels/chart10.xml.rels><?xml version="1.0" encoding="UTF-8" standalone="yes"?>
<Relationships xmlns="http://schemas.openxmlformats.org/package/2006/relationships"><Relationship Id="rId3" Type="http://schemas.microsoft.com/office/2011/relationships/chartColorStyle" Target="colors14.xml"/><Relationship Id="rId2" Type="http://schemas.microsoft.com/office/2011/relationships/chartStyle" Target="style14.xml"/><Relationship Id="rId1" Type="http://schemas.openxmlformats.org/officeDocument/2006/relationships/package" Target="../embeddings/Workbook14.xlsx"/></Relationships>
</file>

<file path=word/charts/_rels/chart11.xml.rels><?xml version="1.0" encoding="UTF-8" standalone="yes"?>
<Relationships xmlns="http://schemas.openxmlformats.org/package/2006/relationships"><Relationship Id="rId3" Type="http://schemas.microsoft.com/office/2011/relationships/chartColorStyle" Target="colors12.xml"/><Relationship Id="rId2" Type="http://schemas.microsoft.com/office/2011/relationships/chartStyle" Target="style12.xml"/><Relationship Id="rId1" Type="http://schemas.openxmlformats.org/officeDocument/2006/relationships/package" Target="../embeddings/Workbook12.xlsx"/></Relationships>
</file>

<file path=word/charts/_rels/chart12.xml.rels><?xml version="1.0" encoding="UTF-8" standalone="yes"?>
<Relationships xmlns="http://schemas.openxmlformats.org/package/2006/relationships"><Relationship Id="rId3" Type="http://schemas.microsoft.com/office/2011/relationships/chartColorStyle" Target="colors11.xml"/><Relationship Id="rId2" Type="http://schemas.microsoft.com/office/2011/relationships/chartStyle" Target="style11.xml"/><Relationship Id="rId1" Type="http://schemas.openxmlformats.org/officeDocument/2006/relationships/package" Target="../embeddings/Workbook11.xlsx"/></Relationships>
</file>

<file path=word/charts/_rels/chart13.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package" Target="../embeddings/Workbook10.xlsx"/></Relationships>
</file>

<file path=word/charts/_rels/chart14.xml.rels><?xml version="1.0" encoding="UTF-8" standalone="yes"?>
<Relationships xmlns="http://schemas.openxmlformats.org/package/2006/relationships"><Relationship Id="rId3" Type="http://schemas.microsoft.com/office/2011/relationships/chartColorStyle" Target="colors8.xml"/><Relationship Id="rId2" Type="http://schemas.microsoft.com/office/2011/relationships/chartStyle" Target="style8.xml"/><Relationship Id="rId1" Type="http://schemas.openxmlformats.org/officeDocument/2006/relationships/package" Target="../embeddings/Workbook8.xlsx"/></Relationships>
</file>

<file path=word/charts/_rels/chart15.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package" Target="../embeddings/Workbook9.xlsx"/></Relationships>
</file>

<file path=word/charts/_rels/chart16.xml.rels><?xml version="1.0" encoding="UTF-8" standalone="yes"?>
<Relationships xmlns="http://schemas.openxmlformats.org/package/2006/relationships"><Relationship Id="rId3" Type="http://schemas.microsoft.com/office/2011/relationships/chartColorStyle" Target="colors25.xml"/><Relationship Id="rId2" Type="http://schemas.microsoft.com/office/2011/relationships/chartStyle" Target="style25.xml"/><Relationship Id="rId1" Type="http://schemas.openxmlformats.org/officeDocument/2006/relationships/package" Target="../embeddings/Workbook25.xlsx"/></Relationships>
</file>

<file path=word/charts/_rels/chart17.xml.rels><?xml version="1.0" encoding="UTF-8" standalone="yes"?>
<Relationships xmlns="http://schemas.openxmlformats.org/package/2006/relationships"><Relationship Id="rId3" Type="http://schemas.microsoft.com/office/2011/relationships/chartColorStyle" Target="colors24.xml"/><Relationship Id="rId2" Type="http://schemas.microsoft.com/office/2011/relationships/chartStyle" Target="style24.xml"/><Relationship Id="rId1" Type="http://schemas.openxmlformats.org/officeDocument/2006/relationships/package" Target="../embeddings/Workbook24.xlsx"/></Relationships>
</file>

<file path=word/charts/_rels/chart18.xml.rels><?xml version="1.0" encoding="UTF-8" standalone="yes"?>
<Relationships xmlns="http://schemas.openxmlformats.org/package/2006/relationships"><Relationship Id="rId3" Type="http://schemas.microsoft.com/office/2011/relationships/chartColorStyle" Target="colors21.xml"/><Relationship Id="rId2" Type="http://schemas.microsoft.com/office/2011/relationships/chartStyle" Target="style21.xml"/><Relationship Id="rId1" Type="http://schemas.openxmlformats.org/officeDocument/2006/relationships/package" Target="../embeddings/Workbook21.xlsx"/></Relationships>
</file>

<file path=word/charts/_rels/chart19.xml.rels><?xml version="1.0" encoding="UTF-8" standalone="yes"?>
<Relationships xmlns="http://schemas.openxmlformats.org/package/2006/relationships"><Relationship Id="rId3" Type="http://schemas.microsoft.com/office/2011/relationships/chartColorStyle" Target="colors6.xml"/><Relationship Id="rId2" Type="http://schemas.microsoft.com/office/2011/relationships/chartStyle" Target="style6.xml"/><Relationship Id="rId1" Type="http://schemas.openxmlformats.org/officeDocument/2006/relationships/package" Target="../embeddings/Workbook6.xlsx"/></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package" Target="../embeddings/Workbook2.xlsx"/></Relationships>
</file>

<file path=word/charts/_rels/chart20.xml.rels><?xml version="1.0" encoding="UTF-8" standalone="yes"?>
<Relationships xmlns="http://schemas.openxmlformats.org/package/2006/relationships"><Relationship Id="rId3" Type="http://schemas.microsoft.com/office/2011/relationships/chartColorStyle" Target="colors7.xml"/><Relationship Id="rId2" Type="http://schemas.microsoft.com/office/2011/relationships/chartStyle" Target="style7.xml"/><Relationship Id="rId1" Type="http://schemas.openxmlformats.org/officeDocument/2006/relationships/package" Target="../embeddings/Workbook7.xlsx"/></Relationships>
</file>

<file path=word/charts/_rels/chart21.xml.rels><?xml version="1.0" encoding="UTF-8" standalone="yes"?>
<Relationships xmlns="http://schemas.openxmlformats.org/package/2006/relationships"><Relationship Id="rId3" Type="http://schemas.microsoft.com/office/2011/relationships/chartColorStyle" Target="colors26.xml"/><Relationship Id="rId2" Type="http://schemas.microsoft.com/office/2011/relationships/chartStyle" Target="style26.xml"/><Relationship Id="rId1" Type="http://schemas.openxmlformats.org/officeDocument/2006/relationships/package" Target="../embeddings/Workbook26.xlsx"/></Relationships>
</file>

<file path=word/charts/_rels/chart22.xml.rels><?xml version="1.0" encoding="UTF-8" standalone="yes"?>
<Relationships xmlns="http://schemas.openxmlformats.org/package/2006/relationships"><Relationship Id="rId3" Type="http://schemas.microsoft.com/office/2011/relationships/chartColorStyle" Target="colors22.xml"/><Relationship Id="rId2" Type="http://schemas.microsoft.com/office/2011/relationships/chartStyle" Target="style22.xml"/><Relationship Id="rId1" Type="http://schemas.openxmlformats.org/officeDocument/2006/relationships/package" Target="../embeddings/Workbook22.xlsx"/></Relationships>
</file>

<file path=word/charts/_rels/chart23.xml.rels><?xml version="1.0" encoding="UTF-8" standalone="yes"?>
<Relationships xmlns="http://schemas.openxmlformats.org/package/2006/relationships"><Relationship Id="rId3" Type="http://schemas.microsoft.com/office/2011/relationships/chartColorStyle" Target="colors23.xml"/><Relationship Id="rId2" Type="http://schemas.microsoft.com/office/2011/relationships/chartStyle" Target="style23.xml"/><Relationship Id="rId1" Type="http://schemas.openxmlformats.org/officeDocument/2006/relationships/package" Target="../embeddings/Workbook23.xlsx"/></Relationships>
</file>

<file path=word/charts/_rels/chart24.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package" Target="../embeddings/Workbook3.xlsx"/></Relationships>
</file>

<file path=word/charts/_rels/chart25.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package" Target="../embeddings/Workbook4.xlsx"/></Relationships>
</file>

<file path=word/charts/_rels/chart26.xml.rels><?xml version="1.0" encoding="UTF-8" standalone="yes"?>
<Relationships xmlns="http://schemas.openxmlformats.org/package/2006/relationships"><Relationship Id="rId3" Type="http://schemas.microsoft.com/office/2011/relationships/chartColorStyle" Target="colors5.xml"/><Relationship Id="rId2" Type="http://schemas.microsoft.com/office/2011/relationships/chartStyle" Target="style5.xml"/><Relationship Id="rId1" Type="http://schemas.openxmlformats.org/officeDocument/2006/relationships/package" Target="../embeddings/Workbook5.xlsx"/></Relationships>
</file>

<file path=word/charts/_rels/chart3.xml.rels><?xml version="1.0" encoding="UTF-8" standalone="yes"?>
<Relationships xmlns="http://schemas.openxmlformats.org/package/2006/relationships"><Relationship Id="rId3" Type="http://schemas.microsoft.com/office/2011/relationships/chartColorStyle" Target="colors18.xml"/><Relationship Id="rId2" Type="http://schemas.microsoft.com/office/2011/relationships/chartStyle" Target="style18.xml"/><Relationship Id="rId1" Type="http://schemas.openxmlformats.org/officeDocument/2006/relationships/package" Target="../embeddings/Workbook18.xlsx"/></Relationships>
</file>

<file path=word/charts/_rels/chart4.xml.rels><?xml version="1.0" encoding="UTF-8" standalone="yes"?>
<Relationships xmlns="http://schemas.openxmlformats.org/package/2006/relationships"><Relationship Id="rId3" Type="http://schemas.microsoft.com/office/2011/relationships/chartColorStyle" Target="colors20.xml"/><Relationship Id="rId2" Type="http://schemas.microsoft.com/office/2011/relationships/chartStyle" Target="style20.xml"/><Relationship Id="rId1" Type="http://schemas.openxmlformats.org/officeDocument/2006/relationships/package" Target="../embeddings/Workbook20.xlsx"/></Relationships>
</file>

<file path=word/charts/_rels/chart5.xml.rels><?xml version="1.0" encoding="UTF-8" standalone="yes"?>
<Relationships xmlns="http://schemas.openxmlformats.org/package/2006/relationships"><Relationship Id="rId3" Type="http://schemas.microsoft.com/office/2011/relationships/chartColorStyle" Target="colors17.xml"/><Relationship Id="rId2" Type="http://schemas.microsoft.com/office/2011/relationships/chartStyle" Target="style17.xml"/><Relationship Id="rId1" Type="http://schemas.openxmlformats.org/officeDocument/2006/relationships/package" Target="../embeddings/Workbook17.xlsx"/></Relationships>
</file>

<file path=word/charts/_rels/chart6.xml.rels><?xml version="1.0" encoding="UTF-8" standalone="yes"?>
<Relationships xmlns="http://schemas.openxmlformats.org/package/2006/relationships"><Relationship Id="rId3" Type="http://schemas.microsoft.com/office/2011/relationships/chartColorStyle" Target="colors19.xml"/><Relationship Id="rId2" Type="http://schemas.microsoft.com/office/2011/relationships/chartStyle" Target="style19.xml"/><Relationship Id="rId1" Type="http://schemas.openxmlformats.org/officeDocument/2006/relationships/package" Target="../embeddings/Workbook19.xlsx"/></Relationships>
</file>

<file path=word/charts/_rels/chart7.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package" Target="../embeddings/Workbook16.xlsx"/></Relationships>
</file>

<file path=word/charts/_rels/chart8.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package" Target="../embeddings/Workbook15.xlsx"/></Relationships>
</file>

<file path=word/charts/_rels/chart9.xml.rels><?xml version="1.0" encoding="UTF-8" standalone="yes"?>
<Relationships xmlns="http://schemas.openxmlformats.org/package/2006/relationships"><Relationship Id="rId3" Type="http://schemas.microsoft.com/office/2011/relationships/chartColorStyle" Target="colors13.xml"/><Relationship Id="rId2" Type="http://schemas.microsoft.com/office/2011/relationships/chartStyle" Target="style13.xml"/><Relationship Id="rId1" Type="http://schemas.openxmlformats.org/officeDocument/2006/relationships/package" Target="../embeddings/Workbook13.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线路日均客流强度统计</a:t>
            </a:r>
            <a:endParaRPr lang="en-US" altLang="zh-CN"/>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系列 1</c:v>
                </c:pt>
              </c:strCache>
            </c:strRef>
          </c:tx>
          <c:spPr>
            <a:solidFill>
              <a:schemeClr val="accent1"/>
            </a:solidFill>
            <a:ln>
              <a:noFill/>
            </a:ln>
            <a:effectLst/>
          </c:spPr>
          <c:invertIfNegative val="0"/>
          <c:dPt>
            <c:idx val="17"/>
            <c:invertIfNegative val="0"/>
            <c:bubble3D val="0"/>
            <c:spPr>
              <a:solidFill>
                <a:srgbClr val="C0000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Sheet1!$B$2:$B$19</c:f>
              <c:numCache>
                <c:formatCode>General</c:formatCode>
                <c:ptCount val="18"/>
                <c:pt idx="0">
                  <c:v>513</c:v>
                </c:pt>
                <c:pt idx="1">
                  <c:v>305</c:v>
                </c:pt>
                <c:pt idx="2">
                  <c:v>384</c:v>
                </c:pt>
                <c:pt idx="3">
                  <c:v>338</c:v>
                </c:pt>
                <c:pt idx="4">
                  <c:v>307</c:v>
                </c:pt>
                <c:pt idx="5">
                  <c:v>209</c:v>
                </c:pt>
                <c:pt idx="6">
                  <c:v>127</c:v>
                </c:pt>
                <c:pt idx="7">
                  <c:v>35</c:v>
                </c:pt>
                <c:pt idx="8">
                  <c:v>353</c:v>
                </c:pt>
                <c:pt idx="9">
                  <c:v>18</c:v>
                </c:pt>
                <c:pt idx="10">
                  <c:v>301</c:v>
                </c:pt>
                <c:pt idx="11">
                  <c:v>73</c:v>
                </c:pt>
                <c:pt idx="12">
                  <c:v>257</c:v>
                </c:pt>
                <c:pt idx="13">
                  <c:v>140</c:v>
                </c:pt>
                <c:pt idx="14">
                  <c:v>45</c:v>
                </c:pt>
                <c:pt idx="15">
                  <c:v>91</c:v>
                </c:pt>
                <c:pt idx="16">
                  <c:v>256</c:v>
                </c:pt>
                <c:pt idx="17">
                  <c:v>226</c:v>
                </c:pt>
              </c:numCache>
            </c:numRef>
          </c:val>
        </c:ser>
        <c:ser>
          <c:idx val="2"/>
          <c:order val="2"/>
          <c:tx>
            <c:strRef>
              <c:f>Sheet1!$C$1</c:f>
              <c:strCache>
                <c:ptCount val="1"/>
                <c:pt idx="0">
                  <c:v>系列 3</c:v>
                </c:pt>
              </c:strCache>
            </c:strRef>
          </c:tx>
          <c:spPr>
            <a:solidFill>
              <a:schemeClr val="accent3"/>
            </a:solidFill>
            <a:ln>
              <a:noFill/>
            </a:ln>
            <a:effectLst/>
          </c:spPr>
          <c:invertIfNegative val="0"/>
          <c:dLbls>
            <c:delete val="1"/>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Sheet1!#REF!</c:f>
              <c:numCache>
                <c:formatCode>General</c:formatCode>
                <c:ptCount val="1"/>
                <c:pt idx="0">
                  <c:v>1</c:v>
                </c:pt>
              </c:numCache>
            </c:numRef>
          </c:val>
        </c:ser>
        <c:dLbls>
          <c:showLegendKey val="0"/>
          <c:showVal val="0"/>
          <c:showCatName val="0"/>
          <c:showSerName val="0"/>
          <c:showPercent val="0"/>
          <c:showBubbleSize val="0"/>
        </c:dLbls>
        <c:gapWidth val="219"/>
        <c:axId val="1060632880"/>
        <c:axId val="1060650832"/>
      </c:barChart>
      <c:lineChart>
        <c:grouping val="standard"/>
        <c:varyColors val="0"/>
        <c:ser>
          <c:idx val="1"/>
          <c:order val="1"/>
          <c:tx>
            <c:strRef>
              <c:f>Sheet1!#REF!</c:f>
              <c:strCache>
                <c:ptCount val="1"/>
                <c:pt idx="0">
                  <c:v>#REF!</c:v>
                </c:pt>
              </c:strCache>
            </c:strRef>
          </c:tx>
          <c:spPr>
            <a:ln w="28575" cap="rnd">
              <a:solidFill>
                <a:schemeClr val="accent2"/>
              </a:solidFill>
              <a:round/>
            </a:ln>
            <a:effectLst/>
          </c:spPr>
          <c:marker>
            <c:symbol val="none"/>
          </c:marker>
          <c:dLbls>
            <c:delete val="1"/>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Sheet1!$C$2:$C$19</c:f>
              <c:numCache>
                <c:formatCode>General</c:formatCode>
                <c:ptCount val="18"/>
                <c:pt idx="0">
                  <c:v>226</c:v>
                </c:pt>
                <c:pt idx="1">
                  <c:v>226</c:v>
                </c:pt>
                <c:pt idx="2">
                  <c:v>226</c:v>
                </c:pt>
                <c:pt idx="3">
                  <c:v>226</c:v>
                </c:pt>
                <c:pt idx="4">
                  <c:v>226</c:v>
                </c:pt>
                <c:pt idx="5">
                  <c:v>226</c:v>
                </c:pt>
                <c:pt idx="6">
                  <c:v>226</c:v>
                </c:pt>
                <c:pt idx="7">
                  <c:v>226</c:v>
                </c:pt>
                <c:pt idx="8">
                  <c:v>226</c:v>
                </c:pt>
                <c:pt idx="9">
                  <c:v>226</c:v>
                </c:pt>
                <c:pt idx="10">
                  <c:v>226</c:v>
                </c:pt>
                <c:pt idx="11">
                  <c:v>226</c:v>
                </c:pt>
                <c:pt idx="12">
                  <c:v>226</c:v>
                </c:pt>
                <c:pt idx="13">
                  <c:v>226</c:v>
                </c:pt>
                <c:pt idx="14">
                  <c:v>226</c:v>
                </c:pt>
                <c:pt idx="15">
                  <c:v>226</c:v>
                </c:pt>
                <c:pt idx="16">
                  <c:v>226</c:v>
                </c:pt>
                <c:pt idx="17">
                  <c:v>226</c:v>
                </c:pt>
              </c:numCache>
            </c:numRef>
          </c:val>
          <c:smooth val="0"/>
        </c:ser>
        <c:dLbls>
          <c:showLegendKey val="0"/>
          <c:showVal val="0"/>
          <c:showCatName val="0"/>
          <c:showSerName val="0"/>
          <c:showPercent val="0"/>
          <c:showBubbleSize val="0"/>
        </c:dLbls>
        <c:marker val="0"/>
        <c:smooth val="0"/>
        <c:axId val="1060632880"/>
        <c:axId val="1060650832"/>
      </c:lineChart>
      <c:catAx>
        <c:axId val="106063288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线路名称</a:t>
                </a:r>
                <a:endParaRPr lang="zh-CN" altLang="en-US"/>
              </a:p>
            </c:rich>
          </c:tx>
          <c:layout>
            <c:manualLayout>
              <c:xMode val="edge"/>
              <c:yMode val="edge"/>
              <c:x val="0.445407835337703"/>
              <c:y val="0.888544891640867"/>
            </c:manualLayout>
          </c:layout>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50832"/>
        <c:crosses val="autoZero"/>
        <c:auto val="1"/>
        <c:lblAlgn val="ctr"/>
        <c:lblOffset val="100"/>
        <c:noMultiLvlLbl val="0"/>
      </c:catAx>
      <c:valAx>
        <c:axId val="10606508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zh-CN" altLang="en-US">
                    <a:latin typeface="Times New Roman" panose="02020603050405020304" charset="0"/>
                    <a:cs typeface="Times New Roman" panose="02020603050405020304" charset="0"/>
                  </a:rPr>
                  <a:t>线路日均客流强度（人次</a:t>
                </a:r>
                <a:r>
                  <a:rPr lang="en-US" altLang="zh-CN">
                    <a:latin typeface="Times New Roman" panose="02020603050405020304" charset="0"/>
                    <a:cs typeface="Times New Roman" panose="02020603050405020304" charset="0"/>
                  </a:rPr>
                  <a:t>/km</a:t>
                </a:r>
                <a:r>
                  <a:rPr lang="zh-CN" altLang="en-US">
                    <a:latin typeface="Times New Roman" panose="02020603050405020304" charset="0"/>
                    <a:cs typeface="Times New Roman" panose="02020603050405020304" charset="0"/>
                  </a:rPr>
                  <a:t>）</a:t>
                </a:r>
                <a:endParaRPr lang="zh-CN" altLang="en-US">
                  <a:latin typeface="Times New Roman" panose="02020603050405020304" charset="0"/>
                  <a:cs typeface="Times New Roman" panose="02020603050405020304" charset="0"/>
                </a:endParaRPr>
              </a:p>
            </c:rich>
          </c:tx>
          <c:layout/>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328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Sheet1!$A$2:$A$16</c:f>
              <c:strCache>
                <c:ptCount val="15"/>
                <c:pt idx="0">
                  <c:v>城东高铁站</c:v>
                </c:pt>
                <c:pt idx="1">
                  <c:v>航向九义校</c:v>
                </c:pt>
                <c:pt idx="2">
                  <c:v>演艺中心</c:v>
                </c:pt>
                <c:pt idx="3">
                  <c:v>字库山公园</c:v>
                </c:pt>
                <c:pt idx="4">
                  <c:v>遂资眉高速路口</c:v>
                </c:pt>
                <c:pt idx="5">
                  <c:v>区职教中心</c:v>
                </c:pt>
                <c:pt idx="6">
                  <c:v>李家湾</c:v>
                </c:pt>
                <c:pt idx="7">
                  <c:v>城东中医院（黄泥村）</c:v>
                </c:pt>
                <c:pt idx="8">
                  <c:v>沱二桥</c:v>
                </c:pt>
                <c:pt idx="9">
                  <c:v>铁路桥</c:v>
                </c:pt>
                <c:pt idx="10">
                  <c:v>资阳钢管厂</c:v>
                </c:pt>
                <c:pt idx="11">
                  <c:v>百威啤酒厂</c:v>
                </c:pt>
                <c:pt idx="12">
                  <c:v>甘家坪</c:v>
                </c:pt>
                <c:pt idx="13">
                  <c:v>南骏产业园</c:v>
                </c:pt>
                <c:pt idx="14">
                  <c:v>汽车客运中心</c:v>
                </c:pt>
              </c:strCache>
            </c:strRef>
          </c:cat>
          <c:val>
            <c:numRef>
              <c:f>Sheet1!$B$2:$B$16</c:f>
              <c:numCache>
                <c:formatCode>General</c:formatCode>
                <c:ptCount val="15"/>
                <c:pt idx="0">
                  <c:v>3</c:v>
                </c:pt>
                <c:pt idx="1">
                  <c:v>3</c:v>
                </c:pt>
                <c:pt idx="2">
                  <c:v>3</c:v>
                </c:pt>
                <c:pt idx="3">
                  <c:v>3</c:v>
                </c:pt>
                <c:pt idx="4">
                  <c:v>3</c:v>
                </c:pt>
                <c:pt idx="5">
                  <c:v>3</c:v>
                </c:pt>
                <c:pt idx="6">
                  <c:v>3</c:v>
                </c:pt>
                <c:pt idx="7">
                  <c:v>6</c:v>
                </c:pt>
                <c:pt idx="8">
                  <c:v>6</c:v>
                </c:pt>
                <c:pt idx="9">
                  <c:v>6</c:v>
                </c:pt>
                <c:pt idx="10">
                  <c:v>6</c:v>
                </c:pt>
                <c:pt idx="11">
                  <c:v>6</c:v>
                </c:pt>
                <c:pt idx="12">
                  <c:v>6</c:v>
                </c:pt>
                <c:pt idx="13">
                  <c:v>6</c:v>
                </c:pt>
                <c:pt idx="14">
                  <c:v>6</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Sheet1!$A$2:$A$16</c:f>
              <c:strCache>
                <c:ptCount val="15"/>
                <c:pt idx="0">
                  <c:v>城东高铁站</c:v>
                </c:pt>
                <c:pt idx="1">
                  <c:v>航向九义校</c:v>
                </c:pt>
                <c:pt idx="2">
                  <c:v>演艺中心</c:v>
                </c:pt>
                <c:pt idx="3">
                  <c:v>字库山公园</c:v>
                </c:pt>
                <c:pt idx="4">
                  <c:v>遂资眉高速路口</c:v>
                </c:pt>
                <c:pt idx="5">
                  <c:v>区职教中心</c:v>
                </c:pt>
                <c:pt idx="6">
                  <c:v>李家湾</c:v>
                </c:pt>
                <c:pt idx="7">
                  <c:v>城东中医院（黄泥村）</c:v>
                </c:pt>
                <c:pt idx="8">
                  <c:v>沱二桥</c:v>
                </c:pt>
                <c:pt idx="9">
                  <c:v>铁路桥</c:v>
                </c:pt>
                <c:pt idx="10">
                  <c:v>资阳钢管厂</c:v>
                </c:pt>
                <c:pt idx="11">
                  <c:v>百威啤酒厂</c:v>
                </c:pt>
                <c:pt idx="12">
                  <c:v>甘家坪</c:v>
                </c:pt>
                <c:pt idx="13">
                  <c:v>南骏产业园</c:v>
                </c:pt>
                <c:pt idx="14">
                  <c:v>汽车客运中心</c:v>
                </c:pt>
              </c:strCache>
            </c:strRef>
          </c:cat>
          <c:val>
            <c:numRef>
              <c:f>Sheet1!$C$2:$C$16</c:f>
              <c:numCache>
                <c:formatCode>General</c:formatCode>
                <c:ptCount val="15"/>
                <c:pt idx="0">
                  <c:v>0</c:v>
                </c:pt>
                <c:pt idx="1">
                  <c:v>1</c:v>
                </c:pt>
                <c:pt idx="2">
                  <c:v>1</c:v>
                </c:pt>
                <c:pt idx="3">
                  <c:v>1</c:v>
                </c:pt>
                <c:pt idx="4">
                  <c:v>3</c:v>
                </c:pt>
                <c:pt idx="5">
                  <c:v>5</c:v>
                </c:pt>
                <c:pt idx="6">
                  <c:v>5</c:v>
                </c:pt>
                <c:pt idx="7">
                  <c:v>6</c:v>
                </c:pt>
                <c:pt idx="8">
                  <c:v>6</c:v>
                </c:pt>
                <c:pt idx="9">
                  <c:v>6</c:v>
                </c:pt>
                <c:pt idx="10">
                  <c:v>6</c:v>
                </c:pt>
                <c:pt idx="11">
                  <c:v>5</c:v>
                </c:pt>
                <c:pt idx="12">
                  <c:v>5</c:v>
                </c:pt>
                <c:pt idx="13">
                  <c:v>0</c:v>
                </c:pt>
                <c:pt idx="14">
                  <c:v>0</c:v>
                </c:pt>
              </c:numCache>
            </c:numRef>
          </c:val>
          <c:smooth val="0"/>
        </c:ser>
        <c:dLbls>
          <c:showLegendKey val="0"/>
          <c:showVal val="0"/>
          <c:showCatName val="0"/>
          <c:showSerName val="0"/>
          <c:showPercent val="0"/>
          <c:showBubbleSize val="0"/>
        </c:dLbls>
        <c:marker val="0"/>
        <c:smooth val="0"/>
        <c:axId val="1060631792"/>
        <c:axId val="1060646480"/>
      </c:lineChart>
      <c:catAx>
        <c:axId val="10606317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6480"/>
        <c:crosses val="autoZero"/>
        <c:auto val="1"/>
        <c:lblAlgn val="ctr"/>
        <c:lblOffset val="100"/>
        <c:noMultiLvlLbl val="0"/>
      </c:catAx>
      <c:valAx>
        <c:axId val="10606464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31792"/>
        <c:crosses val="autoZero"/>
        <c:crossBetween val="between"/>
        <c:majorUnit val="1"/>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Sheet1!$A$2:$A$31</c:f>
              <c:strCache>
                <c:ptCount val="30"/>
                <c:pt idx="0">
                  <c:v>城东高铁站</c:v>
                </c:pt>
                <c:pt idx="1">
                  <c:v>航向九义校</c:v>
                </c:pt>
                <c:pt idx="2">
                  <c:v>演艺中心</c:v>
                </c:pt>
                <c:pt idx="3">
                  <c:v>字库山公园</c:v>
                </c:pt>
                <c:pt idx="4">
                  <c:v>遂资眉高速路口</c:v>
                </c:pt>
                <c:pt idx="5">
                  <c:v>区职教中心</c:v>
                </c:pt>
                <c:pt idx="6">
                  <c:v>玫瑰苑</c:v>
                </c:pt>
                <c:pt idx="7">
                  <c:v>城东区政府</c:v>
                </c:pt>
                <c:pt idx="8">
                  <c:v>天生花苑</c:v>
                </c:pt>
                <c:pt idx="9">
                  <c:v>沱三桥东</c:v>
                </c:pt>
                <c:pt idx="10">
                  <c:v>滨江游乐场</c:v>
                </c:pt>
                <c:pt idx="11">
                  <c:v>东福四区</c:v>
                </c:pt>
                <c:pt idx="12">
                  <c:v>排涝站</c:v>
                </c:pt>
                <c:pt idx="13">
                  <c:v>苌弘广场</c:v>
                </c:pt>
                <c:pt idx="14">
                  <c:v>师范校</c:v>
                </c:pt>
                <c:pt idx="15">
                  <c:v>南门口</c:v>
                </c:pt>
                <c:pt idx="16">
                  <c:v>百货大楼</c:v>
                </c:pt>
                <c:pt idx="17">
                  <c:v>桥亭子</c:v>
                </c:pt>
                <c:pt idx="18">
                  <c:v>上西街口</c:v>
                </c:pt>
                <c:pt idx="19">
                  <c:v>水工局</c:v>
                </c:pt>
                <c:pt idx="20">
                  <c:v>西门市场</c:v>
                </c:pt>
                <c:pt idx="21">
                  <c:v>交警一大队</c:v>
                </c:pt>
                <c:pt idx="22">
                  <c:v>电信大楼</c:v>
                </c:pt>
                <c:pt idx="23">
                  <c:v>四三一总厂</c:v>
                </c:pt>
                <c:pt idx="24">
                  <c:v>天宇市场</c:v>
                </c:pt>
                <c:pt idx="25">
                  <c:v>市公安局</c:v>
                </c:pt>
                <c:pt idx="26">
                  <c:v>狮子山</c:v>
                </c:pt>
                <c:pt idx="27">
                  <c:v>馨合家园</c:v>
                </c:pt>
                <c:pt idx="28">
                  <c:v>春天半岛</c:v>
                </c:pt>
                <c:pt idx="29">
                  <c:v>教育园区</c:v>
                </c:pt>
              </c:strCache>
            </c:strRef>
          </c:cat>
          <c:val>
            <c:numRef>
              <c:f>Sheet1!$B$2:$B$31</c:f>
              <c:numCache>
                <c:formatCode>General</c:formatCode>
                <c:ptCount val="30"/>
                <c:pt idx="0">
                  <c:v>0</c:v>
                </c:pt>
                <c:pt idx="1">
                  <c:v>0</c:v>
                </c:pt>
                <c:pt idx="2">
                  <c:v>0</c:v>
                </c:pt>
                <c:pt idx="3">
                  <c:v>1</c:v>
                </c:pt>
                <c:pt idx="4">
                  <c:v>3</c:v>
                </c:pt>
                <c:pt idx="5">
                  <c:v>5</c:v>
                </c:pt>
                <c:pt idx="6">
                  <c:v>12</c:v>
                </c:pt>
                <c:pt idx="7">
                  <c:v>13</c:v>
                </c:pt>
                <c:pt idx="8">
                  <c:v>22</c:v>
                </c:pt>
                <c:pt idx="9">
                  <c:v>22</c:v>
                </c:pt>
                <c:pt idx="10">
                  <c:v>35</c:v>
                </c:pt>
                <c:pt idx="11">
                  <c:v>35</c:v>
                </c:pt>
                <c:pt idx="12">
                  <c:v>37</c:v>
                </c:pt>
                <c:pt idx="13">
                  <c:v>33</c:v>
                </c:pt>
                <c:pt idx="14">
                  <c:v>28</c:v>
                </c:pt>
                <c:pt idx="15">
                  <c:v>27</c:v>
                </c:pt>
                <c:pt idx="16">
                  <c:v>28</c:v>
                </c:pt>
                <c:pt idx="17">
                  <c:v>28</c:v>
                </c:pt>
                <c:pt idx="18">
                  <c:v>27</c:v>
                </c:pt>
                <c:pt idx="19">
                  <c:v>31</c:v>
                </c:pt>
                <c:pt idx="20">
                  <c:v>26</c:v>
                </c:pt>
                <c:pt idx="21">
                  <c:v>27</c:v>
                </c:pt>
                <c:pt idx="22">
                  <c:v>26</c:v>
                </c:pt>
                <c:pt idx="23">
                  <c:v>23</c:v>
                </c:pt>
                <c:pt idx="24">
                  <c:v>20</c:v>
                </c:pt>
                <c:pt idx="25">
                  <c:v>17</c:v>
                </c:pt>
                <c:pt idx="26">
                  <c:v>9</c:v>
                </c:pt>
                <c:pt idx="27">
                  <c:v>8</c:v>
                </c:pt>
                <c:pt idx="28">
                  <c:v>6</c:v>
                </c:pt>
                <c:pt idx="29">
                  <c:v>2</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Sheet1!$A$2:$A$31</c:f>
              <c:strCache>
                <c:ptCount val="30"/>
                <c:pt idx="0">
                  <c:v>城东高铁站</c:v>
                </c:pt>
                <c:pt idx="1">
                  <c:v>航向九义校</c:v>
                </c:pt>
                <c:pt idx="2">
                  <c:v>演艺中心</c:v>
                </c:pt>
                <c:pt idx="3">
                  <c:v>字库山公园</c:v>
                </c:pt>
                <c:pt idx="4">
                  <c:v>遂资眉高速路口</c:v>
                </c:pt>
                <c:pt idx="5">
                  <c:v>区职教中心</c:v>
                </c:pt>
                <c:pt idx="6">
                  <c:v>玫瑰苑</c:v>
                </c:pt>
                <c:pt idx="7">
                  <c:v>城东区政府</c:v>
                </c:pt>
                <c:pt idx="8">
                  <c:v>天生花苑</c:v>
                </c:pt>
                <c:pt idx="9">
                  <c:v>沱三桥东</c:v>
                </c:pt>
                <c:pt idx="10">
                  <c:v>滨江游乐场</c:v>
                </c:pt>
                <c:pt idx="11">
                  <c:v>东福四区</c:v>
                </c:pt>
                <c:pt idx="12">
                  <c:v>排涝站</c:v>
                </c:pt>
                <c:pt idx="13">
                  <c:v>苌弘广场</c:v>
                </c:pt>
                <c:pt idx="14">
                  <c:v>师范校</c:v>
                </c:pt>
                <c:pt idx="15">
                  <c:v>南门口</c:v>
                </c:pt>
                <c:pt idx="16">
                  <c:v>百货大楼</c:v>
                </c:pt>
                <c:pt idx="17">
                  <c:v>桥亭子</c:v>
                </c:pt>
                <c:pt idx="18">
                  <c:v>上西街口</c:v>
                </c:pt>
                <c:pt idx="19">
                  <c:v>水工局</c:v>
                </c:pt>
                <c:pt idx="20">
                  <c:v>西门市场</c:v>
                </c:pt>
                <c:pt idx="21">
                  <c:v>交警一大队</c:v>
                </c:pt>
                <c:pt idx="22">
                  <c:v>电信大楼</c:v>
                </c:pt>
                <c:pt idx="23">
                  <c:v>四三一总厂</c:v>
                </c:pt>
                <c:pt idx="24">
                  <c:v>天宇市场</c:v>
                </c:pt>
                <c:pt idx="25">
                  <c:v>市公安局</c:v>
                </c:pt>
                <c:pt idx="26">
                  <c:v>狮子山</c:v>
                </c:pt>
                <c:pt idx="27">
                  <c:v>馨合家园</c:v>
                </c:pt>
                <c:pt idx="28">
                  <c:v>春天半岛</c:v>
                </c:pt>
                <c:pt idx="29">
                  <c:v>教育园区</c:v>
                </c:pt>
              </c:strCache>
            </c:strRef>
          </c:cat>
          <c:val>
            <c:numRef>
              <c:f>Sheet1!$C$2:$C$31</c:f>
              <c:numCache>
                <c:formatCode>General</c:formatCode>
                <c:ptCount val="30"/>
                <c:pt idx="0">
                  <c:v>0</c:v>
                </c:pt>
                <c:pt idx="1">
                  <c:v>0</c:v>
                </c:pt>
                <c:pt idx="2">
                  <c:v>0</c:v>
                </c:pt>
                <c:pt idx="3">
                  <c:v>0</c:v>
                </c:pt>
                <c:pt idx="4">
                  <c:v>0</c:v>
                </c:pt>
                <c:pt idx="5">
                  <c:v>1</c:v>
                </c:pt>
                <c:pt idx="6">
                  <c:v>3</c:v>
                </c:pt>
                <c:pt idx="7">
                  <c:v>7</c:v>
                </c:pt>
                <c:pt idx="8">
                  <c:v>10</c:v>
                </c:pt>
                <c:pt idx="9">
                  <c:v>15</c:v>
                </c:pt>
                <c:pt idx="10">
                  <c:v>15</c:v>
                </c:pt>
                <c:pt idx="11">
                  <c:v>15</c:v>
                </c:pt>
                <c:pt idx="12">
                  <c:v>19</c:v>
                </c:pt>
                <c:pt idx="13">
                  <c:v>18</c:v>
                </c:pt>
                <c:pt idx="14">
                  <c:v>17</c:v>
                </c:pt>
                <c:pt idx="15">
                  <c:v>16</c:v>
                </c:pt>
                <c:pt idx="16">
                  <c:v>17</c:v>
                </c:pt>
                <c:pt idx="17">
                  <c:v>18</c:v>
                </c:pt>
                <c:pt idx="18">
                  <c:v>19</c:v>
                </c:pt>
                <c:pt idx="19">
                  <c:v>17</c:v>
                </c:pt>
                <c:pt idx="20">
                  <c:v>17</c:v>
                </c:pt>
                <c:pt idx="21">
                  <c:v>14</c:v>
                </c:pt>
                <c:pt idx="22">
                  <c:v>13</c:v>
                </c:pt>
                <c:pt idx="23">
                  <c:v>12</c:v>
                </c:pt>
                <c:pt idx="24">
                  <c:v>7</c:v>
                </c:pt>
                <c:pt idx="25">
                  <c:v>7</c:v>
                </c:pt>
                <c:pt idx="26">
                  <c:v>5</c:v>
                </c:pt>
                <c:pt idx="27">
                  <c:v>3</c:v>
                </c:pt>
                <c:pt idx="28">
                  <c:v>2</c:v>
                </c:pt>
                <c:pt idx="29">
                  <c:v>0</c:v>
                </c:pt>
              </c:numCache>
            </c:numRef>
          </c:val>
          <c:smooth val="0"/>
        </c:ser>
        <c:dLbls>
          <c:showLegendKey val="0"/>
          <c:showVal val="0"/>
          <c:showCatName val="0"/>
          <c:showSerName val="0"/>
          <c:showPercent val="0"/>
          <c:showBubbleSize val="0"/>
        </c:dLbls>
        <c:marker val="0"/>
        <c:smooth val="0"/>
        <c:axId val="1060654640"/>
        <c:axId val="1060655184"/>
      </c:lineChart>
      <c:catAx>
        <c:axId val="1060654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55184"/>
        <c:crosses val="autoZero"/>
        <c:auto val="1"/>
        <c:lblAlgn val="ctr"/>
        <c:lblOffset val="100"/>
        <c:noMultiLvlLbl val="0"/>
      </c:catAx>
      <c:valAx>
        <c:axId val="10606551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546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Sheet1!$A$2:$A$31</c:f>
              <c:strCache>
                <c:ptCount val="30"/>
                <c:pt idx="0">
                  <c:v>教育园区</c:v>
                </c:pt>
                <c:pt idx="1">
                  <c:v>春天半岛</c:v>
                </c:pt>
                <c:pt idx="2">
                  <c:v>馨合家园</c:v>
                </c:pt>
                <c:pt idx="3">
                  <c:v>狮子山</c:v>
                </c:pt>
                <c:pt idx="4">
                  <c:v>市公安局</c:v>
                </c:pt>
                <c:pt idx="5">
                  <c:v>天宇市场</c:v>
                </c:pt>
                <c:pt idx="6">
                  <c:v>四三一总厂</c:v>
                </c:pt>
                <c:pt idx="7">
                  <c:v>电信大楼</c:v>
                </c:pt>
                <c:pt idx="8">
                  <c:v>交警一大队</c:v>
                </c:pt>
                <c:pt idx="9">
                  <c:v>西门市场</c:v>
                </c:pt>
                <c:pt idx="10">
                  <c:v>水工局</c:v>
                </c:pt>
                <c:pt idx="11">
                  <c:v>上西街口</c:v>
                </c:pt>
                <c:pt idx="12">
                  <c:v>桥亭子</c:v>
                </c:pt>
                <c:pt idx="13">
                  <c:v>百货大楼</c:v>
                </c:pt>
                <c:pt idx="14">
                  <c:v>南门口</c:v>
                </c:pt>
                <c:pt idx="15">
                  <c:v>师范校</c:v>
                </c:pt>
                <c:pt idx="16">
                  <c:v>苌弘广场</c:v>
                </c:pt>
                <c:pt idx="17">
                  <c:v>排涝站</c:v>
                </c:pt>
                <c:pt idx="18">
                  <c:v>东福四区</c:v>
                </c:pt>
                <c:pt idx="19">
                  <c:v>滨江游乐场</c:v>
                </c:pt>
                <c:pt idx="20">
                  <c:v>沱三桥东</c:v>
                </c:pt>
                <c:pt idx="21">
                  <c:v>天生花苑</c:v>
                </c:pt>
                <c:pt idx="22">
                  <c:v>城东区政府</c:v>
                </c:pt>
                <c:pt idx="23">
                  <c:v>玫瑰苑</c:v>
                </c:pt>
                <c:pt idx="24">
                  <c:v>区职教中心</c:v>
                </c:pt>
                <c:pt idx="25">
                  <c:v>遂资眉高速路口</c:v>
                </c:pt>
                <c:pt idx="26">
                  <c:v>字库山公园</c:v>
                </c:pt>
                <c:pt idx="27">
                  <c:v>演艺中心</c:v>
                </c:pt>
                <c:pt idx="28">
                  <c:v>航向九义校</c:v>
                </c:pt>
                <c:pt idx="29">
                  <c:v>城东高铁站</c:v>
                </c:pt>
              </c:strCache>
            </c:strRef>
          </c:cat>
          <c:val>
            <c:numRef>
              <c:f>Sheet1!$B$2:$B$31</c:f>
              <c:numCache>
                <c:formatCode>General</c:formatCode>
                <c:ptCount val="30"/>
                <c:pt idx="0">
                  <c:v>6</c:v>
                </c:pt>
                <c:pt idx="1">
                  <c:v>9</c:v>
                </c:pt>
                <c:pt idx="2">
                  <c:v>10</c:v>
                </c:pt>
                <c:pt idx="3">
                  <c:v>20</c:v>
                </c:pt>
                <c:pt idx="4">
                  <c:v>19</c:v>
                </c:pt>
                <c:pt idx="5">
                  <c:v>22</c:v>
                </c:pt>
                <c:pt idx="6">
                  <c:v>25</c:v>
                </c:pt>
                <c:pt idx="7">
                  <c:v>27</c:v>
                </c:pt>
                <c:pt idx="8">
                  <c:v>29</c:v>
                </c:pt>
                <c:pt idx="9">
                  <c:v>27</c:v>
                </c:pt>
                <c:pt idx="10">
                  <c:v>25</c:v>
                </c:pt>
                <c:pt idx="11">
                  <c:v>23</c:v>
                </c:pt>
                <c:pt idx="12">
                  <c:v>19</c:v>
                </c:pt>
                <c:pt idx="13">
                  <c:v>20</c:v>
                </c:pt>
                <c:pt idx="14">
                  <c:v>22</c:v>
                </c:pt>
                <c:pt idx="15">
                  <c:v>27</c:v>
                </c:pt>
                <c:pt idx="16">
                  <c:v>29</c:v>
                </c:pt>
                <c:pt idx="17">
                  <c:v>28</c:v>
                </c:pt>
                <c:pt idx="18">
                  <c:v>30</c:v>
                </c:pt>
                <c:pt idx="19">
                  <c:v>30</c:v>
                </c:pt>
                <c:pt idx="20">
                  <c:v>26</c:v>
                </c:pt>
                <c:pt idx="21">
                  <c:v>21</c:v>
                </c:pt>
                <c:pt idx="22">
                  <c:v>11</c:v>
                </c:pt>
                <c:pt idx="23">
                  <c:v>9</c:v>
                </c:pt>
                <c:pt idx="24">
                  <c:v>7</c:v>
                </c:pt>
                <c:pt idx="25">
                  <c:v>7</c:v>
                </c:pt>
                <c:pt idx="26">
                  <c:v>5</c:v>
                </c:pt>
                <c:pt idx="27">
                  <c:v>2</c:v>
                </c:pt>
                <c:pt idx="28">
                  <c:v>2</c:v>
                </c:pt>
                <c:pt idx="29">
                  <c:v>2</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Sheet1!$A$2:$A$31</c:f>
              <c:strCache>
                <c:ptCount val="30"/>
                <c:pt idx="0">
                  <c:v>教育园区</c:v>
                </c:pt>
                <c:pt idx="1">
                  <c:v>春天半岛</c:v>
                </c:pt>
                <c:pt idx="2">
                  <c:v>馨合家园</c:v>
                </c:pt>
                <c:pt idx="3">
                  <c:v>狮子山</c:v>
                </c:pt>
                <c:pt idx="4">
                  <c:v>市公安局</c:v>
                </c:pt>
                <c:pt idx="5">
                  <c:v>天宇市场</c:v>
                </c:pt>
                <c:pt idx="6">
                  <c:v>四三一总厂</c:v>
                </c:pt>
                <c:pt idx="7">
                  <c:v>电信大楼</c:v>
                </c:pt>
                <c:pt idx="8">
                  <c:v>交警一大队</c:v>
                </c:pt>
                <c:pt idx="9">
                  <c:v>西门市场</c:v>
                </c:pt>
                <c:pt idx="10">
                  <c:v>水工局</c:v>
                </c:pt>
                <c:pt idx="11">
                  <c:v>上西街口</c:v>
                </c:pt>
                <c:pt idx="12">
                  <c:v>桥亭子</c:v>
                </c:pt>
                <c:pt idx="13">
                  <c:v>百货大楼</c:v>
                </c:pt>
                <c:pt idx="14">
                  <c:v>南门口</c:v>
                </c:pt>
                <c:pt idx="15">
                  <c:v>师范校</c:v>
                </c:pt>
                <c:pt idx="16">
                  <c:v>苌弘广场</c:v>
                </c:pt>
                <c:pt idx="17">
                  <c:v>排涝站</c:v>
                </c:pt>
                <c:pt idx="18">
                  <c:v>东福四区</c:v>
                </c:pt>
                <c:pt idx="19">
                  <c:v>滨江游乐场</c:v>
                </c:pt>
                <c:pt idx="20">
                  <c:v>沱三桥东</c:v>
                </c:pt>
                <c:pt idx="21">
                  <c:v>天生花苑</c:v>
                </c:pt>
                <c:pt idx="22">
                  <c:v>城东区政府</c:v>
                </c:pt>
                <c:pt idx="23">
                  <c:v>玫瑰苑</c:v>
                </c:pt>
                <c:pt idx="24">
                  <c:v>区职教中心</c:v>
                </c:pt>
                <c:pt idx="25">
                  <c:v>遂资眉高速路口</c:v>
                </c:pt>
                <c:pt idx="26">
                  <c:v>字库山公园</c:v>
                </c:pt>
                <c:pt idx="27">
                  <c:v>演艺中心</c:v>
                </c:pt>
                <c:pt idx="28">
                  <c:v>航向九义校</c:v>
                </c:pt>
                <c:pt idx="29">
                  <c:v>城东高铁站</c:v>
                </c:pt>
              </c:strCache>
            </c:strRef>
          </c:cat>
          <c:val>
            <c:numRef>
              <c:f>Sheet1!$C$2:$C$31</c:f>
              <c:numCache>
                <c:formatCode>General</c:formatCode>
                <c:ptCount val="30"/>
                <c:pt idx="0">
                  <c:v>1</c:v>
                </c:pt>
                <c:pt idx="1">
                  <c:v>1</c:v>
                </c:pt>
                <c:pt idx="2">
                  <c:v>2</c:v>
                </c:pt>
                <c:pt idx="3">
                  <c:v>4</c:v>
                </c:pt>
                <c:pt idx="4">
                  <c:v>4</c:v>
                </c:pt>
                <c:pt idx="5">
                  <c:v>5</c:v>
                </c:pt>
                <c:pt idx="6">
                  <c:v>7</c:v>
                </c:pt>
                <c:pt idx="7">
                  <c:v>8</c:v>
                </c:pt>
                <c:pt idx="8">
                  <c:v>9</c:v>
                </c:pt>
                <c:pt idx="9">
                  <c:v>11</c:v>
                </c:pt>
                <c:pt idx="10">
                  <c:v>10</c:v>
                </c:pt>
                <c:pt idx="11">
                  <c:v>12</c:v>
                </c:pt>
                <c:pt idx="12">
                  <c:v>10</c:v>
                </c:pt>
                <c:pt idx="13">
                  <c:v>11</c:v>
                </c:pt>
                <c:pt idx="14">
                  <c:v>10</c:v>
                </c:pt>
                <c:pt idx="15">
                  <c:v>10</c:v>
                </c:pt>
                <c:pt idx="16">
                  <c:v>10</c:v>
                </c:pt>
                <c:pt idx="17">
                  <c:v>9</c:v>
                </c:pt>
                <c:pt idx="18">
                  <c:v>11</c:v>
                </c:pt>
                <c:pt idx="19">
                  <c:v>10</c:v>
                </c:pt>
                <c:pt idx="20">
                  <c:v>10</c:v>
                </c:pt>
                <c:pt idx="21">
                  <c:v>10</c:v>
                </c:pt>
                <c:pt idx="22">
                  <c:v>9</c:v>
                </c:pt>
                <c:pt idx="23">
                  <c:v>9</c:v>
                </c:pt>
                <c:pt idx="24">
                  <c:v>8</c:v>
                </c:pt>
                <c:pt idx="25">
                  <c:v>5</c:v>
                </c:pt>
                <c:pt idx="26">
                  <c:v>5</c:v>
                </c:pt>
                <c:pt idx="27">
                  <c:v>3</c:v>
                </c:pt>
                <c:pt idx="28">
                  <c:v>0</c:v>
                </c:pt>
                <c:pt idx="29">
                  <c:v>0</c:v>
                </c:pt>
              </c:numCache>
            </c:numRef>
          </c:val>
          <c:smooth val="0"/>
        </c:ser>
        <c:dLbls>
          <c:showLegendKey val="0"/>
          <c:showVal val="0"/>
          <c:showCatName val="0"/>
          <c:showSerName val="0"/>
          <c:showPercent val="0"/>
          <c:showBubbleSize val="0"/>
        </c:dLbls>
        <c:marker val="0"/>
        <c:smooth val="0"/>
        <c:axId val="1060624176"/>
        <c:axId val="1199461728"/>
      </c:lineChart>
      <c:catAx>
        <c:axId val="1060624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199461728"/>
        <c:crosses val="autoZero"/>
        <c:auto val="1"/>
        <c:lblAlgn val="ctr"/>
        <c:lblOffset val="100"/>
        <c:noMultiLvlLbl val="0"/>
      </c:catAx>
      <c:valAx>
        <c:axId val="11994617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2417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早高峰</c:v>
                </c:pt>
              </c:strCache>
            </c:strRef>
          </c:tx>
          <c:spPr>
            <a:ln w="28575" cap="rnd">
              <a:solidFill>
                <a:schemeClr val="accent1"/>
              </a:solidFill>
              <a:round/>
            </a:ln>
            <a:effectLst/>
          </c:spPr>
          <c:marker>
            <c:symbol val="none"/>
          </c:marker>
          <c:dLbls>
            <c:delete val="1"/>
          </c:dLbls>
          <c:cat>
            <c:strRef>
              <c:f>Sheet1!$A$2:$A$37</c:f>
              <c:strCache>
                <c:ptCount val="36"/>
                <c:pt idx="0">
                  <c:v>沱江新城</c:v>
                </c:pt>
                <c:pt idx="1">
                  <c:v>碧水丽都</c:v>
                </c:pt>
                <c:pt idx="2">
                  <c:v>青年林</c:v>
                </c:pt>
                <c:pt idx="3">
                  <c:v>金山名苑</c:v>
                </c:pt>
                <c:pt idx="4">
                  <c:v>沱三桥北</c:v>
                </c:pt>
                <c:pt idx="5">
                  <c:v>城北市场</c:v>
                </c:pt>
                <c:pt idx="6">
                  <c:v>资阳客运站</c:v>
                </c:pt>
                <c:pt idx="7">
                  <c:v>建东市场</c:v>
                </c:pt>
                <c:pt idx="8">
                  <c:v>政府东路口</c:v>
                </c:pt>
                <c:pt idx="9">
                  <c:v>区政府</c:v>
                </c:pt>
                <c:pt idx="10">
                  <c:v>百货大楼</c:v>
                </c:pt>
                <c:pt idx="11">
                  <c:v>市一医院</c:v>
                </c:pt>
                <c:pt idx="12">
                  <c:v>建设南路二段</c:v>
                </c:pt>
                <c:pt idx="13">
                  <c:v>资溪花园</c:v>
                </c:pt>
                <c:pt idx="14">
                  <c:v>九曲花园</c:v>
                </c:pt>
                <c:pt idx="15">
                  <c:v>西门桥街</c:v>
                </c:pt>
                <c:pt idx="16">
                  <c:v>台阳路</c:v>
                </c:pt>
                <c:pt idx="17">
                  <c:v>九曲河广场</c:v>
                </c:pt>
                <c:pt idx="18">
                  <c:v>黄泥巴山</c:v>
                </c:pt>
                <c:pt idx="19">
                  <c:v>市政府</c:v>
                </c:pt>
                <c:pt idx="20">
                  <c:v>河堰嘴</c:v>
                </c:pt>
                <c:pt idx="21">
                  <c:v>四三一总厂</c:v>
                </c:pt>
                <c:pt idx="22">
                  <c:v>天宇市场</c:v>
                </c:pt>
                <c:pt idx="23">
                  <c:v>市公安局</c:v>
                </c:pt>
                <c:pt idx="24">
                  <c:v>学苑路口</c:v>
                </c:pt>
                <c:pt idx="25">
                  <c:v>市委党校</c:v>
                </c:pt>
                <c:pt idx="26">
                  <c:v>教育园区文慧桥</c:v>
                </c:pt>
                <c:pt idx="27">
                  <c:v>春天半岛</c:v>
                </c:pt>
                <c:pt idx="28">
                  <c:v>馨合家园</c:v>
                </c:pt>
                <c:pt idx="29">
                  <c:v>市人民医院</c:v>
                </c:pt>
                <c:pt idx="30">
                  <c:v>筏子桥</c:v>
                </c:pt>
                <c:pt idx="31">
                  <c:v>友谊桥</c:v>
                </c:pt>
                <c:pt idx="32">
                  <c:v>二分厂</c:v>
                </c:pt>
                <c:pt idx="33">
                  <c:v>孙家湾</c:v>
                </c:pt>
                <c:pt idx="34">
                  <c:v>德圣疗养中心</c:v>
                </c:pt>
                <c:pt idx="35">
                  <c:v>玉柴公司</c:v>
                </c:pt>
              </c:strCache>
            </c:strRef>
          </c:cat>
          <c:val>
            <c:numRef>
              <c:f>Sheet1!$B$2:$B$37</c:f>
              <c:numCache>
                <c:formatCode>General</c:formatCode>
                <c:ptCount val="36"/>
                <c:pt idx="0">
                  <c:v>2</c:v>
                </c:pt>
                <c:pt idx="1">
                  <c:v>4</c:v>
                </c:pt>
                <c:pt idx="2">
                  <c:v>4</c:v>
                </c:pt>
                <c:pt idx="3">
                  <c:v>4</c:v>
                </c:pt>
                <c:pt idx="4">
                  <c:v>6</c:v>
                </c:pt>
                <c:pt idx="5">
                  <c:v>11</c:v>
                </c:pt>
                <c:pt idx="6">
                  <c:v>11</c:v>
                </c:pt>
                <c:pt idx="7">
                  <c:v>13</c:v>
                </c:pt>
                <c:pt idx="8">
                  <c:v>16</c:v>
                </c:pt>
                <c:pt idx="9">
                  <c:v>16</c:v>
                </c:pt>
                <c:pt idx="10">
                  <c:v>13</c:v>
                </c:pt>
                <c:pt idx="11">
                  <c:v>12</c:v>
                </c:pt>
                <c:pt idx="12">
                  <c:v>16</c:v>
                </c:pt>
                <c:pt idx="13">
                  <c:v>17</c:v>
                </c:pt>
                <c:pt idx="14">
                  <c:v>18</c:v>
                </c:pt>
                <c:pt idx="15">
                  <c:v>18</c:v>
                </c:pt>
                <c:pt idx="16">
                  <c:v>18</c:v>
                </c:pt>
                <c:pt idx="17">
                  <c:v>18</c:v>
                </c:pt>
                <c:pt idx="18">
                  <c:v>18</c:v>
                </c:pt>
                <c:pt idx="19">
                  <c:v>21</c:v>
                </c:pt>
                <c:pt idx="20">
                  <c:v>21</c:v>
                </c:pt>
                <c:pt idx="21">
                  <c:v>21</c:v>
                </c:pt>
                <c:pt idx="22">
                  <c:v>21</c:v>
                </c:pt>
                <c:pt idx="23">
                  <c:v>19</c:v>
                </c:pt>
                <c:pt idx="24">
                  <c:v>19</c:v>
                </c:pt>
                <c:pt idx="25">
                  <c:v>19</c:v>
                </c:pt>
                <c:pt idx="26">
                  <c:v>19</c:v>
                </c:pt>
                <c:pt idx="27">
                  <c:v>19</c:v>
                </c:pt>
                <c:pt idx="28">
                  <c:v>19</c:v>
                </c:pt>
                <c:pt idx="29">
                  <c:v>10</c:v>
                </c:pt>
                <c:pt idx="30">
                  <c:v>9</c:v>
                </c:pt>
                <c:pt idx="31">
                  <c:v>8</c:v>
                </c:pt>
                <c:pt idx="32">
                  <c:v>8</c:v>
                </c:pt>
                <c:pt idx="33">
                  <c:v>8</c:v>
                </c:pt>
                <c:pt idx="34">
                  <c:v>7</c:v>
                </c:pt>
                <c:pt idx="35">
                  <c:v>1</c:v>
                </c:pt>
              </c:numCache>
            </c:numRef>
          </c:val>
          <c:smooth val="0"/>
        </c:ser>
        <c:ser>
          <c:idx val="1"/>
          <c:order val="1"/>
          <c:tx>
            <c:strRef>
              <c:f>Sheet1!$C$1</c:f>
              <c:strCache>
                <c:ptCount val="1"/>
                <c:pt idx="0">
                  <c:v>午高峰</c:v>
                </c:pt>
              </c:strCache>
            </c:strRef>
          </c:tx>
          <c:spPr>
            <a:ln w="28575" cap="rnd">
              <a:solidFill>
                <a:schemeClr val="accent2"/>
              </a:solidFill>
              <a:round/>
            </a:ln>
            <a:effectLst/>
          </c:spPr>
          <c:marker>
            <c:symbol val="none"/>
          </c:marker>
          <c:dLbls>
            <c:delete val="1"/>
          </c:dLbls>
          <c:cat>
            <c:strRef>
              <c:f>Sheet1!$A$2:$A$37</c:f>
              <c:strCache>
                <c:ptCount val="36"/>
                <c:pt idx="0">
                  <c:v>沱江新城</c:v>
                </c:pt>
                <c:pt idx="1">
                  <c:v>碧水丽都</c:v>
                </c:pt>
                <c:pt idx="2">
                  <c:v>青年林</c:v>
                </c:pt>
                <c:pt idx="3">
                  <c:v>金山名苑</c:v>
                </c:pt>
                <c:pt idx="4">
                  <c:v>沱三桥北</c:v>
                </c:pt>
                <c:pt idx="5">
                  <c:v>城北市场</c:v>
                </c:pt>
                <c:pt idx="6">
                  <c:v>资阳客运站</c:v>
                </c:pt>
                <c:pt idx="7">
                  <c:v>建东市场</c:v>
                </c:pt>
                <c:pt idx="8">
                  <c:v>政府东路口</c:v>
                </c:pt>
                <c:pt idx="9">
                  <c:v>区政府</c:v>
                </c:pt>
                <c:pt idx="10">
                  <c:v>百货大楼</c:v>
                </c:pt>
                <c:pt idx="11">
                  <c:v>市一医院</c:v>
                </c:pt>
                <c:pt idx="12">
                  <c:v>建设南路二段</c:v>
                </c:pt>
                <c:pt idx="13">
                  <c:v>资溪花园</c:v>
                </c:pt>
                <c:pt idx="14">
                  <c:v>九曲花园</c:v>
                </c:pt>
                <c:pt idx="15">
                  <c:v>西门桥街</c:v>
                </c:pt>
                <c:pt idx="16">
                  <c:v>台阳路</c:v>
                </c:pt>
                <c:pt idx="17">
                  <c:v>九曲河广场</c:v>
                </c:pt>
                <c:pt idx="18">
                  <c:v>黄泥巴山</c:v>
                </c:pt>
                <c:pt idx="19">
                  <c:v>市政府</c:v>
                </c:pt>
                <c:pt idx="20">
                  <c:v>河堰嘴</c:v>
                </c:pt>
                <c:pt idx="21">
                  <c:v>四三一总厂</c:v>
                </c:pt>
                <c:pt idx="22">
                  <c:v>天宇市场</c:v>
                </c:pt>
                <c:pt idx="23">
                  <c:v>市公安局</c:v>
                </c:pt>
                <c:pt idx="24">
                  <c:v>学苑路口</c:v>
                </c:pt>
                <c:pt idx="25">
                  <c:v>市委党校</c:v>
                </c:pt>
                <c:pt idx="26">
                  <c:v>教育园区文慧桥</c:v>
                </c:pt>
                <c:pt idx="27">
                  <c:v>春天半岛</c:v>
                </c:pt>
                <c:pt idx="28">
                  <c:v>馨合家园</c:v>
                </c:pt>
                <c:pt idx="29">
                  <c:v>市人民医院</c:v>
                </c:pt>
                <c:pt idx="30">
                  <c:v>筏子桥</c:v>
                </c:pt>
                <c:pt idx="31">
                  <c:v>友谊桥</c:v>
                </c:pt>
                <c:pt idx="32">
                  <c:v>二分厂</c:v>
                </c:pt>
                <c:pt idx="33">
                  <c:v>孙家湾</c:v>
                </c:pt>
                <c:pt idx="34">
                  <c:v>德圣疗养中心</c:v>
                </c:pt>
                <c:pt idx="35">
                  <c:v>玉柴公司</c:v>
                </c:pt>
              </c:strCache>
            </c:strRef>
          </c:cat>
          <c:val>
            <c:numRef>
              <c:f>Sheet1!$C$2:$C$37</c:f>
              <c:numCache>
                <c:formatCode>General</c:formatCode>
                <c:ptCount val="36"/>
                <c:pt idx="0">
                  <c:v>1</c:v>
                </c:pt>
                <c:pt idx="1">
                  <c:v>3</c:v>
                </c:pt>
                <c:pt idx="2">
                  <c:v>3</c:v>
                </c:pt>
                <c:pt idx="3">
                  <c:v>3</c:v>
                </c:pt>
                <c:pt idx="4">
                  <c:v>3</c:v>
                </c:pt>
                <c:pt idx="5">
                  <c:v>3</c:v>
                </c:pt>
                <c:pt idx="6">
                  <c:v>5</c:v>
                </c:pt>
                <c:pt idx="7">
                  <c:v>5</c:v>
                </c:pt>
                <c:pt idx="8">
                  <c:v>6</c:v>
                </c:pt>
                <c:pt idx="9">
                  <c:v>6</c:v>
                </c:pt>
                <c:pt idx="10">
                  <c:v>6</c:v>
                </c:pt>
                <c:pt idx="11">
                  <c:v>8</c:v>
                </c:pt>
                <c:pt idx="12">
                  <c:v>7</c:v>
                </c:pt>
                <c:pt idx="13">
                  <c:v>6</c:v>
                </c:pt>
                <c:pt idx="14">
                  <c:v>6</c:v>
                </c:pt>
                <c:pt idx="15">
                  <c:v>6</c:v>
                </c:pt>
                <c:pt idx="16">
                  <c:v>6</c:v>
                </c:pt>
                <c:pt idx="17">
                  <c:v>6</c:v>
                </c:pt>
                <c:pt idx="18">
                  <c:v>5</c:v>
                </c:pt>
                <c:pt idx="19">
                  <c:v>4</c:v>
                </c:pt>
                <c:pt idx="20">
                  <c:v>4</c:v>
                </c:pt>
                <c:pt idx="21">
                  <c:v>4</c:v>
                </c:pt>
                <c:pt idx="22">
                  <c:v>3</c:v>
                </c:pt>
                <c:pt idx="23">
                  <c:v>3</c:v>
                </c:pt>
                <c:pt idx="24">
                  <c:v>1</c:v>
                </c:pt>
                <c:pt idx="25">
                  <c:v>1</c:v>
                </c:pt>
                <c:pt idx="26">
                  <c:v>1</c:v>
                </c:pt>
                <c:pt idx="27">
                  <c:v>1</c:v>
                </c:pt>
                <c:pt idx="28">
                  <c:v>1</c:v>
                </c:pt>
                <c:pt idx="29">
                  <c:v>1</c:v>
                </c:pt>
                <c:pt idx="30">
                  <c:v>1</c:v>
                </c:pt>
                <c:pt idx="31">
                  <c:v>1</c:v>
                </c:pt>
                <c:pt idx="32">
                  <c:v>1</c:v>
                </c:pt>
                <c:pt idx="33">
                  <c:v>1</c:v>
                </c:pt>
                <c:pt idx="34">
                  <c:v>1</c:v>
                </c:pt>
                <c:pt idx="35">
                  <c:v>1</c:v>
                </c:pt>
              </c:numCache>
            </c:numRef>
          </c:val>
          <c:smooth val="0"/>
        </c:ser>
        <c:ser>
          <c:idx val="2"/>
          <c:order val="2"/>
          <c:tx>
            <c:strRef>
              <c:f>Sheet1!$D$1</c:f>
              <c:strCache>
                <c:ptCount val="1"/>
                <c:pt idx="0">
                  <c:v>晚高峰</c:v>
                </c:pt>
              </c:strCache>
            </c:strRef>
          </c:tx>
          <c:spPr>
            <a:ln w="28575" cap="rnd">
              <a:solidFill>
                <a:schemeClr val="accent3"/>
              </a:solidFill>
              <a:round/>
            </a:ln>
            <a:effectLst/>
          </c:spPr>
          <c:marker>
            <c:symbol val="none"/>
          </c:marker>
          <c:dLbls>
            <c:delete val="1"/>
          </c:dLbls>
          <c:cat>
            <c:strRef>
              <c:f>Sheet1!$A$2:$A$37</c:f>
              <c:strCache>
                <c:ptCount val="36"/>
                <c:pt idx="0">
                  <c:v>沱江新城</c:v>
                </c:pt>
                <c:pt idx="1">
                  <c:v>碧水丽都</c:v>
                </c:pt>
                <c:pt idx="2">
                  <c:v>青年林</c:v>
                </c:pt>
                <c:pt idx="3">
                  <c:v>金山名苑</c:v>
                </c:pt>
                <c:pt idx="4">
                  <c:v>沱三桥北</c:v>
                </c:pt>
                <c:pt idx="5">
                  <c:v>城北市场</c:v>
                </c:pt>
                <c:pt idx="6">
                  <c:v>资阳客运站</c:v>
                </c:pt>
                <c:pt idx="7">
                  <c:v>建东市场</c:v>
                </c:pt>
                <c:pt idx="8">
                  <c:v>政府东路口</c:v>
                </c:pt>
                <c:pt idx="9">
                  <c:v>区政府</c:v>
                </c:pt>
                <c:pt idx="10">
                  <c:v>百货大楼</c:v>
                </c:pt>
                <c:pt idx="11">
                  <c:v>市一医院</c:v>
                </c:pt>
                <c:pt idx="12">
                  <c:v>建设南路二段</c:v>
                </c:pt>
                <c:pt idx="13">
                  <c:v>资溪花园</c:v>
                </c:pt>
                <c:pt idx="14">
                  <c:v>九曲花园</c:v>
                </c:pt>
                <c:pt idx="15">
                  <c:v>西门桥街</c:v>
                </c:pt>
                <c:pt idx="16">
                  <c:v>台阳路</c:v>
                </c:pt>
                <c:pt idx="17">
                  <c:v>九曲河广场</c:v>
                </c:pt>
                <c:pt idx="18">
                  <c:v>黄泥巴山</c:v>
                </c:pt>
                <c:pt idx="19">
                  <c:v>市政府</c:v>
                </c:pt>
                <c:pt idx="20">
                  <c:v>河堰嘴</c:v>
                </c:pt>
                <c:pt idx="21">
                  <c:v>四三一总厂</c:v>
                </c:pt>
                <c:pt idx="22">
                  <c:v>天宇市场</c:v>
                </c:pt>
                <c:pt idx="23">
                  <c:v>市公安局</c:v>
                </c:pt>
                <c:pt idx="24">
                  <c:v>学苑路口</c:v>
                </c:pt>
                <c:pt idx="25">
                  <c:v>市委党校</c:v>
                </c:pt>
                <c:pt idx="26">
                  <c:v>教育园区文慧桥</c:v>
                </c:pt>
                <c:pt idx="27">
                  <c:v>春天半岛</c:v>
                </c:pt>
                <c:pt idx="28">
                  <c:v>馨合家园</c:v>
                </c:pt>
                <c:pt idx="29">
                  <c:v>市人民医院</c:v>
                </c:pt>
                <c:pt idx="30">
                  <c:v>筏子桥</c:v>
                </c:pt>
                <c:pt idx="31">
                  <c:v>友谊桥</c:v>
                </c:pt>
                <c:pt idx="32">
                  <c:v>二分厂</c:v>
                </c:pt>
                <c:pt idx="33">
                  <c:v>孙家湾</c:v>
                </c:pt>
                <c:pt idx="34">
                  <c:v>德圣疗养中心</c:v>
                </c:pt>
                <c:pt idx="35">
                  <c:v>玉柴公司</c:v>
                </c:pt>
              </c:strCache>
            </c:strRef>
          </c:cat>
          <c:val>
            <c:numRef>
              <c:f>Sheet1!$D$2:$D$37</c:f>
              <c:numCache>
                <c:formatCode>General</c:formatCode>
                <c:ptCount val="36"/>
                <c:pt idx="0">
                  <c:v>1</c:v>
                </c:pt>
                <c:pt idx="1">
                  <c:v>3</c:v>
                </c:pt>
                <c:pt idx="2">
                  <c:v>3</c:v>
                </c:pt>
                <c:pt idx="3">
                  <c:v>8</c:v>
                </c:pt>
                <c:pt idx="4">
                  <c:v>8</c:v>
                </c:pt>
                <c:pt idx="5">
                  <c:v>9</c:v>
                </c:pt>
                <c:pt idx="6">
                  <c:v>9</c:v>
                </c:pt>
                <c:pt idx="7">
                  <c:v>9</c:v>
                </c:pt>
                <c:pt idx="8">
                  <c:v>9</c:v>
                </c:pt>
                <c:pt idx="9">
                  <c:v>9</c:v>
                </c:pt>
                <c:pt idx="10">
                  <c:v>8</c:v>
                </c:pt>
                <c:pt idx="11">
                  <c:v>13</c:v>
                </c:pt>
                <c:pt idx="12">
                  <c:v>14</c:v>
                </c:pt>
                <c:pt idx="13">
                  <c:v>13</c:v>
                </c:pt>
                <c:pt idx="14">
                  <c:v>12</c:v>
                </c:pt>
                <c:pt idx="15">
                  <c:v>12</c:v>
                </c:pt>
                <c:pt idx="16">
                  <c:v>11</c:v>
                </c:pt>
                <c:pt idx="17">
                  <c:v>14</c:v>
                </c:pt>
                <c:pt idx="18">
                  <c:v>13</c:v>
                </c:pt>
                <c:pt idx="19">
                  <c:v>13</c:v>
                </c:pt>
                <c:pt idx="20">
                  <c:v>13</c:v>
                </c:pt>
                <c:pt idx="21">
                  <c:v>9</c:v>
                </c:pt>
                <c:pt idx="22">
                  <c:v>9</c:v>
                </c:pt>
                <c:pt idx="23">
                  <c:v>8</c:v>
                </c:pt>
                <c:pt idx="24">
                  <c:v>8</c:v>
                </c:pt>
                <c:pt idx="25">
                  <c:v>8</c:v>
                </c:pt>
                <c:pt idx="26">
                  <c:v>8</c:v>
                </c:pt>
                <c:pt idx="27">
                  <c:v>7</c:v>
                </c:pt>
                <c:pt idx="28">
                  <c:v>5</c:v>
                </c:pt>
                <c:pt idx="29">
                  <c:v>4</c:v>
                </c:pt>
                <c:pt idx="30">
                  <c:v>4</c:v>
                </c:pt>
                <c:pt idx="31">
                  <c:v>1</c:v>
                </c:pt>
                <c:pt idx="32">
                  <c:v>1</c:v>
                </c:pt>
                <c:pt idx="33">
                  <c:v>1</c:v>
                </c:pt>
                <c:pt idx="34">
                  <c:v>1</c:v>
                </c:pt>
                <c:pt idx="35">
                  <c:v>1</c:v>
                </c:pt>
              </c:numCache>
            </c:numRef>
          </c:val>
          <c:smooth val="0"/>
        </c:ser>
        <c:dLbls>
          <c:showLegendKey val="0"/>
          <c:showVal val="0"/>
          <c:showCatName val="0"/>
          <c:showSerName val="0"/>
          <c:showPercent val="0"/>
          <c:showBubbleSize val="0"/>
        </c:dLbls>
        <c:marker val="0"/>
        <c:smooth val="0"/>
        <c:axId val="1199454656"/>
        <c:axId val="1199448128"/>
      </c:lineChart>
      <c:catAx>
        <c:axId val="11994546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48128"/>
        <c:crosses val="autoZero"/>
        <c:auto val="1"/>
        <c:lblAlgn val="ctr"/>
        <c:lblOffset val="100"/>
        <c:noMultiLvlLbl val="0"/>
      </c:catAx>
      <c:valAx>
        <c:axId val="1199448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19945465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线路长度统计</a:t>
            </a:r>
            <a:endParaRPr lang="zh-CN" altLang="en-US"/>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线路长度</c:v>
                </c:pt>
              </c:strCache>
            </c:strRef>
          </c:tx>
          <c:spPr>
            <a:solidFill>
              <a:schemeClr val="accent1"/>
            </a:solidFill>
            <a:ln>
              <a:noFill/>
            </a:ln>
            <a:effectLst/>
          </c:spPr>
          <c:invertIfNegative val="0"/>
          <c:dPt>
            <c:idx val="17"/>
            <c:invertIfNegative val="0"/>
            <c:bubble3D val="0"/>
            <c:spPr>
              <a:solidFill>
                <a:srgbClr val="C0000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Sheet1!$A$2:$A$20</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Sheet1!$B$2:$B$20</c:f>
              <c:numCache>
                <c:formatCode>General</c:formatCode>
                <c:ptCount val="19"/>
                <c:pt idx="0">
                  <c:v>12.7</c:v>
                </c:pt>
                <c:pt idx="1">
                  <c:v>16.5</c:v>
                </c:pt>
                <c:pt idx="2">
                  <c:v>14</c:v>
                </c:pt>
                <c:pt idx="3">
                  <c:v>19.6</c:v>
                </c:pt>
                <c:pt idx="4">
                  <c:v>14.8</c:v>
                </c:pt>
                <c:pt idx="5">
                  <c:v>18.3</c:v>
                </c:pt>
                <c:pt idx="6">
                  <c:v>15.6</c:v>
                </c:pt>
                <c:pt idx="7">
                  <c:v>15.5</c:v>
                </c:pt>
                <c:pt idx="8">
                  <c:v>13</c:v>
                </c:pt>
                <c:pt idx="9">
                  <c:v>15.2</c:v>
                </c:pt>
                <c:pt idx="10">
                  <c:v>16.3</c:v>
                </c:pt>
                <c:pt idx="11">
                  <c:v>13.2</c:v>
                </c:pt>
                <c:pt idx="12">
                  <c:v>13.8</c:v>
                </c:pt>
                <c:pt idx="13">
                  <c:v>9.8</c:v>
                </c:pt>
                <c:pt idx="14">
                  <c:v>10.2</c:v>
                </c:pt>
                <c:pt idx="15">
                  <c:v>11.5</c:v>
                </c:pt>
                <c:pt idx="16">
                  <c:v>9.8</c:v>
                </c:pt>
                <c:pt idx="17">
                  <c:v>14.1</c:v>
                </c:pt>
              </c:numCache>
            </c:numRef>
          </c:val>
        </c:ser>
        <c:dLbls>
          <c:showLegendKey val="0"/>
          <c:showVal val="1"/>
          <c:showCatName val="0"/>
          <c:showSerName val="0"/>
          <c:showPercent val="0"/>
          <c:showBubbleSize val="0"/>
        </c:dLbls>
        <c:gapWidth val="219"/>
        <c:axId val="1199466624"/>
        <c:axId val="1199450304"/>
      </c:barChart>
      <c:lineChart>
        <c:grouping val="standard"/>
        <c:varyColors val="0"/>
        <c:ser>
          <c:idx val="1"/>
          <c:order val="1"/>
          <c:tx>
            <c:strRef>
              <c:f>Sheet1!$C$1</c:f>
              <c:strCache>
                <c:ptCount val="1"/>
                <c:pt idx="0">
                  <c:v>列1</c:v>
                </c:pt>
              </c:strCache>
            </c:strRef>
          </c:tx>
          <c:spPr>
            <a:ln w="28575" cap="rnd">
              <a:solidFill>
                <a:schemeClr val="accent2"/>
              </a:solidFill>
              <a:round/>
            </a:ln>
            <a:effectLst/>
          </c:spPr>
          <c:marker>
            <c:symbol val="none"/>
          </c:marker>
          <c:dLbls>
            <c:delete val="1"/>
          </c:dLbls>
          <c:cat>
            <c:strRef>
              <c:f>Sheet1!$A$2:$A$20</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Sheet1!$C$2:$C$20</c:f>
              <c:numCache>
                <c:formatCode>General</c:formatCode>
                <c:ptCount val="19"/>
                <c:pt idx="0">
                  <c:v>14.1</c:v>
                </c:pt>
                <c:pt idx="1">
                  <c:v>14.1</c:v>
                </c:pt>
                <c:pt idx="2">
                  <c:v>14.1</c:v>
                </c:pt>
                <c:pt idx="3">
                  <c:v>14.1</c:v>
                </c:pt>
                <c:pt idx="4">
                  <c:v>14.1</c:v>
                </c:pt>
                <c:pt idx="5">
                  <c:v>14.1</c:v>
                </c:pt>
                <c:pt idx="6">
                  <c:v>14.1</c:v>
                </c:pt>
                <c:pt idx="7">
                  <c:v>14.1</c:v>
                </c:pt>
                <c:pt idx="8">
                  <c:v>14.1</c:v>
                </c:pt>
                <c:pt idx="9">
                  <c:v>14.1</c:v>
                </c:pt>
                <c:pt idx="10">
                  <c:v>14.1</c:v>
                </c:pt>
                <c:pt idx="11">
                  <c:v>14.1</c:v>
                </c:pt>
                <c:pt idx="12">
                  <c:v>14.1</c:v>
                </c:pt>
                <c:pt idx="13">
                  <c:v>14.1</c:v>
                </c:pt>
                <c:pt idx="14">
                  <c:v>14.1</c:v>
                </c:pt>
                <c:pt idx="15">
                  <c:v>14.1</c:v>
                </c:pt>
                <c:pt idx="16">
                  <c:v>14.1</c:v>
                </c:pt>
                <c:pt idx="17">
                  <c:v>14.1</c:v>
                </c:pt>
              </c:numCache>
            </c:numRef>
          </c:val>
          <c:smooth val="0"/>
        </c:ser>
        <c:dLbls>
          <c:showLegendKey val="0"/>
          <c:showVal val="0"/>
          <c:showCatName val="0"/>
          <c:showSerName val="0"/>
          <c:showPercent val="0"/>
          <c:showBubbleSize val="0"/>
        </c:dLbls>
        <c:marker val="0"/>
        <c:smooth val="0"/>
        <c:axId val="1199466624"/>
        <c:axId val="1199450304"/>
      </c:lineChart>
      <c:catAx>
        <c:axId val="1199466624"/>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线路名称</a:t>
                </a:r>
                <a:endParaRPr lang="zh-CN" altLang="en-US"/>
              </a:p>
            </c:rich>
          </c:tx>
          <c:layout>
            <c:manualLayout>
              <c:xMode val="edge"/>
              <c:yMode val="edge"/>
              <c:x val="0.442397962956292"/>
              <c:y val="0.89267285861713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50304"/>
        <c:crosses val="autoZero"/>
        <c:auto val="1"/>
        <c:lblAlgn val="ctr"/>
        <c:lblOffset val="100"/>
        <c:noMultiLvlLbl val="0"/>
      </c:catAx>
      <c:valAx>
        <c:axId val="11994503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线路长度（</a:t>
                </a:r>
                <a:r>
                  <a:rPr lang="en-US" altLang="zh-CN">
                    <a:latin typeface="Times New Roman" panose="02020603050405020304" charset="0"/>
                    <a:ea typeface="Tahoma" panose="020B0604030504040204" pitchFamily="2" charset="0"/>
                    <a:cs typeface="Times New Roman" panose="02020603050405020304" charset="0"/>
                  </a:rPr>
                  <a:t>km</a:t>
                </a:r>
                <a:r>
                  <a:rPr lang="zh-CN" altLang="en-US"/>
                  <a:t>）</a:t>
                </a:r>
                <a:endParaRPr lang="zh-CN" alt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666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线路非直线系数统计</a:t>
            </a:r>
            <a:endParaRPr lang="zh-CN" altLang="en-US"/>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线路非直线系数</c:v>
                </c:pt>
              </c:strCache>
            </c:strRef>
          </c:tx>
          <c:spPr>
            <a:solidFill>
              <a:schemeClr val="accent1"/>
            </a:solidFill>
            <a:ln>
              <a:noFill/>
            </a:ln>
            <a:effectLst/>
          </c:spPr>
          <c:invertIfNegative val="0"/>
          <c:dPt>
            <c:idx val="17"/>
            <c:invertIfNegative val="0"/>
            <c:bubble3D val="0"/>
            <c:spPr>
              <a:solidFill>
                <a:srgbClr val="C0000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Sheet1!$A$2:$A$20</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Sheet1!$B$2:$B$20</c:f>
              <c:numCache>
                <c:formatCode>General</c:formatCode>
                <c:ptCount val="19"/>
                <c:pt idx="0">
                  <c:v>1.32</c:v>
                </c:pt>
                <c:pt idx="1">
                  <c:v>4.58</c:v>
                </c:pt>
                <c:pt idx="2">
                  <c:v>2.8</c:v>
                </c:pt>
                <c:pt idx="3">
                  <c:v>4.17</c:v>
                </c:pt>
                <c:pt idx="4">
                  <c:v>3.02</c:v>
                </c:pt>
                <c:pt idx="5">
                  <c:v>3</c:v>
                </c:pt>
                <c:pt idx="6">
                  <c:v>4.22</c:v>
                </c:pt>
                <c:pt idx="7">
                  <c:v>1.89</c:v>
                </c:pt>
                <c:pt idx="8">
                  <c:v>1.81</c:v>
                </c:pt>
                <c:pt idx="9">
                  <c:v>1.65</c:v>
                </c:pt>
                <c:pt idx="10">
                  <c:v>3.47</c:v>
                </c:pt>
                <c:pt idx="11">
                  <c:v>1.78</c:v>
                </c:pt>
                <c:pt idx="12">
                  <c:v>2.06</c:v>
                </c:pt>
                <c:pt idx="13">
                  <c:v>1.75</c:v>
                </c:pt>
                <c:pt idx="14">
                  <c:v>2.04</c:v>
                </c:pt>
                <c:pt idx="15">
                  <c:v>1.69</c:v>
                </c:pt>
                <c:pt idx="16">
                  <c:v>2.09</c:v>
                </c:pt>
                <c:pt idx="17">
                  <c:v>2.33</c:v>
                </c:pt>
              </c:numCache>
            </c:numRef>
          </c:val>
        </c:ser>
        <c:dLbls>
          <c:showLegendKey val="0"/>
          <c:showVal val="1"/>
          <c:showCatName val="0"/>
          <c:showSerName val="0"/>
          <c:showPercent val="0"/>
          <c:showBubbleSize val="0"/>
        </c:dLbls>
        <c:gapWidth val="219"/>
        <c:axId val="1199468800"/>
        <c:axId val="1199458464"/>
      </c:barChart>
      <c:lineChart>
        <c:grouping val="standard"/>
        <c:varyColors val="0"/>
        <c:ser>
          <c:idx val="1"/>
          <c:order val="1"/>
          <c:tx>
            <c:strRef>
              <c:f>Sheet1!$C$1</c:f>
              <c:strCache>
                <c:ptCount val="1"/>
                <c:pt idx="0">
                  <c:v>列1</c:v>
                </c:pt>
              </c:strCache>
            </c:strRef>
          </c:tx>
          <c:spPr>
            <a:ln w="28575" cap="rnd">
              <a:solidFill>
                <a:schemeClr val="accent2"/>
              </a:solidFill>
              <a:round/>
            </a:ln>
            <a:effectLst/>
          </c:spPr>
          <c:marker>
            <c:symbol val="none"/>
          </c:marker>
          <c:dLbls>
            <c:delete val="1"/>
          </c:dLbls>
          <c:cat>
            <c:strRef>
              <c:f>Sheet1!$A$2:$A$20</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c:v>
                </c:pt>
                <c:pt idx="16">
                  <c:v>高铁快线2</c:v>
                </c:pt>
                <c:pt idx="17">
                  <c:v>平均</c:v>
                </c:pt>
              </c:strCache>
            </c:strRef>
          </c:cat>
          <c:val>
            <c:numRef>
              <c:f>Sheet1!$C$2:$C$20</c:f>
              <c:numCache>
                <c:formatCode>General</c:formatCode>
                <c:ptCount val="19"/>
                <c:pt idx="0">
                  <c:v>2.33</c:v>
                </c:pt>
                <c:pt idx="1">
                  <c:v>2.33</c:v>
                </c:pt>
                <c:pt idx="2">
                  <c:v>2.33</c:v>
                </c:pt>
                <c:pt idx="3">
                  <c:v>2.33</c:v>
                </c:pt>
                <c:pt idx="4">
                  <c:v>2.33</c:v>
                </c:pt>
                <c:pt idx="5">
                  <c:v>2.33</c:v>
                </c:pt>
                <c:pt idx="6">
                  <c:v>2.33</c:v>
                </c:pt>
                <c:pt idx="7">
                  <c:v>2.33</c:v>
                </c:pt>
                <c:pt idx="8">
                  <c:v>2.33</c:v>
                </c:pt>
                <c:pt idx="9">
                  <c:v>2.33</c:v>
                </c:pt>
                <c:pt idx="10">
                  <c:v>2.33</c:v>
                </c:pt>
                <c:pt idx="11">
                  <c:v>2.33</c:v>
                </c:pt>
                <c:pt idx="12">
                  <c:v>2.33</c:v>
                </c:pt>
                <c:pt idx="13">
                  <c:v>2.33</c:v>
                </c:pt>
                <c:pt idx="14">
                  <c:v>2.33</c:v>
                </c:pt>
                <c:pt idx="15">
                  <c:v>2.33</c:v>
                </c:pt>
                <c:pt idx="16">
                  <c:v>2.33</c:v>
                </c:pt>
                <c:pt idx="17">
                  <c:v>2.33</c:v>
                </c:pt>
              </c:numCache>
            </c:numRef>
          </c:val>
          <c:smooth val="0"/>
        </c:ser>
        <c:dLbls>
          <c:showLegendKey val="0"/>
          <c:showVal val="0"/>
          <c:showCatName val="0"/>
          <c:showSerName val="0"/>
          <c:showPercent val="0"/>
          <c:showBubbleSize val="0"/>
        </c:dLbls>
        <c:marker val="0"/>
        <c:smooth val="0"/>
        <c:axId val="1199468800"/>
        <c:axId val="1199458464"/>
      </c:lineChart>
      <c:catAx>
        <c:axId val="119946880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线路名称</a:t>
                </a:r>
                <a:endParaRPr lang="zh-CN" altLang="en-US"/>
              </a:p>
            </c:rich>
          </c:tx>
          <c:layout>
            <c:manualLayout>
              <c:xMode val="edge"/>
              <c:yMode val="edge"/>
              <c:x val="0.442699044993563"/>
              <c:y val="0.888544891640867"/>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58464"/>
        <c:crosses val="autoZero"/>
        <c:auto val="1"/>
        <c:lblAlgn val="ctr"/>
        <c:lblOffset val="100"/>
        <c:noMultiLvlLbl val="0"/>
      </c:catAx>
      <c:valAx>
        <c:axId val="1199458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线路非直线系数</a:t>
                </a:r>
                <a:endParaRPr lang="zh-CN" altLang="en-US"/>
              </a:p>
            </c:rich>
          </c:tx>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688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销售额</c:v>
                </c:pt>
              </c:strCache>
            </c:strRef>
          </c:tx>
          <c:spPr/>
          <c:explosion val="0"/>
          <c:dPt>
            <c:idx val="0"/>
            <c:bubble3D val="0"/>
            <c:spPr>
              <a:solidFill>
                <a:schemeClr val="accent1"/>
              </a:solidFill>
              <a:ln w="19050">
                <a:solidFill>
                  <a:schemeClr val="lt1"/>
                </a:solidFill>
              </a:ln>
              <a:effectLst/>
            </c:spPr>
          </c:dPt>
          <c:dPt>
            <c:idx val="1"/>
            <c:bubble3D val="0"/>
            <c:spPr>
              <a:solidFill>
                <a:schemeClr val="accent2"/>
              </a:solidFill>
              <a:ln w="19050">
                <a:solidFill>
                  <a:schemeClr val="lt1"/>
                </a:solidFill>
              </a:ln>
              <a:effectLst/>
            </c:spPr>
          </c:dPt>
          <c:dPt>
            <c:idx val="2"/>
            <c:bubble3D val="0"/>
            <c:spPr>
              <a:solidFill>
                <a:schemeClr val="accent3"/>
              </a:solidFill>
              <a:ln w="19050">
                <a:solidFill>
                  <a:schemeClr val="lt1"/>
                </a:solidFill>
              </a:ln>
              <a:effectLst/>
            </c:spPr>
          </c:dPt>
          <c:dPt>
            <c:idx val="3"/>
            <c:bubble3D val="0"/>
            <c:spPr>
              <a:solidFill>
                <a:schemeClr val="accent4"/>
              </a:solidFill>
              <a:ln w="19050">
                <a:solidFill>
                  <a:schemeClr val="lt1"/>
                </a:solidFill>
              </a:ln>
              <a:effectLst/>
            </c:spPr>
          </c:dPt>
          <c:dPt>
            <c:idx val="4"/>
            <c:bubble3D val="0"/>
            <c:spPr>
              <a:solidFill>
                <a:schemeClr val="accent5"/>
              </a:solidFill>
              <a:ln w="19050">
                <a:solidFill>
                  <a:schemeClr val="lt1"/>
                </a:solidFill>
              </a:ln>
              <a:effectLst/>
            </c:spPr>
          </c:dPt>
          <c:dPt>
            <c:idx val="5"/>
            <c:bubble3D val="0"/>
            <c:spPr>
              <a:solidFill>
                <a:schemeClr val="accent6"/>
              </a:solidFill>
              <a:ln w="19050">
                <a:solidFill>
                  <a:schemeClr val="lt1"/>
                </a:solid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j-ea"/>
                    <a:cs typeface="Times New Roman" panose="02020603050405020304" charset="0"/>
                  </a:defRPr>
                </a:pPr>
              </a:p>
            </c:txPr>
            <c:dLblPos val="bestFit"/>
            <c:showLegendKey val="0"/>
            <c:showVal val="1"/>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立柱式</c:v>
                </c:pt>
                <c:pt idx="1">
                  <c:v>无站牌</c:v>
                </c:pt>
                <c:pt idx="2">
                  <c:v>非港湾式</c:v>
                </c:pt>
                <c:pt idx="3">
                  <c:v>港湾式</c:v>
                </c:pt>
                <c:pt idx="4">
                  <c:v>岛式</c:v>
                </c:pt>
                <c:pt idx="5">
                  <c:v>单牌式</c:v>
                </c:pt>
              </c:strCache>
            </c:strRef>
          </c:cat>
          <c:val>
            <c:numRef>
              <c:f>Sheet1!$B$2:$B$7</c:f>
              <c:numCache>
                <c:formatCode>0.0%</c:formatCode>
                <c:ptCount val="6"/>
                <c:pt idx="0">
                  <c:v>0.465</c:v>
                </c:pt>
                <c:pt idx="1">
                  <c:v>0.161</c:v>
                </c:pt>
                <c:pt idx="2">
                  <c:v>0.116</c:v>
                </c:pt>
                <c:pt idx="3">
                  <c:v>0.111</c:v>
                </c:pt>
                <c:pt idx="4">
                  <c:v>0.078</c:v>
                </c:pt>
                <c:pt idx="5">
                  <c:v>0.07</c:v>
                </c:pt>
              </c:numCache>
            </c:numRef>
          </c:val>
        </c:ser>
        <c:dLbls>
          <c:showLegendKey val="0"/>
          <c:showVal val="0"/>
          <c:showCatName val="0"/>
          <c:showSerName val="0"/>
          <c:showPercent val="0"/>
          <c:showBubbleSize val="0"/>
          <c:showLeaderLines val="1"/>
        </c:dLbls>
        <c:firstSliceAng val="0"/>
      </c:pieChart>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Tahoma" panose="020B0604030504040204" pitchFamily="2" charset="0"/>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线网指标!$A$1:$C$1</c:f>
              <c:strCache>
                <c:ptCount val="3"/>
                <c:pt idx="0">
                  <c:v>现状</c:v>
                </c:pt>
                <c:pt idx="1">
                  <c:v>近期</c:v>
                </c:pt>
                <c:pt idx="2">
                  <c:v>中远期</c:v>
                </c:pt>
              </c:strCache>
            </c:strRef>
          </c:cat>
          <c:val>
            <c:numRef>
              <c:f>线网指标!$A$2:$C$2</c:f>
              <c:numCache>
                <c:formatCode>General</c:formatCode>
                <c:ptCount val="3"/>
                <c:pt idx="0">
                  <c:v>17</c:v>
                </c:pt>
                <c:pt idx="1">
                  <c:v>18</c:v>
                </c:pt>
                <c:pt idx="2">
                  <c:v>22</c:v>
                </c:pt>
              </c:numCache>
            </c:numRef>
          </c:val>
        </c:ser>
        <c:dLbls>
          <c:showLegendKey val="0"/>
          <c:showVal val="0"/>
          <c:showCatName val="0"/>
          <c:showSerName val="0"/>
          <c:showPercent val="0"/>
          <c:showBubbleSize val="0"/>
        </c:dLbls>
        <c:gapWidth val="182"/>
        <c:axId val="1199459008"/>
        <c:axId val="1199451392"/>
      </c:barChart>
      <c:catAx>
        <c:axId val="119945900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51392"/>
        <c:crosses val="autoZero"/>
        <c:auto val="1"/>
        <c:lblAlgn val="ctr"/>
        <c:lblOffset val="100"/>
        <c:noMultiLvlLbl val="0"/>
      </c:catAx>
      <c:valAx>
        <c:axId val="119945139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590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线网指标!$A$18:$C$18</c:f>
              <c:strCache>
                <c:ptCount val="3"/>
                <c:pt idx="0">
                  <c:v>现状</c:v>
                </c:pt>
                <c:pt idx="1">
                  <c:v>近期</c:v>
                </c:pt>
                <c:pt idx="2">
                  <c:v>中远期</c:v>
                </c:pt>
              </c:strCache>
            </c:strRef>
          </c:cat>
          <c:val>
            <c:numRef>
              <c:f>线网指标!$A$19:$C$19</c:f>
              <c:numCache>
                <c:formatCode>General</c:formatCode>
                <c:ptCount val="3"/>
                <c:pt idx="0">
                  <c:v>239.8</c:v>
                </c:pt>
                <c:pt idx="1">
                  <c:v>240.36</c:v>
                </c:pt>
                <c:pt idx="2">
                  <c:v>311.22</c:v>
                </c:pt>
              </c:numCache>
            </c:numRef>
          </c:val>
        </c:ser>
        <c:dLbls>
          <c:showLegendKey val="0"/>
          <c:showVal val="0"/>
          <c:showCatName val="0"/>
          <c:showSerName val="0"/>
          <c:showPercent val="0"/>
          <c:showBubbleSize val="0"/>
        </c:dLbls>
        <c:gapWidth val="182"/>
        <c:axId val="1199462272"/>
        <c:axId val="1199471520"/>
      </c:barChart>
      <c:catAx>
        <c:axId val="11994622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71520"/>
        <c:crosses val="autoZero"/>
        <c:auto val="1"/>
        <c:lblAlgn val="ctr"/>
        <c:lblOffset val="100"/>
        <c:noMultiLvlLbl val="0"/>
      </c:catAx>
      <c:valAx>
        <c:axId val="11994715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6227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线网指标!$A$36:$C$36</c:f>
              <c:strCache>
                <c:ptCount val="3"/>
                <c:pt idx="0">
                  <c:v>现状</c:v>
                </c:pt>
                <c:pt idx="1">
                  <c:v>近期</c:v>
                </c:pt>
                <c:pt idx="2">
                  <c:v>中远期</c:v>
                </c:pt>
              </c:strCache>
            </c:strRef>
          </c:cat>
          <c:val>
            <c:numRef>
              <c:f>线网指标!$A$37:$C$37</c:f>
              <c:numCache>
                <c:formatCode>General</c:formatCode>
                <c:ptCount val="3"/>
                <c:pt idx="0">
                  <c:v>1.88</c:v>
                </c:pt>
                <c:pt idx="1" c:formatCode="0.00_ ">
                  <c:v>2.8</c:v>
                </c:pt>
                <c:pt idx="2" c:formatCode="0.00_ ">
                  <c:v>3.38</c:v>
                </c:pt>
              </c:numCache>
            </c:numRef>
          </c:val>
        </c:ser>
        <c:dLbls>
          <c:showLegendKey val="0"/>
          <c:showVal val="0"/>
          <c:showCatName val="0"/>
          <c:showSerName val="0"/>
          <c:showPercent val="0"/>
          <c:showBubbleSize val="0"/>
        </c:dLbls>
        <c:gapWidth val="182"/>
        <c:axId val="1199474240"/>
        <c:axId val="1199475328"/>
      </c:barChart>
      <c:catAx>
        <c:axId val="11994742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75328"/>
        <c:crosses val="autoZero"/>
        <c:auto val="1"/>
        <c:lblAlgn val="ctr"/>
        <c:lblOffset val="100"/>
        <c:noMultiLvlLbl val="0"/>
      </c:catAx>
      <c:valAx>
        <c:axId val="11994753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742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zh-CN" altLang="en-US"/>
              <a:t>单车日均客流强度统计</a:t>
            </a:r>
            <a:endParaRPr lang="en-US" altLang="zh-CN"/>
          </a:p>
        </c:rich>
      </c:tx>
      <c:layout/>
      <c:overlay val="0"/>
      <c:spPr>
        <a:noFill/>
        <a:ln>
          <a:noFill/>
        </a:ln>
        <a:effectLst/>
      </c:spPr>
    </c:title>
    <c:autoTitleDeleted val="0"/>
    <c:plotArea>
      <c:layout/>
      <c:barChart>
        <c:barDir val="col"/>
        <c:grouping val="clustered"/>
        <c:varyColors val="0"/>
        <c:ser>
          <c:idx val="0"/>
          <c:order val="0"/>
          <c:tx>
            <c:strRef>
              <c:f>Sheet1!$B$1</c:f>
              <c:strCache>
                <c:ptCount val="1"/>
                <c:pt idx="0">
                  <c:v>系列 1</c:v>
                </c:pt>
              </c:strCache>
            </c:strRef>
          </c:tx>
          <c:spPr>
            <a:solidFill>
              <a:schemeClr val="accent1"/>
            </a:solidFill>
            <a:ln>
              <a:noFill/>
            </a:ln>
            <a:effectLst/>
          </c:spPr>
          <c:invertIfNegative val="0"/>
          <c:dPt>
            <c:idx val="17"/>
            <c:invertIfNegative val="0"/>
            <c:bubble3D val="0"/>
            <c:spPr>
              <a:solidFill>
                <a:srgbClr val="C00000"/>
              </a:solidFill>
              <a:ln>
                <a:noFill/>
              </a:ln>
              <a:effectLst/>
            </c:spPr>
          </c:dPt>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Tahoma" panose="020B0604030504040204" pitchFamily="2" charset="0"/>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 </c:v>
                </c:pt>
                <c:pt idx="16">
                  <c:v>高铁快线2</c:v>
                </c:pt>
                <c:pt idx="17">
                  <c:v>平均</c:v>
                </c:pt>
              </c:strCache>
            </c:strRef>
          </c:cat>
          <c:val>
            <c:numRef>
              <c:f>Sheet1!$B$2:$B$19</c:f>
              <c:numCache>
                <c:formatCode>General</c:formatCode>
                <c:ptCount val="18"/>
                <c:pt idx="0">
                  <c:v>384</c:v>
                </c:pt>
                <c:pt idx="1">
                  <c:v>314</c:v>
                </c:pt>
                <c:pt idx="2">
                  <c:v>283</c:v>
                </c:pt>
                <c:pt idx="3">
                  <c:v>331</c:v>
                </c:pt>
                <c:pt idx="4">
                  <c:v>303</c:v>
                </c:pt>
                <c:pt idx="5">
                  <c:v>239</c:v>
                </c:pt>
                <c:pt idx="6">
                  <c:v>165</c:v>
                </c:pt>
                <c:pt idx="7">
                  <c:v>90</c:v>
                </c:pt>
                <c:pt idx="8">
                  <c:v>353</c:v>
                </c:pt>
                <c:pt idx="9">
                  <c:v>90</c:v>
                </c:pt>
                <c:pt idx="10">
                  <c:v>307</c:v>
                </c:pt>
                <c:pt idx="11">
                  <c:v>120</c:v>
                </c:pt>
                <c:pt idx="12">
                  <c:v>272</c:v>
                </c:pt>
                <c:pt idx="13">
                  <c:v>274</c:v>
                </c:pt>
                <c:pt idx="14">
                  <c:v>66</c:v>
                </c:pt>
                <c:pt idx="15">
                  <c:v>105</c:v>
                </c:pt>
                <c:pt idx="16">
                  <c:v>251</c:v>
                </c:pt>
                <c:pt idx="17">
                  <c:v>263</c:v>
                </c:pt>
              </c:numCache>
            </c:numRef>
          </c:val>
        </c:ser>
        <c:ser>
          <c:idx val="2"/>
          <c:order val="2"/>
          <c:tx>
            <c:strRef>
              <c:f>Sheet1!$C$1</c:f>
              <c:strCache>
                <c:ptCount val="1"/>
                <c:pt idx="0">
                  <c:v>系列 3</c:v>
                </c:pt>
              </c:strCache>
            </c:strRef>
          </c:tx>
          <c:spPr>
            <a:solidFill>
              <a:schemeClr val="accent3"/>
            </a:solidFill>
            <a:ln>
              <a:noFill/>
            </a:ln>
            <a:effectLst/>
          </c:spPr>
          <c:invertIfNegative val="0"/>
          <c:dLbls>
            <c:delete val="1"/>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 </c:v>
                </c:pt>
                <c:pt idx="16">
                  <c:v>高铁快线2</c:v>
                </c:pt>
                <c:pt idx="17">
                  <c:v>平均</c:v>
                </c:pt>
              </c:strCache>
            </c:strRef>
          </c:cat>
          <c:val>
            <c:numRef>
              <c:f>Sheet1!#REF!</c:f>
              <c:numCache>
                <c:formatCode>General</c:formatCode>
                <c:ptCount val="1"/>
                <c:pt idx="0">
                  <c:v>1</c:v>
                </c:pt>
              </c:numCache>
            </c:numRef>
          </c:val>
        </c:ser>
        <c:dLbls>
          <c:showLegendKey val="0"/>
          <c:showVal val="0"/>
          <c:showCatName val="0"/>
          <c:showSerName val="0"/>
          <c:showPercent val="0"/>
          <c:showBubbleSize val="0"/>
        </c:dLbls>
        <c:gapWidth val="219"/>
        <c:axId val="1060625808"/>
        <c:axId val="1060638864"/>
      </c:barChart>
      <c:lineChart>
        <c:grouping val="standard"/>
        <c:varyColors val="0"/>
        <c:ser>
          <c:idx val="1"/>
          <c:order val="1"/>
          <c:tx>
            <c:strRef>
              <c:f>Sheet1!#REF!</c:f>
              <c:strCache>
                <c:ptCount val="1"/>
                <c:pt idx="0">
                  <c:v>#REF!</c:v>
                </c:pt>
              </c:strCache>
            </c:strRef>
          </c:tx>
          <c:spPr>
            <a:ln w="28575" cap="rnd">
              <a:solidFill>
                <a:schemeClr val="accent2"/>
              </a:solidFill>
              <a:round/>
            </a:ln>
            <a:effectLst/>
          </c:spPr>
          <c:marker>
            <c:symbol val="none"/>
          </c:marker>
          <c:dLbls>
            <c:delete val="1"/>
          </c:dLbls>
          <c:cat>
            <c:strRef>
              <c:f>Sheet1!$A$2:$A$19</c:f>
              <c:strCache>
                <c:ptCount val="18"/>
                <c:pt idx="0">
                  <c:v>1路</c:v>
                </c:pt>
                <c:pt idx="1">
                  <c:v>2路</c:v>
                </c:pt>
                <c:pt idx="2">
                  <c:v>3路</c:v>
                </c:pt>
                <c:pt idx="3">
                  <c:v>4路</c:v>
                </c:pt>
                <c:pt idx="4">
                  <c:v>5路</c:v>
                </c:pt>
                <c:pt idx="5">
                  <c:v>6路</c:v>
                </c:pt>
                <c:pt idx="6">
                  <c:v>7路</c:v>
                </c:pt>
                <c:pt idx="7">
                  <c:v>9路</c:v>
                </c:pt>
                <c:pt idx="8">
                  <c:v>10路</c:v>
                </c:pt>
                <c:pt idx="9">
                  <c:v>11路</c:v>
                </c:pt>
                <c:pt idx="10">
                  <c:v>14路</c:v>
                </c:pt>
                <c:pt idx="11">
                  <c:v>15路</c:v>
                </c:pt>
                <c:pt idx="12">
                  <c:v>16路</c:v>
                </c:pt>
                <c:pt idx="13">
                  <c:v>17路</c:v>
                </c:pt>
                <c:pt idx="14">
                  <c:v>18路</c:v>
                </c:pt>
                <c:pt idx="15">
                  <c:v>高铁快线1 </c:v>
                </c:pt>
                <c:pt idx="16">
                  <c:v>高铁快线2</c:v>
                </c:pt>
                <c:pt idx="17">
                  <c:v>平均</c:v>
                </c:pt>
              </c:strCache>
            </c:strRef>
          </c:cat>
          <c:val>
            <c:numRef>
              <c:f>Sheet1!$C$2:$C$19</c:f>
              <c:numCache>
                <c:formatCode>General</c:formatCode>
                <c:ptCount val="18"/>
                <c:pt idx="0">
                  <c:v>263</c:v>
                </c:pt>
                <c:pt idx="1">
                  <c:v>263</c:v>
                </c:pt>
                <c:pt idx="2">
                  <c:v>263</c:v>
                </c:pt>
                <c:pt idx="3">
                  <c:v>263</c:v>
                </c:pt>
                <c:pt idx="4">
                  <c:v>263</c:v>
                </c:pt>
                <c:pt idx="5">
                  <c:v>263</c:v>
                </c:pt>
                <c:pt idx="6">
                  <c:v>263</c:v>
                </c:pt>
                <c:pt idx="7">
                  <c:v>263</c:v>
                </c:pt>
                <c:pt idx="8">
                  <c:v>263</c:v>
                </c:pt>
                <c:pt idx="9">
                  <c:v>263</c:v>
                </c:pt>
                <c:pt idx="10">
                  <c:v>263</c:v>
                </c:pt>
                <c:pt idx="11">
                  <c:v>263</c:v>
                </c:pt>
                <c:pt idx="12">
                  <c:v>263</c:v>
                </c:pt>
                <c:pt idx="13">
                  <c:v>263</c:v>
                </c:pt>
                <c:pt idx="14">
                  <c:v>263</c:v>
                </c:pt>
                <c:pt idx="15">
                  <c:v>263</c:v>
                </c:pt>
                <c:pt idx="16">
                  <c:v>263</c:v>
                </c:pt>
                <c:pt idx="17">
                  <c:v>263</c:v>
                </c:pt>
              </c:numCache>
            </c:numRef>
          </c:val>
          <c:smooth val="0"/>
        </c:ser>
        <c:dLbls>
          <c:showLegendKey val="0"/>
          <c:showVal val="0"/>
          <c:showCatName val="0"/>
          <c:showSerName val="0"/>
          <c:showPercent val="0"/>
          <c:showBubbleSize val="0"/>
        </c:dLbls>
        <c:marker val="0"/>
        <c:smooth val="0"/>
        <c:axId val="1060625808"/>
        <c:axId val="1060638864"/>
      </c:lineChart>
      <c:catAx>
        <c:axId val="106062580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zh-CN" altLang="en-US"/>
                  <a:t>线路名称</a:t>
                </a:r>
                <a:endParaRPr lang="zh-CN" altLang="en-US"/>
              </a:p>
            </c:rich>
          </c:tx>
          <c:layout>
            <c:manualLayout>
              <c:xMode val="edge"/>
              <c:yMode val="edge"/>
              <c:x val="0.440592039527445"/>
              <c:y val="0.888544891640867"/>
            </c:manualLayout>
          </c:layout>
          <c:overlay val="0"/>
          <c:spPr>
            <a:noFill/>
            <a:ln>
              <a:noFill/>
            </a:ln>
            <a:effectLst/>
          </c:sp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38864"/>
        <c:crosses val="autoZero"/>
        <c:auto val="1"/>
        <c:lblAlgn val="ctr"/>
        <c:lblOffset val="100"/>
        <c:noMultiLvlLbl val="0"/>
      </c:catAx>
      <c:valAx>
        <c:axId val="1060638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r>
                  <a:rPr lang="zh-CN" altLang="en-US">
                    <a:latin typeface="Times New Roman" panose="02020603050405020304" charset="0"/>
                    <a:cs typeface="Times New Roman" panose="02020603050405020304" charset="0"/>
                  </a:rPr>
                  <a:t>单车日均客流强度（人次</a:t>
                </a:r>
                <a:r>
                  <a:rPr lang="en-US" altLang="zh-CN">
                    <a:latin typeface="Times New Roman" panose="02020603050405020304" charset="0"/>
                    <a:cs typeface="Times New Roman" panose="02020603050405020304" charset="0"/>
                  </a:rPr>
                  <a:t>/</a:t>
                </a:r>
                <a:r>
                  <a:rPr lang="zh-CN" altLang="en-US">
                    <a:latin typeface="Times New Roman" panose="02020603050405020304" charset="0"/>
                    <a:cs typeface="Times New Roman" panose="02020603050405020304" charset="0"/>
                  </a:rPr>
                  <a:t>车）</a:t>
                </a:r>
                <a:endParaRPr lang="zh-CN" altLang="en-US">
                  <a:latin typeface="Times New Roman" panose="02020603050405020304" charset="0"/>
                  <a:cs typeface="Times New Roman" panose="02020603050405020304" charset="0"/>
                </a:endParaRPr>
              </a:p>
            </c:rich>
          </c:tx>
          <c:layout/>
          <c:overlay val="0"/>
          <c:spPr>
            <a:noFill/>
            <a:ln>
              <a:noFill/>
            </a:ln>
            <a:effectLst/>
          </c:sp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2580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线网指标!$A$52:$C$52</c:f>
              <c:strCache>
                <c:ptCount val="3"/>
                <c:pt idx="0">
                  <c:v>现状</c:v>
                </c:pt>
                <c:pt idx="1">
                  <c:v>近期</c:v>
                </c:pt>
                <c:pt idx="2">
                  <c:v>中远期</c:v>
                </c:pt>
              </c:strCache>
            </c:strRef>
          </c:cat>
          <c:val>
            <c:numRef>
              <c:f>线网指标!$A$53:$C$53</c:f>
              <c:numCache>
                <c:formatCode>General</c:formatCode>
                <c:ptCount val="3"/>
                <c:pt idx="0">
                  <c:v>2.33</c:v>
                </c:pt>
                <c:pt idx="1">
                  <c:v>2.1</c:v>
                </c:pt>
                <c:pt idx="2">
                  <c:v>2</c:v>
                </c:pt>
              </c:numCache>
            </c:numRef>
          </c:val>
        </c:ser>
        <c:dLbls>
          <c:showLegendKey val="0"/>
          <c:showVal val="0"/>
          <c:showCatName val="0"/>
          <c:showSerName val="0"/>
          <c:showPercent val="0"/>
          <c:showBubbleSize val="0"/>
        </c:dLbls>
        <c:gapWidth val="182"/>
        <c:axId val="1199463360"/>
        <c:axId val="1199445952"/>
      </c:barChart>
      <c:catAx>
        <c:axId val="11994633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45952"/>
        <c:crosses val="autoZero"/>
        <c:auto val="1"/>
        <c:lblAlgn val="ctr"/>
        <c:lblOffset val="100"/>
        <c:noMultiLvlLbl val="0"/>
      </c:catAx>
      <c:valAx>
        <c:axId val="119944595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63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358705161855"/>
          <c:y val="0.0740740740740741"/>
          <c:w val="0.837377515310586"/>
          <c:h val="0.841674686497521"/>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线网指标!$A$71:$C$71</c:f>
              <c:strCache>
                <c:ptCount val="3"/>
                <c:pt idx="0">
                  <c:v>现状</c:v>
                </c:pt>
                <c:pt idx="1">
                  <c:v>近期</c:v>
                </c:pt>
                <c:pt idx="2">
                  <c:v>中远期</c:v>
                </c:pt>
              </c:strCache>
            </c:strRef>
          </c:cat>
          <c:val>
            <c:numRef>
              <c:f>线网指标!$A$72:$C$72</c:f>
              <c:numCache>
                <c:formatCode>General</c:formatCode>
                <c:ptCount val="3"/>
                <c:pt idx="0">
                  <c:v>2.45</c:v>
                </c:pt>
                <c:pt idx="1">
                  <c:v>2.04</c:v>
                </c:pt>
                <c:pt idx="2">
                  <c:v>2.3</c:v>
                </c:pt>
              </c:numCache>
            </c:numRef>
          </c:val>
        </c:ser>
        <c:dLbls>
          <c:showLegendKey val="0"/>
          <c:showVal val="0"/>
          <c:showCatName val="0"/>
          <c:showSerName val="0"/>
          <c:showPercent val="0"/>
          <c:showBubbleSize val="0"/>
        </c:dLbls>
        <c:gapWidth val="182"/>
        <c:axId val="1199460096"/>
        <c:axId val="1199460640"/>
      </c:barChart>
      <c:catAx>
        <c:axId val="119946009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60640"/>
        <c:crosses val="autoZero"/>
        <c:auto val="1"/>
        <c:lblAlgn val="ctr"/>
        <c:lblOffset val="100"/>
        <c:noMultiLvlLbl val="0"/>
      </c:catAx>
      <c:valAx>
        <c:axId val="119946064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60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线网指标!$M$2:$O$2</c:f>
              <c:strCache>
                <c:ptCount val="3"/>
                <c:pt idx="0">
                  <c:v>现状</c:v>
                </c:pt>
                <c:pt idx="1">
                  <c:v>近期</c:v>
                </c:pt>
                <c:pt idx="2">
                  <c:v>中远期</c:v>
                </c:pt>
              </c:strCache>
            </c:strRef>
          </c:cat>
          <c:val>
            <c:numRef>
              <c:f>线网指标!$M$3:$O$3</c:f>
              <c:numCache>
                <c:formatCode>0%</c:formatCode>
                <c:ptCount val="3"/>
                <c:pt idx="0">
                  <c:v>0.33</c:v>
                </c:pt>
                <c:pt idx="1">
                  <c:v>0.38</c:v>
                </c:pt>
                <c:pt idx="2">
                  <c:v>0.45</c:v>
                </c:pt>
              </c:numCache>
            </c:numRef>
          </c:val>
        </c:ser>
        <c:dLbls>
          <c:showLegendKey val="0"/>
          <c:showVal val="0"/>
          <c:showCatName val="0"/>
          <c:showSerName val="0"/>
          <c:showPercent val="0"/>
          <c:showBubbleSize val="0"/>
        </c:dLbls>
        <c:gapWidth val="182"/>
        <c:axId val="1199500352"/>
        <c:axId val="1199493280"/>
      </c:barChart>
      <c:catAx>
        <c:axId val="119950035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93280"/>
        <c:crosses val="autoZero"/>
        <c:auto val="1"/>
        <c:lblAlgn val="ctr"/>
        <c:lblOffset val="100"/>
        <c:noMultiLvlLbl val="0"/>
      </c:catAx>
      <c:valAx>
        <c:axId val="11994932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500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线网指标!$M$18:$O$18</c:f>
              <c:strCache>
                <c:ptCount val="3"/>
                <c:pt idx="0">
                  <c:v>现状</c:v>
                </c:pt>
                <c:pt idx="1">
                  <c:v>近期</c:v>
                </c:pt>
                <c:pt idx="2">
                  <c:v>中远期</c:v>
                </c:pt>
              </c:strCache>
            </c:strRef>
          </c:cat>
          <c:val>
            <c:numRef>
              <c:f>线网指标!$M$19:$O$19</c:f>
              <c:numCache>
                <c:formatCode>0%</c:formatCode>
                <c:ptCount val="3"/>
                <c:pt idx="0">
                  <c:v>0.52</c:v>
                </c:pt>
                <c:pt idx="1">
                  <c:v>0.6</c:v>
                </c:pt>
                <c:pt idx="2">
                  <c:v>0.75</c:v>
                </c:pt>
              </c:numCache>
            </c:numRef>
          </c:val>
        </c:ser>
        <c:dLbls>
          <c:showLegendKey val="0"/>
          <c:showVal val="0"/>
          <c:showCatName val="0"/>
          <c:showSerName val="0"/>
          <c:showPercent val="0"/>
          <c:showBubbleSize val="0"/>
        </c:dLbls>
        <c:gapWidth val="182"/>
        <c:axId val="1199488928"/>
        <c:axId val="1199482944"/>
      </c:barChart>
      <c:catAx>
        <c:axId val="1199488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482944"/>
        <c:crosses val="autoZero"/>
        <c:auto val="1"/>
        <c:lblAlgn val="ctr"/>
        <c:lblOffset val="100"/>
        <c:noMultiLvlLbl val="0"/>
      </c:catAx>
      <c:valAx>
        <c:axId val="119948294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889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线网指标!$L$34</c:f>
              <c:strCache>
                <c:ptCount val="1"/>
                <c:pt idx="0">
                  <c:v>车辆数</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线网指标!$M$33:$O$33</c:f>
              <c:strCache>
                <c:ptCount val="3"/>
                <c:pt idx="0">
                  <c:v>现状</c:v>
                </c:pt>
                <c:pt idx="1">
                  <c:v>近期</c:v>
                </c:pt>
                <c:pt idx="2">
                  <c:v>中远期</c:v>
                </c:pt>
              </c:strCache>
            </c:strRef>
          </c:cat>
          <c:val>
            <c:numRef>
              <c:f>线网指标!$M$34:$O$34</c:f>
              <c:numCache>
                <c:formatCode>General</c:formatCode>
                <c:ptCount val="3"/>
                <c:pt idx="0">
                  <c:v>206</c:v>
                </c:pt>
                <c:pt idx="1">
                  <c:v>440</c:v>
                </c:pt>
                <c:pt idx="2">
                  <c:v>785</c:v>
                </c:pt>
              </c:numCache>
            </c:numRef>
          </c:val>
        </c:ser>
        <c:ser>
          <c:idx val="1"/>
          <c:order val="1"/>
          <c:tx>
            <c:strRef>
              <c:f>线网指标!$L$35</c:f>
              <c:strCache>
                <c:ptCount val="1"/>
                <c:pt idx="0">
                  <c:v>标台数</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线网指标!$M$33:$O$33</c:f>
              <c:strCache>
                <c:ptCount val="3"/>
                <c:pt idx="0">
                  <c:v>现状</c:v>
                </c:pt>
                <c:pt idx="1">
                  <c:v>近期</c:v>
                </c:pt>
                <c:pt idx="2">
                  <c:v>中远期</c:v>
                </c:pt>
              </c:strCache>
            </c:strRef>
          </c:cat>
          <c:val>
            <c:numRef>
              <c:f>线网指标!$M$35:$O$35</c:f>
              <c:numCache>
                <c:formatCode>General</c:formatCode>
                <c:ptCount val="3"/>
                <c:pt idx="0">
                  <c:v>267.8</c:v>
                </c:pt>
                <c:pt idx="1">
                  <c:v>572</c:v>
                </c:pt>
                <c:pt idx="2">
                  <c:v>1001</c:v>
                </c:pt>
              </c:numCache>
            </c:numRef>
          </c:val>
        </c:ser>
        <c:dLbls>
          <c:showLegendKey val="0"/>
          <c:showVal val="0"/>
          <c:showCatName val="0"/>
          <c:showSerName val="0"/>
          <c:showPercent val="0"/>
          <c:showBubbleSize val="0"/>
        </c:dLbls>
        <c:gapWidth val="219"/>
        <c:overlap val="-27"/>
        <c:axId val="1199483488"/>
        <c:axId val="1199507424"/>
      </c:barChart>
      <c:catAx>
        <c:axId val="11994834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507424"/>
        <c:crosses val="autoZero"/>
        <c:auto val="1"/>
        <c:lblAlgn val="ctr"/>
        <c:lblOffset val="100"/>
        <c:noMultiLvlLbl val="0"/>
      </c:catAx>
      <c:valAx>
        <c:axId val="119950742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8348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358705161855"/>
          <c:y val="0.0740740740740741"/>
          <c:w val="0.840530183727034"/>
          <c:h val="0.841674686497521"/>
        </c:manualLayout>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线网指标!$M$53:$O$53</c:f>
              <c:strCache>
                <c:ptCount val="3"/>
                <c:pt idx="0">
                  <c:v>现状</c:v>
                </c:pt>
                <c:pt idx="1">
                  <c:v>近期</c:v>
                </c:pt>
                <c:pt idx="2">
                  <c:v>中远期</c:v>
                </c:pt>
              </c:strCache>
            </c:strRef>
          </c:cat>
          <c:val>
            <c:numRef>
              <c:f>线网指标!$M$54:$O$54</c:f>
              <c:numCache>
                <c:formatCode>General</c:formatCode>
                <c:ptCount val="3"/>
                <c:pt idx="0">
                  <c:v>7.6</c:v>
                </c:pt>
                <c:pt idx="1">
                  <c:v>11.2</c:v>
                </c:pt>
                <c:pt idx="2">
                  <c:v>11.7</c:v>
                </c:pt>
              </c:numCache>
            </c:numRef>
          </c:val>
        </c:ser>
        <c:dLbls>
          <c:showLegendKey val="0"/>
          <c:showVal val="0"/>
          <c:showCatName val="0"/>
          <c:showSerName val="0"/>
          <c:showPercent val="0"/>
          <c:showBubbleSize val="0"/>
        </c:dLbls>
        <c:gapWidth val="182"/>
        <c:axId val="1199485664"/>
        <c:axId val="1199500896"/>
      </c:barChart>
      <c:catAx>
        <c:axId val="119948566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500896"/>
        <c:crosses val="autoZero"/>
        <c:auto val="1"/>
        <c:lblAlgn val="ctr"/>
        <c:lblOffset val="100"/>
        <c:noMultiLvlLbl val="0"/>
      </c:catAx>
      <c:valAx>
        <c:axId val="11995008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1994856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zh-CN" sz="900" b="0" i="0" u="none" strike="noStrike" kern="1200" baseline="0">
                    <a:solidFill>
                      <a:schemeClr val="tx1">
                        <a:lumMod val="75000"/>
                        <a:lumOff val="25000"/>
                      </a:schemeClr>
                    </a:solidFill>
                    <a:latin typeface="Times New Roman" panose="02020603050405020304" charset="0"/>
                    <a:ea typeface="+mn-ea"/>
                    <a:cs typeface="Times New Roman" panose="02020603050405020304" charset="0"/>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线网指标!$M$71:$O$71</c:f>
              <c:strCache>
                <c:ptCount val="3"/>
                <c:pt idx="0">
                  <c:v>现状</c:v>
                </c:pt>
                <c:pt idx="1">
                  <c:v>近期</c:v>
                </c:pt>
                <c:pt idx="2">
                  <c:v>中远期</c:v>
                </c:pt>
              </c:strCache>
            </c:strRef>
          </c:cat>
          <c:val>
            <c:numRef>
              <c:f>线网指标!$M$72:$O$72</c:f>
              <c:numCache>
                <c:formatCode>0%</c:formatCode>
                <c:ptCount val="3"/>
                <c:pt idx="0">
                  <c:v>0.22</c:v>
                </c:pt>
                <c:pt idx="1">
                  <c:v>0.25</c:v>
                </c:pt>
                <c:pt idx="2">
                  <c:v>0.28</c:v>
                </c:pt>
              </c:numCache>
            </c:numRef>
          </c:val>
        </c:ser>
        <c:dLbls>
          <c:showLegendKey val="0"/>
          <c:showVal val="0"/>
          <c:showCatName val="0"/>
          <c:showSerName val="0"/>
          <c:showPercent val="0"/>
          <c:showBubbleSize val="0"/>
        </c:dLbls>
        <c:gapWidth val="182"/>
        <c:axId val="1199504160"/>
        <c:axId val="1199504704"/>
      </c:barChart>
      <c:catAx>
        <c:axId val="119950416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crossAx val="1199504704"/>
        <c:crosses val="autoZero"/>
        <c:auto val="1"/>
        <c:lblAlgn val="ctr"/>
        <c:lblOffset val="100"/>
        <c:noMultiLvlLbl val="0"/>
      </c:catAx>
      <c:valAx>
        <c:axId val="1199504704"/>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199504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Sheet1!$A$2:$A$48</c:f>
              <c:strCache>
                <c:ptCount val="39"/>
                <c:pt idx="0">
                  <c:v>汽车客运中心</c:v>
                </c:pt>
                <c:pt idx="1">
                  <c:v>江南花都</c:v>
                </c:pt>
                <c:pt idx="2">
                  <c:v>江南半岛</c:v>
                </c:pt>
                <c:pt idx="3">
                  <c:v>天台山村</c:v>
                </c:pt>
                <c:pt idx="4">
                  <c:v>孙家坝农贸市场</c:v>
                </c:pt>
                <c:pt idx="5">
                  <c:v>市房管局</c:v>
                </c:pt>
                <c:pt idx="6">
                  <c:v>松涛桥</c:v>
                </c:pt>
                <c:pt idx="7">
                  <c:v>台阳路</c:v>
                </c:pt>
                <c:pt idx="8">
                  <c:v>九曲河广场</c:v>
                </c:pt>
                <c:pt idx="9">
                  <c:v>黄泥巴山</c:v>
                </c:pt>
                <c:pt idx="10">
                  <c:v>市政府</c:v>
                </c:pt>
                <c:pt idx="11">
                  <c:v>河堰嘴</c:v>
                </c:pt>
                <c:pt idx="12">
                  <c:v>电信大楼</c:v>
                </c:pt>
                <c:pt idx="13">
                  <c:v>交警一大队</c:v>
                </c:pt>
                <c:pt idx="14">
                  <c:v>西门市场</c:v>
                </c:pt>
                <c:pt idx="15">
                  <c:v>水工局</c:v>
                </c:pt>
                <c:pt idx="16">
                  <c:v>上西街口</c:v>
                </c:pt>
                <c:pt idx="17">
                  <c:v>桥亭子</c:v>
                </c:pt>
                <c:pt idx="18">
                  <c:v>建设北路一段</c:v>
                </c:pt>
                <c:pt idx="19">
                  <c:v>医药公司</c:v>
                </c:pt>
                <c:pt idx="20">
                  <c:v>资阳客运站</c:v>
                </c:pt>
                <c:pt idx="21">
                  <c:v>建东市场</c:v>
                </c:pt>
                <c:pt idx="22">
                  <c:v>静苑小区</c:v>
                </c:pt>
                <c:pt idx="23">
                  <c:v>沱江一桥</c:v>
                </c:pt>
                <c:pt idx="24">
                  <c:v>东城大道一段</c:v>
                </c:pt>
                <c:pt idx="25">
                  <c:v>毛家堰</c:v>
                </c:pt>
                <c:pt idx="26">
                  <c:v>半山风情</c:v>
                </c:pt>
                <c:pt idx="27">
                  <c:v>宝台政府</c:v>
                </c:pt>
                <c:pt idx="28">
                  <c:v>天生花苑</c:v>
                </c:pt>
                <c:pt idx="29">
                  <c:v>城东区政府</c:v>
                </c:pt>
                <c:pt idx="30">
                  <c:v>区公安局</c:v>
                </c:pt>
                <c:pt idx="31">
                  <c:v>字库山公园</c:v>
                </c:pt>
                <c:pt idx="32">
                  <c:v>演艺中心</c:v>
                </c:pt>
                <c:pt idx="33">
                  <c:v>导航站</c:v>
                </c:pt>
                <c:pt idx="34">
                  <c:v>高铁旱桥</c:v>
                </c:pt>
                <c:pt idx="35">
                  <c:v>城东高铁站</c:v>
                </c:pt>
                <c:pt idx="36">
                  <c:v>雷音花苑</c:v>
                </c:pt>
                <c:pt idx="37">
                  <c:v>绵阳育才中学</c:v>
                </c:pt>
                <c:pt idx="38">
                  <c:v>马站</c:v>
                </c:pt>
              </c:strCache>
            </c:strRef>
          </c:cat>
          <c:val>
            <c:numRef>
              <c:f>Sheet1!$B$2:$B$39</c:f>
              <c:numCache>
                <c:formatCode>General</c:formatCode>
                <c:ptCount val="38"/>
                <c:pt idx="0">
                  <c:v>10</c:v>
                </c:pt>
                <c:pt idx="1">
                  <c:v>11</c:v>
                </c:pt>
                <c:pt idx="2">
                  <c:v>12</c:v>
                </c:pt>
                <c:pt idx="3">
                  <c:v>12</c:v>
                </c:pt>
                <c:pt idx="4">
                  <c:v>12</c:v>
                </c:pt>
                <c:pt idx="5">
                  <c:v>13</c:v>
                </c:pt>
                <c:pt idx="6">
                  <c:v>15</c:v>
                </c:pt>
                <c:pt idx="7">
                  <c:v>13</c:v>
                </c:pt>
                <c:pt idx="8">
                  <c:v>13</c:v>
                </c:pt>
                <c:pt idx="9">
                  <c:v>13</c:v>
                </c:pt>
                <c:pt idx="10">
                  <c:v>18</c:v>
                </c:pt>
                <c:pt idx="11">
                  <c:v>20</c:v>
                </c:pt>
                <c:pt idx="12">
                  <c:v>23</c:v>
                </c:pt>
                <c:pt idx="13">
                  <c:v>25</c:v>
                </c:pt>
                <c:pt idx="14">
                  <c:v>21</c:v>
                </c:pt>
                <c:pt idx="15">
                  <c:v>21</c:v>
                </c:pt>
                <c:pt idx="16">
                  <c:v>23</c:v>
                </c:pt>
                <c:pt idx="17">
                  <c:v>27</c:v>
                </c:pt>
                <c:pt idx="18">
                  <c:v>27</c:v>
                </c:pt>
                <c:pt idx="19">
                  <c:v>29</c:v>
                </c:pt>
                <c:pt idx="20">
                  <c:v>20</c:v>
                </c:pt>
                <c:pt idx="21">
                  <c:v>21</c:v>
                </c:pt>
                <c:pt idx="22">
                  <c:v>35</c:v>
                </c:pt>
                <c:pt idx="23">
                  <c:v>39</c:v>
                </c:pt>
                <c:pt idx="24">
                  <c:v>39</c:v>
                </c:pt>
                <c:pt idx="25">
                  <c:v>38</c:v>
                </c:pt>
                <c:pt idx="26">
                  <c:v>35</c:v>
                </c:pt>
                <c:pt idx="27">
                  <c:v>35</c:v>
                </c:pt>
                <c:pt idx="28">
                  <c:v>20</c:v>
                </c:pt>
                <c:pt idx="29">
                  <c:v>17</c:v>
                </c:pt>
                <c:pt idx="30">
                  <c:v>11</c:v>
                </c:pt>
                <c:pt idx="31">
                  <c:v>11</c:v>
                </c:pt>
                <c:pt idx="32">
                  <c:v>10</c:v>
                </c:pt>
                <c:pt idx="33">
                  <c:v>10</c:v>
                </c:pt>
                <c:pt idx="34">
                  <c:v>10</c:v>
                </c:pt>
                <c:pt idx="35">
                  <c:v>10</c:v>
                </c:pt>
                <c:pt idx="36">
                  <c:v>4</c:v>
                </c:pt>
                <c:pt idx="37">
                  <c:v>4</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Sheet1!$A$2:$A$48</c:f>
              <c:strCache>
                <c:ptCount val="39"/>
                <c:pt idx="0">
                  <c:v>汽车客运中心</c:v>
                </c:pt>
                <c:pt idx="1">
                  <c:v>江南花都</c:v>
                </c:pt>
                <c:pt idx="2">
                  <c:v>江南半岛</c:v>
                </c:pt>
                <c:pt idx="3">
                  <c:v>天台山村</c:v>
                </c:pt>
                <c:pt idx="4">
                  <c:v>孙家坝农贸市场</c:v>
                </c:pt>
                <c:pt idx="5">
                  <c:v>市房管局</c:v>
                </c:pt>
                <c:pt idx="6">
                  <c:v>松涛桥</c:v>
                </c:pt>
                <c:pt idx="7">
                  <c:v>台阳路</c:v>
                </c:pt>
                <c:pt idx="8">
                  <c:v>九曲河广场</c:v>
                </c:pt>
                <c:pt idx="9">
                  <c:v>黄泥巴山</c:v>
                </c:pt>
                <c:pt idx="10">
                  <c:v>市政府</c:v>
                </c:pt>
                <c:pt idx="11">
                  <c:v>河堰嘴</c:v>
                </c:pt>
                <c:pt idx="12">
                  <c:v>电信大楼</c:v>
                </c:pt>
                <c:pt idx="13">
                  <c:v>交警一大队</c:v>
                </c:pt>
                <c:pt idx="14">
                  <c:v>西门市场</c:v>
                </c:pt>
                <c:pt idx="15">
                  <c:v>水工局</c:v>
                </c:pt>
                <c:pt idx="16">
                  <c:v>上西街口</c:v>
                </c:pt>
                <c:pt idx="17">
                  <c:v>桥亭子</c:v>
                </c:pt>
                <c:pt idx="18">
                  <c:v>建设北路一段</c:v>
                </c:pt>
                <c:pt idx="19">
                  <c:v>医药公司</c:v>
                </c:pt>
                <c:pt idx="20">
                  <c:v>资阳客运站</c:v>
                </c:pt>
                <c:pt idx="21">
                  <c:v>建东市场</c:v>
                </c:pt>
                <c:pt idx="22">
                  <c:v>静苑小区</c:v>
                </c:pt>
                <c:pt idx="23">
                  <c:v>沱江一桥</c:v>
                </c:pt>
                <c:pt idx="24">
                  <c:v>东城大道一段</c:v>
                </c:pt>
                <c:pt idx="25">
                  <c:v>毛家堰</c:v>
                </c:pt>
                <c:pt idx="26">
                  <c:v>半山风情</c:v>
                </c:pt>
                <c:pt idx="27">
                  <c:v>宝台政府</c:v>
                </c:pt>
                <c:pt idx="28">
                  <c:v>天生花苑</c:v>
                </c:pt>
                <c:pt idx="29">
                  <c:v>城东区政府</c:v>
                </c:pt>
                <c:pt idx="30">
                  <c:v>区公安局</c:v>
                </c:pt>
                <c:pt idx="31">
                  <c:v>字库山公园</c:v>
                </c:pt>
                <c:pt idx="32">
                  <c:v>演艺中心</c:v>
                </c:pt>
                <c:pt idx="33">
                  <c:v>导航站</c:v>
                </c:pt>
                <c:pt idx="34">
                  <c:v>高铁旱桥</c:v>
                </c:pt>
                <c:pt idx="35">
                  <c:v>城东高铁站</c:v>
                </c:pt>
                <c:pt idx="36">
                  <c:v>雷音花苑</c:v>
                </c:pt>
                <c:pt idx="37">
                  <c:v>绵阳育才中学</c:v>
                </c:pt>
                <c:pt idx="38">
                  <c:v>马站</c:v>
                </c:pt>
              </c:strCache>
            </c:strRef>
          </c:cat>
          <c:val>
            <c:numRef>
              <c:f>Sheet1!$C$2:$C$48</c:f>
              <c:numCache>
                <c:formatCode>General</c:formatCode>
                <c:ptCount val="47"/>
                <c:pt idx="0">
                  <c:v>1</c:v>
                </c:pt>
                <c:pt idx="1">
                  <c:v>9</c:v>
                </c:pt>
                <c:pt idx="2">
                  <c:v>9</c:v>
                </c:pt>
                <c:pt idx="3">
                  <c:v>9</c:v>
                </c:pt>
                <c:pt idx="4">
                  <c:v>8</c:v>
                </c:pt>
                <c:pt idx="5">
                  <c:v>10</c:v>
                </c:pt>
                <c:pt idx="6">
                  <c:v>11</c:v>
                </c:pt>
                <c:pt idx="7">
                  <c:v>11</c:v>
                </c:pt>
                <c:pt idx="8">
                  <c:v>11</c:v>
                </c:pt>
                <c:pt idx="9">
                  <c:v>11</c:v>
                </c:pt>
                <c:pt idx="10">
                  <c:v>17</c:v>
                </c:pt>
                <c:pt idx="11">
                  <c:v>17</c:v>
                </c:pt>
                <c:pt idx="12">
                  <c:v>17</c:v>
                </c:pt>
                <c:pt idx="13">
                  <c:v>18</c:v>
                </c:pt>
                <c:pt idx="14">
                  <c:v>18</c:v>
                </c:pt>
                <c:pt idx="15">
                  <c:v>18</c:v>
                </c:pt>
                <c:pt idx="16">
                  <c:v>21</c:v>
                </c:pt>
                <c:pt idx="17">
                  <c:v>20</c:v>
                </c:pt>
                <c:pt idx="18">
                  <c:v>23</c:v>
                </c:pt>
                <c:pt idx="19">
                  <c:v>23</c:v>
                </c:pt>
                <c:pt idx="20">
                  <c:v>22</c:v>
                </c:pt>
                <c:pt idx="21">
                  <c:v>23</c:v>
                </c:pt>
                <c:pt idx="22">
                  <c:v>29</c:v>
                </c:pt>
                <c:pt idx="23">
                  <c:v>31</c:v>
                </c:pt>
                <c:pt idx="24">
                  <c:v>31</c:v>
                </c:pt>
                <c:pt idx="25">
                  <c:v>33</c:v>
                </c:pt>
                <c:pt idx="26">
                  <c:v>34</c:v>
                </c:pt>
                <c:pt idx="27">
                  <c:v>30</c:v>
                </c:pt>
                <c:pt idx="28">
                  <c:v>29</c:v>
                </c:pt>
                <c:pt idx="29">
                  <c:v>28</c:v>
                </c:pt>
                <c:pt idx="30">
                  <c:v>26</c:v>
                </c:pt>
                <c:pt idx="31">
                  <c:v>24</c:v>
                </c:pt>
                <c:pt idx="32">
                  <c:v>24</c:v>
                </c:pt>
                <c:pt idx="33">
                  <c:v>24</c:v>
                </c:pt>
                <c:pt idx="34">
                  <c:v>24</c:v>
                </c:pt>
                <c:pt idx="35">
                  <c:v>19</c:v>
                </c:pt>
                <c:pt idx="36">
                  <c:v>20</c:v>
                </c:pt>
                <c:pt idx="37">
                  <c:v>3</c:v>
                </c:pt>
                <c:pt idx="38">
                  <c:v>0</c:v>
                </c:pt>
              </c:numCache>
            </c:numRef>
          </c:val>
          <c:smooth val="0"/>
        </c:ser>
        <c:dLbls>
          <c:showLegendKey val="0"/>
          <c:showVal val="0"/>
          <c:showCatName val="0"/>
          <c:showSerName val="0"/>
          <c:showPercent val="0"/>
          <c:showBubbleSize val="0"/>
        </c:dLbls>
        <c:marker val="0"/>
        <c:smooth val="0"/>
        <c:axId val="1060626352"/>
        <c:axId val="1060639408"/>
      </c:lineChart>
      <c:catAx>
        <c:axId val="1060626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39408"/>
        <c:crosses val="autoZero"/>
        <c:auto val="1"/>
        <c:lblAlgn val="ctr"/>
        <c:lblOffset val="100"/>
        <c:noMultiLvlLbl val="0"/>
      </c:catAx>
      <c:valAx>
        <c:axId val="106063940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2635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Sheet1!$A$2:$A$40</c:f>
              <c:strCache>
                <c:ptCount val="39"/>
                <c:pt idx="0">
                  <c:v>马站</c:v>
                </c:pt>
                <c:pt idx="1">
                  <c:v>绵阳育才中学</c:v>
                </c:pt>
                <c:pt idx="2">
                  <c:v>雷音花苑</c:v>
                </c:pt>
                <c:pt idx="3">
                  <c:v>城东高铁站</c:v>
                </c:pt>
                <c:pt idx="4">
                  <c:v>高铁旱桥</c:v>
                </c:pt>
                <c:pt idx="5">
                  <c:v>导航站</c:v>
                </c:pt>
                <c:pt idx="6">
                  <c:v>演艺中心</c:v>
                </c:pt>
                <c:pt idx="7">
                  <c:v>字库山公园</c:v>
                </c:pt>
                <c:pt idx="8">
                  <c:v>区公安局</c:v>
                </c:pt>
                <c:pt idx="9">
                  <c:v>城东区政府</c:v>
                </c:pt>
                <c:pt idx="10">
                  <c:v>天生花苑</c:v>
                </c:pt>
                <c:pt idx="11">
                  <c:v>宝台政府</c:v>
                </c:pt>
                <c:pt idx="12">
                  <c:v>半山风情</c:v>
                </c:pt>
                <c:pt idx="13">
                  <c:v>毛家堰</c:v>
                </c:pt>
                <c:pt idx="14">
                  <c:v>东城大道一段</c:v>
                </c:pt>
                <c:pt idx="15">
                  <c:v>沱江一桥</c:v>
                </c:pt>
                <c:pt idx="16">
                  <c:v>静苑小区</c:v>
                </c:pt>
                <c:pt idx="17">
                  <c:v>建东市场</c:v>
                </c:pt>
                <c:pt idx="18">
                  <c:v>资阳客运站</c:v>
                </c:pt>
                <c:pt idx="19">
                  <c:v>医药公司</c:v>
                </c:pt>
                <c:pt idx="20">
                  <c:v>建设北路一段</c:v>
                </c:pt>
                <c:pt idx="21">
                  <c:v>区医院</c:v>
                </c:pt>
                <c:pt idx="22">
                  <c:v>家乐福</c:v>
                </c:pt>
                <c:pt idx="23">
                  <c:v>西门市场</c:v>
                </c:pt>
                <c:pt idx="24">
                  <c:v>交警一大队</c:v>
                </c:pt>
                <c:pt idx="25">
                  <c:v>电信大楼</c:v>
                </c:pt>
                <c:pt idx="26">
                  <c:v>河堰嘴</c:v>
                </c:pt>
                <c:pt idx="27">
                  <c:v>市政府</c:v>
                </c:pt>
                <c:pt idx="28">
                  <c:v>九曲河广场</c:v>
                </c:pt>
                <c:pt idx="29">
                  <c:v>台阳路</c:v>
                </c:pt>
                <c:pt idx="30">
                  <c:v>松涛桥</c:v>
                </c:pt>
                <c:pt idx="31">
                  <c:v>市房管局</c:v>
                </c:pt>
                <c:pt idx="32">
                  <c:v>孙家坝农贸市场</c:v>
                </c:pt>
                <c:pt idx="33">
                  <c:v>天台山村</c:v>
                </c:pt>
                <c:pt idx="34">
                  <c:v>江南半岛</c:v>
                </c:pt>
                <c:pt idx="35">
                  <c:v>江南花都</c:v>
                </c:pt>
                <c:pt idx="36">
                  <c:v>汽车客运中心</c:v>
                </c:pt>
                <c:pt idx="37">
                  <c:v>汽车客运中心</c:v>
                </c:pt>
                <c:pt idx="38">
                  <c:v>城东高铁站</c:v>
                </c:pt>
              </c:strCache>
            </c:strRef>
          </c:cat>
          <c:val>
            <c:numRef>
              <c:f>Sheet1!$B$2:$B$40</c:f>
              <c:numCache>
                <c:formatCode>General</c:formatCode>
                <c:ptCount val="39"/>
                <c:pt idx="0">
                  <c:v>10</c:v>
                </c:pt>
                <c:pt idx="1">
                  <c:v>10</c:v>
                </c:pt>
                <c:pt idx="2">
                  <c:v>17</c:v>
                </c:pt>
                <c:pt idx="3">
                  <c:v>23</c:v>
                </c:pt>
                <c:pt idx="4">
                  <c:v>23</c:v>
                </c:pt>
                <c:pt idx="5">
                  <c:v>23</c:v>
                </c:pt>
                <c:pt idx="6">
                  <c:v>23</c:v>
                </c:pt>
                <c:pt idx="7">
                  <c:v>25</c:v>
                </c:pt>
                <c:pt idx="8">
                  <c:v>30</c:v>
                </c:pt>
                <c:pt idx="9">
                  <c:v>33</c:v>
                </c:pt>
                <c:pt idx="10">
                  <c:v>37</c:v>
                </c:pt>
                <c:pt idx="11">
                  <c:v>35</c:v>
                </c:pt>
                <c:pt idx="12">
                  <c:v>30</c:v>
                </c:pt>
                <c:pt idx="13">
                  <c:v>35</c:v>
                </c:pt>
                <c:pt idx="14">
                  <c:v>35</c:v>
                </c:pt>
                <c:pt idx="15">
                  <c:v>28</c:v>
                </c:pt>
                <c:pt idx="16">
                  <c:v>22</c:v>
                </c:pt>
                <c:pt idx="17">
                  <c:v>19</c:v>
                </c:pt>
                <c:pt idx="18">
                  <c:v>19</c:v>
                </c:pt>
                <c:pt idx="19">
                  <c:v>17</c:v>
                </c:pt>
                <c:pt idx="20">
                  <c:v>16</c:v>
                </c:pt>
                <c:pt idx="21">
                  <c:v>9</c:v>
                </c:pt>
                <c:pt idx="22">
                  <c:v>9</c:v>
                </c:pt>
                <c:pt idx="23">
                  <c:v>7</c:v>
                </c:pt>
                <c:pt idx="24">
                  <c:v>7</c:v>
                </c:pt>
                <c:pt idx="25">
                  <c:v>4</c:v>
                </c:pt>
                <c:pt idx="26">
                  <c:v>7</c:v>
                </c:pt>
                <c:pt idx="27">
                  <c:v>8</c:v>
                </c:pt>
                <c:pt idx="28">
                  <c:v>6</c:v>
                </c:pt>
                <c:pt idx="29">
                  <c:v>6</c:v>
                </c:pt>
                <c:pt idx="30">
                  <c:v>6</c:v>
                </c:pt>
                <c:pt idx="31">
                  <c:v>6</c:v>
                </c:pt>
                <c:pt idx="32">
                  <c:v>5</c:v>
                </c:pt>
                <c:pt idx="33">
                  <c:v>5</c:v>
                </c:pt>
                <c:pt idx="34">
                  <c:v>5</c:v>
                </c:pt>
                <c:pt idx="35">
                  <c:v>1</c:v>
                </c:pt>
                <c:pt idx="36">
                  <c:v>0</c:v>
                </c:pt>
                <c:pt idx="37">
                  <c:v>0</c:v>
                </c:pt>
                <c:pt idx="38">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Sheet1!$A$2:$A$40</c:f>
              <c:strCache>
                <c:ptCount val="39"/>
                <c:pt idx="0">
                  <c:v>马站</c:v>
                </c:pt>
                <c:pt idx="1">
                  <c:v>绵阳育才中学</c:v>
                </c:pt>
                <c:pt idx="2">
                  <c:v>雷音花苑</c:v>
                </c:pt>
                <c:pt idx="3">
                  <c:v>城东高铁站</c:v>
                </c:pt>
                <c:pt idx="4">
                  <c:v>高铁旱桥</c:v>
                </c:pt>
                <c:pt idx="5">
                  <c:v>导航站</c:v>
                </c:pt>
                <c:pt idx="6">
                  <c:v>演艺中心</c:v>
                </c:pt>
                <c:pt idx="7">
                  <c:v>字库山公园</c:v>
                </c:pt>
                <c:pt idx="8">
                  <c:v>区公安局</c:v>
                </c:pt>
                <c:pt idx="9">
                  <c:v>城东区政府</c:v>
                </c:pt>
                <c:pt idx="10">
                  <c:v>天生花苑</c:v>
                </c:pt>
                <c:pt idx="11">
                  <c:v>宝台政府</c:v>
                </c:pt>
                <c:pt idx="12">
                  <c:v>半山风情</c:v>
                </c:pt>
                <c:pt idx="13">
                  <c:v>毛家堰</c:v>
                </c:pt>
                <c:pt idx="14">
                  <c:v>东城大道一段</c:v>
                </c:pt>
                <c:pt idx="15">
                  <c:v>沱江一桥</c:v>
                </c:pt>
                <c:pt idx="16">
                  <c:v>静苑小区</c:v>
                </c:pt>
                <c:pt idx="17">
                  <c:v>建东市场</c:v>
                </c:pt>
                <c:pt idx="18">
                  <c:v>资阳客运站</c:v>
                </c:pt>
                <c:pt idx="19">
                  <c:v>医药公司</c:v>
                </c:pt>
                <c:pt idx="20">
                  <c:v>建设北路一段</c:v>
                </c:pt>
                <c:pt idx="21">
                  <c:v>区医院</c:v>
                </c:pt>
                <c:pt idx="22">
                  <c:v>家乐福</c:v>
                </c:pt>
                <c:pt idx="23">
                  <c:v>西门市场</c:v>
                </c:pt>
                <c:pt idx="24">
                  <c:v>交警一大队</c:v>
                </c:pt>
                <c:pt idx="25">
                  <c:v>电信大楼</c:v>
                </c:pt>
                <c:pt idx="26">
                  <c:v>河堰嘴</c:v>
                </c:pt>
                <c:pt idx="27">
                  <c:v>市政府</c:v>
                </c:pt>
                <c:pt idx="28">
                  <c:v>九曲河广场</c:v>
                </c:pt>
                <c:pt idx="29">
                  <c:v>台阳路</c:v>
                </c:pt>
                <c:pt idx="30">
                  <c:v>松涛桥</c:v>
                </c:pt>
                <c:pt idx="31">
                  <c:v>市房管局</c:v>
                </c:pt>
                <c:pt idx="32">
                  <c:v>孙家坝农贸市场</c:v>
                </c:pt>
                <c:pt idx="33">
                  <c:v>天台山村</c:v>
                </c:pt>
                <c:pt idx="34">
                  <c:v>江南半岛</c:v>
                </c:pt>
                <c:pt idx="35">
                  <c:v>江南花都</c:v>
                </c:pt>
                <c:pt idx="36">
                  <c:v>汽车客运中心</c:v>
                </c:pt>
                <c:pt idx="37">
                  <c:v>汽车客运中心</c:v>
                </c:pt>
                <c:pt idx="38">
                  <c:v>城东高铁站</c:v>
                </c:pt>
              </c:strCache>
            </c:strRef>
          </c:cat>
          <c:val>
            <c:numRef>
              <c:f>Sheet1!$C$2:$C$40</c:f>
              <c:numCache>
                <c:formatCode>General</c:formatCode>
                <c:ptCount val="39"/>
                <c:pt idx="0">
                  <c:v>14</c:v>
                </c:pt>
                <c:pt idx="1">
                  <c:v>16</c:v>
                </c:pt>
                <c:pt idx="2">
                  <c:v>25</c:v>
                </c:pt>
                <c:pt idx="3">
                  <c:v>25</c:v>
                </c:pt>
                <c:pt idx="4">
                  <c:v>25</c:v>
                </c:pt>
                <c:pt idx="5">
                  <c:v>25</c:v>
                </c:pt>
                <c:pt idx="6">
                  <c:v>25</c:v>
                </c:pt>
                <c:pt idx="7">
                  <c:v>31</c:v>
                </c:pt>
                <c:pt idx="8">
                  <c:v>34</c:v>
                </c:pt>
                <c:pt idx="9">
                  <c:v>40</c:v>
                </c:pt>
                <c:pt idx="10">
                  <c:v>39</c:v>
                </c:pt>
                <c:pt idx="11">
                  <c:v>39</c:v>
                </c:pt>
                <c:pt idx="12">
                  <c:v>40</c:v>
                </c:pt>
                <c:pt idx="13">
                  <c:v>42</c:v>
                </c:pt>
                <c:pt idx="14">
                  <c:v>40</c:v>
                </c:pt>
                <c:pt idx="15">
                  <c:v>29</c:v>
                </c:pt>
                <c:pt idx="16">
                  <c:v>27</c:v>
                </c:pt>
                <c:pt idx="17">
                  <c:v>21</c:v>
                </c:pt>
                <c:pt idx="18">
                  <c:v>21</c:v>
                </c:pt>
                <c:pt idx="19">
                  <c:v>21</c:v>
                </c:pt>
                <c:pt idx="20">
                  <c:v>21</c:v>
                </c:pt>
                <c:pt idx="21">
                  <c:v>18</c:v>
                </c:pt>
                <c:pt idx="22">
                  <c:v>13</c:v>
                </c:pt>
                <c:pt idx="23">
                  <c:v>13</c:v>
                </c:pt>
                <c:pt idx="24">
                  <c:v>12</c:v>
                </c:pt>
                <c:pt idx="25">
                  <c:v>11</c:v>
                </c:pt>
                <c:pt idx="26">
                  <c:v>8</c:v>
                </c:pt>
                <c:pt idx="27">
                  <c:v>16</c:v>
                </c:pt>
                <c:pt idx="28">
                  <c:v>14</c:v>
                </c:pt>
                <c:pt idx="29">
                  <c:v>14</c:v>
                </c:pt>
                <c:pt idx="30">
                  <c:v>14</c:v>
                </c:pt>
                <c:pt idx="31">
                  <c:v>15</c:v>
                </c:pt>
                <c:pt idx="32">
                  <c:v>15</c:v>
                </c:pt>
                <c:pt idx="33">
                  <c:v>13</c:v>
                </c:pt>
                <c:pt idx="34">
                  <c:v>8</c:v>
                </c:pt>
                <c:pt idx="35">
                  <c:v>1</c:v>
                </c:pt>
                <c:pt idx="36">
                  <c:v>0</c:v>
                </c:pt>
                <c:pt idx="37">
                  <c:v>0</c:v>
                </c:pt>
                <c:pt idx="38">
                  <c:v>0</c:v>
                </c:pt>
              </c:numCache>
            </c:numRef>
          </c:val>
          <c:smooth val="0"/>
        </c:ser>
        <c:dLbls>
          <c:showLegendKey val="0"/>
          <c:showVal val="0"/>
          <c:showCatName val="0"/>
          <c:showSerName val="0"/>
          <c:showPercent val="0"/>
          <c:showBubbleSize val="0"/>
        </c:dLbls>
        <c:marker val="0"/>
        <c:smooth val="0"/>
        <c:axId val="1060632336"/>
        <c:axId val="1060640496"/>
      </c:lineChart>
      <c:catAx>
        <c:axId val="10606323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0496"/>
        <c:crosses val="autoZero"/>
        <c:auto val="1"/>
        <c:lblAlgn val="ctr"/>
        <c:lblOffset val="100"/>
        <c:noMultiLvlLbl val="0"/>
      </c:catAx>
      <c:valAx>
        <c:axId val="106064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32336"/>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Sheet1!$A$2:$A$26</c:f>
              <c:strCache>
                <c:ptCount val="25"/>
                <c:pt idx="0">
                  <c:v>汽车客运中心</c:v>
                </c:pt>
                <c:pt idx="1">
                  <c:v>江南花都</c:v>
                </c:pt>
                <c:pt idx="2">
                  <c:v>江南半岛</c:v>
                </c:pt>
                <c:pt idx="3">
                  <c:v>苌弘广场</c:v>
                </c:pt>
                <c:pt idx="4">
                  <c:v>师范校</c:v>
                </c:pt>
                <c:pt idx="5">
                  <c:v>南门口</c:v>
                </c:pt>
                <c:pt idx="6">
                  <c:v>百货大楼</c:v>
                </c:pt>
                <c:pt idx="7">
                  <c:v>区医院</c:v>
                </c:pt>
                <c:pt idx="8">
                  <c:v>家乐福</c:v>
                </c:pt>
                <c:pt idx="9">
                  <c:v>西门市场</c:v>
                </c:pt>
                <c:pt idx="10">
                  <c:v>交警一大队</c:v>
                </c:pt>
                <c:pt idx="11">
                  <c:v>电信大楼</c:v>
                </c:pt>
                <c:pt idx="12">
                  <c:v>四三一总厂</c:v>
                </c:pt>
                <c:pt idx="13">
                  <c:v>天宇市场</c:v>
                </c:pt>
                <c:pt idx="14">
                  <c:v>市公安局</c:v>
                </c:pt>
                <c:pt idx="15">
                  <c:v>狮子山</c:v>
                </c:pt>
                <c:pt idx="16">
                  <c:v>市人民医院</c:v>
                </c:pt>
                <c:pt idx="17">
                  <c:v>筏子桥</c:v>
                </c:pt>
                <c:pt idx="18">
                  <c:v>友谊桥</c:v>
                </c:pt>
                <c:pt idx="19">
                  <c:v>二分厂</c:v>
                </c:pt>
                <c:pt idx="20">
                  <c:v>孙家湾</c:v>
                </c:pt>
                <c:pt idx="21">
                  <c:v>德圣疗养中心</c:v>
                </c:pt>
                <c:pt idx="22">
                  <c:v>玉柴公司</c:v>
                </c:pt>
                <c:pt idx="23">
                  <c:v>大堰叉路口 </c:v>
                </c:pt>
                <c:pt idx="24">
                  <c:v>清泉</c:v>
                </c:pt>
              </c:strCache>
            </c:strRef>
          </c:cat>
          <c:val>
            <c:numRef>
              <c:f>Sheet1!$B$2:$B$26</c:f>
              <c:numCache>
                <c:formatCode>General</c:formatCode>
                <c:ptCount val="25"/>
                <c:pt idx="0">
                  <c:v>8</c:v>
                </c:pt>
                <c:pt idx="1">
                  <c:v>11</c:v>
                </c:pt>
                <c:pt idx="2">
                  <c:v>23</c:v>
                </c:pt>
                <c:pt idx="3">
                  <c:v>23</c:v>
                </c:pt>
                <c:pt idx="4">
                  <c:v>26</c:v>
                </c:pt>
                <c:pt idx="5">
                  <c:v>27</c:v>
                </c:pt>
                <c:pt idx="6">
                  <c:v>28</c:v>
                </c:pt>
                <c:pt idx="7">
                  <c:v>32</c:v>
                </c:pt>
                <c:pt idx="8">
                  <c:v>31</c:v>
                </c:pt>
                <c:pt idx="9">
                  <c:v>35</c:v>
                </c:pt>
                <c:pt idx="10">
                  <c:v>38</c:v>
                </c:pt>
                <c:pt idx="11">
                  <c:v>34</c:v>
                </c:pt>
                <c:pt idx="12">
                  <c:v>34</c:v>
                </c:pt>
                <c:pt idx="13">
                  <c:v>33</c:v>
                </c:pt>
                <c:pt idx="14">
                  <c:v>34</c:v>
                </c:pt>
                <c:pt idx="15">
                  <c:v>28</c:v>
                </c:pt>
                <c:pt idx="16">
                  <c:v>27</c:v>
                </c:pt>
                <c:pt idx="17">
                  <c:v>25</c:v>
                </c:pt>
                <c:pt idx="18">
                  <c:v>24</c:v>
                </c:pt>
                <c:pt idx="19">
                  <c:v>24</c:v>
                </c:pt>
                <c:pt idx="20">
                  <c:v>24</c:v>
                </c:pt>
                <c:pt idx="21">
                  <c:v>24</c:v>
                </c:pt>
                <c:pt idx="22">
                  <c:v>20</c:v>
                </c:pt>
                <c:pt idx="23">
                  <c:v>17</c:v>
                </c:pt>
                <c:pt idx="24">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Sheet1!$A$2:$A$26</c:f>
              <c:strCache>
                <c:ptCount val="25"/>
                <c:pt idx="0">
                  <c:v>汽车客运中心</c:v>
                </c:pt>
                <c:pt idx="1">
                  <c:v>江南花都</c:v>
                </c:pt>
                <c:pt idx="2">
                  <c:v>江南半岛</c:v>
                </c:pt>
                <c:pt idx="3">
                  <c:v>苌弘广场</c:v>
                </c:pt>
                <c:pt idx="4">
                  <c:v>师范校</c:v>
                </c:pt>
                <c:pt idx="5">
                  <c:v>南门口</c:v>
                </c:pt>
                <c:pt idx="6">
                  <c:v>百货大楼</c:v>
                </c:pt>
                <c:pt idx="7">
                  <c:v>区医院</c:v>
                </c:pt>
                <c:pt idx="8">
                  <c:v>家乐福</c:v>
                </c:pt>
                <c:pt idx="9">
                  <c:v>西门市场</c:v>
                </c:pt>
                <c:pt idx="10">
                  <c:v>交警一大队</c:v>
                </c:pt>
                <c:pt idx="11">
                  <c:v>电信大楼</c:v>
                </c:pt>
                <c:pt idx="12">
                  <c:v>四三一总厂</c:v>
                </c:pt>
                <c:pt idx="13">
                  <c:v>天宇市场</c:v>
                </c:pt>
                <c:pt idx="14">
                  <c:v>市公安局</c:v>
                </c:pt>
                <c:pt idx="15">
                  <c:v>狮子山</c:v>
                </c:pt>
                <c:pt idx="16">
                  <c:v>市人民医院</c:v>
                </c:pt>
                <c:pt idx="17">
                  <c:v>筏子桥</c:v>
                </c:pt>
                <c:pt idx="18">
                  <c:v>友谊桥</c:v>
                </c:pt>
                <c:pt idx="19">
                  <c:v>二分厂</c:v>
                </c:pt>
                <c:pt idx="20">
                  <c:v>孙家湾</c:v>
                </c:pt>
                <c:pt idx="21">
                  <c:v>德圣疗养中心</c:v>
                </c:pt>
                <c:pt idx="22">
                  <c:v>玉柴公司</c:v>
                </c:pt>
                <c:pt idx="23">
                  <c:v>大堰叉路口 </c:v>
                </c:pt>
                <c:pt idx="24">
                  <c:v>清泉</c:v>
                </c:pt>
              </c:strCache>
            </c:strRef>
          </c:cat>
          <c:val>
            <c:numRef>
              <c:f>Sheet1!$C$2:$C$26</c:f>
              <c:numCache>
                <c:formatCode>General</c:formatCode>
                <c:ptCount val="25"/>
                <c:pt idx="0">
                  <c:v>11</c:v>
                </c:pt>
                <c:pt idx="1">
                  <c:v>13</c:v>
                </c:pt>
                <c:pt idx="2">
                  <c:v>13</c:v>
                </c:pt>
                <c:pt idx="3">
                  <c:v>13</c:v>
                </c:pt>
                <c:pt idx="4">
                  <c:v>20</c:v>
                </c:pt>
                <c:pt idx="5">
                  <c:v>23</c:v>
                </c:pt>
                <c:pt idx="6">
                  <c:v>23</c:v>
                </c:pt>
                <c:pt idx="7">
                  <c:v>30</c:v>
                </c:pt>
                <c:pt idx="8">
                  <c:v>43</c:v>
                </c:pt>
                <c:pt idx="9">
                  <c:v>50</c:v>
                </c:pt>
                <c:pt idx="10">
                  <c:v>53</c:v>
                </c:pt>
                <c:pt idx="11">
                  <c:v>54</c:v>
                </c:pt>
                <c:pt idx="12">
                  <c:v>56</c:v>
                </c:pt>
                <c:pt idx="13">
                  <c:v>50</c:v>
                </c:pt>
                <c:pt idx="14">
                  <c:v>46</c:v>
                </c:pt>
                <c:pt idx="15">
                  <c:v>35</c:v>
                </c:pt>
                <c:pt idx="16">
                  <c:v>23</c:v>
                </c:pt>
                <c:pt idx="17">
                  <c:v>20</c:v>
                </c:pt>
                <c:pt idx="18">
                  <c:v>19</c:v>
                </c:pt>
                <c:pt idx="19">
                  <c:v>19</c:v>
                </c:pt>
                <c:pt idx="20">
                  <c:v>19</c:v>
                </c:pt>
                <c:pt idx="21">
                  <c:v>17</c:v>
                </c:pt>
                <c:pt idx="22">
                  <c:v>16</c:v>
                </c:pt>
                <c:pt idx="23">
                  <c:v>15</c:v>
                </c:pt>
                <c:pt idx="24">
                  <c:v>0</c:v>
                </c:pt>
              </c:numCache>
            </c:numRef>
          </c:val>
          <c:smooth val="0"/>
        </c:ser>
        <c:dLbls>
          <c:showLegendKey val="0"/>
          <c:showVal val="0"/>
          <c:showCatName val="0"/>
          <c:showSerName val="0"/>
          <c:showPercent val="0"/>
          <c:showBubbleSize val="0"/>
        </c:dLbls>
        <c:marker val="0"/>
        <c:smooth val="0"/>
        <c:axId val="1060630160"/>
        <c:axId val="1060630704"/>
      </c:lineChart>
      <c:catAx>
        <c:axId val="1060630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30704"/>
        <c:crosses val="autoZero"/>
        <c:auto val="1"/>
        <c:lblAlgn val="ctr"/>
        <c:lblOffset val="100"/>
        <c:noMultiLvlLbl val="0"/>
      </c:catAx>
      <c:valAx>
        <c:axId val="10606307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3016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Sheet1!$A$2:$A$27</c:f>
              <c:strCache>
                <c:ptCount val="26"/>
                <c:pt idx="0">
                  <c:v>清泉</c:v>
                </c:pt>
                <c:pt idx="1">
                  <c:v>大堰叉路口 </c:v>
                </c:pt>
                <c:pt idx="2">
                  <c:v>玉柴公司</c:v>
                </c:pt>
                <c:pt idx="3">
                  <c:v>德圣疗养中心</c:v>
                </c:pt>
                <c:pt idx="4">
                  <c:v>孙家湾</c:v>
                </c:pt>
                <c:pt idx="5">
                  <c:v>二分厂</c:v>
                </c:pt>
                <c:pt idx="6">
                  <c:v>友谊桥</c:v>
                </c:pt>
                <c:pt idx="7">
                  <c:v>筏子桥</c:v>
                </c:pt>
                <c:pt idx="8">
                  <c:v>市人民医院</c:v>
                </c:pt>
                <c:pt idx="9">
                  <c:v>狮子山</c:v>
                </c:pt>
                <c:pt idx="10">
                  <c:v>市公安局</c:v>
                </c:pt>
                <c:pt idx="11">
                  <c:v>天宇市场</c:v>
                </c:pt>
                <c:pt idx="12">
                  <c:v>四三一总厂</c:v>
                </c:pt>
                <c:pt idx="13">
                  <c:v>电信大楼</c:v>
                </c:pt>
                <c:pt idx="14">
                  <c:v>交警一大队</c:v>
                </c:pt>
                <c:pt idx="15">
                  <c:v>西门市场</c:v>
                </c:pt>
                <c:pt idx="16">
                  <c:v>省水工局</c:v>
                </c:pt>
                <c:pt idx="17">
                  <c:v>上西街口</c:v>
                </c:pt>
                <c:pt idx="18">
                  <c:v>桥亭子</c:v>
                </c:pt>
                <c:pt idx="19">
                  <c:v>百货大楼</c:v>
                </c:pt>
                <c:pt idx="20">
                  <c:v>南门口</c:v>
                </c:pt>
                <c:pt idx="21">
                  <c:v>师范校</c:v>
                </c:pt>
                <c:pt idx="22">
                  <c:v>苌弘广场</c:v>
                </c:pt>
                <c:pt idx="23">
                  <c:v>江南半岛</c:v>
                </c:pt>
                <c:pt idx="24">
                  <c:v>江南花都</c:v>
                </c:pt>
                <c:pt idx="25">
                  <c:v>汽车客运中心</c:v>
                </c:pt>
              </c:strCache>
            </c:strRef>
          </c:cat>
          <c:val>
            <c:numRef>
              <c:f>Sheet1!$B$2:$B$27</c:f>
              <c:numCache>
                <c:formatCode>General</c:formatCode>
                <c:ptCount val="26"/>
                <c:pt idx="0">
                  <c:v>3</c:v>
                </c:pt>
                <c:pt idx="1">
                  <c:v>5</c:v>
                </c:pt>
                <c:pt idx="2">
                  <c:v>18</c:v>
                </c:pt>
                <c:pt idx="3">
                  <c:v>19</c:v>
                </c:pt>
                <c:pt idx="4">
                  <c:v>20</c:v>
                </c:pt>
                <c:pt idx="5">
                  <c:v>20</c:v>
                </c:pt>
                <c:pt idx="6">
                  <c:v>20</c:v>
                </c:pt>
                <c:pt idx="7">
                  <c:v>20</c:v>
                </c:pt>
                <c:pt idx="8">
                  <c:v>21</c:v>
                </c:pt>
                <c:pt idx="9">
                  <c:v>29</c:v>
                </c:pt>
                <c:pt idx="10">
                  <c:v>32</c:v>
                </c:pt>
                <c:pt idx="11">
                  <c:v>36</c:v>
                </c:pt>
                <c:pt idx="12">
                  <c:v>37</c:v>
                </c:pt>
                <c:pt idx="13">
                  <c:v>38</c:v>
                </c:pt>
                <c:pt idx="14">
                  <c:v>35</c:v>
                </c:pt>
                <c:pt idx="15">
                  <c:v>31</c:v>
                </c:pt>
                <c:pt idx="16">
                  <c:v>32</c:v>
                </c:pt>
                <c:pt idx="17">
                  <c:v>32</c:v>
                </c:pt>
                <c:pt idx="18">
                  <c:v>32</c:v>
                </c:pt>
                <c:pt idx="19">
                  <c:v>23</c:v>
                </c:pt>
                <c:pt idx="20">
                  <c:v>22</c:v>
                </c:pt>
                <c:pt idx="21">
                  <c:v>20</c:v>
                </c:pt>
                <c:pt idx="22">
                  <c:v>19</c:v>
                </c:pt>
                <c:pt idx="23">
                  <c:v>19</c:v>
                </c:pt>
                <c:pt idx="24">
                  <c:v>14</c:v>
                </c:pt>
                <c:pt idx="25">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Sheet1!$A$2:$A$27</c:f>
              <c:strCache>
                <c:ptCount val="26"/>
                <c:pt idx="0">
                  <c:v>清泉</c:v>
                </c:pt>
                <c:pt idx="1">
                  <c:v>大堰叉路口 </c:v>
                </c:pt>
                <c:pt idx="2">
                  <c:v>玉柴公司</c:v>
                </c:pt>
                <c:pt idx="3">
                  <c:v>德圣疗养中心</c:v>
                </c:pt>
                <c:pt idx="4">
                  <c:v>孙家湾</c:v>
                </c:pt>
                <c:pt idx="5">
                  <c:v>二分厂</c:v>
                </c:pt>
                <c:pt idx="6">
                  <c:v>友谊桥</c:v>
                </c:pt>
                <c:pt idx="7">
                  <c:v>筏子桥</c:v>
                </c:pt>
                <c:pt idx="8">
                  <c:v>市人民医院</c:v>
                </c:pt>
                <c:pt idx="9">
                  <c:v>狮子山</c:v>
                </c:pt>
                <c:pt idx="10">
                  <c:v>市公安局</c:v>
                </c:pt>
                <c:pt idx="11">
                  <c:v>天宇市场</c:v>
                </c:pt>
                <c:pt idx="12">
                  <c:v>四三一总厂</c:v>
                </c:pt>
                <c:pt idx="13">
                  <c:v>电信大楼</c:v>
                </c:pt>
                <c:pt idx="14">
                  <c:v>交警一大队</c:v>
                </c:pt>
                <c:pt idx="15">
                  <c:v>西门市场</c:v>
                </c:pt>
                <c:pt idx="16">
                  <c:v>省水工局</c:v>
                </c:pt>
                <c:pt idx="17">
                  <c:v>上西街口</c:v>
                </c:pt>
                <c:pt idx="18">
                  <c:v>桥亭子</c:v>
                </c:pt>
                <c:pt idx="19">
                  <c:v>百货大楼</c:v>
                </c:pt>
                <c:pt idx="20">
                  <c:v>南门口</c:v>
                </c:pt>
                <c:pt idx="21">
                  <c:v>师范校</c:v>
                </c:pt>
                <c:pt idx="22">
                  <c:v>苌弘广场</c:v>
                </c:pt>
                <c:pt idx="23">
                  <c:v>江南半岛</c:v>
                </c:pt>
                <c:pt idx="24">
                  <c:v>江南花都</c:v>
                </c:pt>
                <c:pt idx="25">
                  <c:v>汽车客运中心</c:v>
                </c:pt>
              </c:strCache>
            </c:strRef>
          </c:cat>
          <c:val>
            <c:numRef>
              <c:f>Sheet1!$C$2:$C$27</c:f>
              <c:numCache>
                <c:formatCode>General</c:formatCode>
                <c:ptCount val="26"/>
                <c:pt idx="0">
                  <c:v>3</c:v>
                </c:pt>
                <c:pt idx="1">
                  <c:v>3</c:v>
                </c:pt>
                <c:pt idx="2">
                  <c:v>4</c:v>
                </c:pt>
                <c:pt idx="3">
                  <c:v>7</c:v>
                </c:pt>
                <c:pt idx="4">
                  <c:v>8</c:v>
                </c:pt>
                <c:pt idx="5">
                  <c:v>14</c:v>
                </c:pt>
                <c:pt idx="6">
                  <c:v>27</c:v>
                </c:pt>
                <c:pt idx="7">
                  <c:v>33</c:v>
                </c:pt>
                <c:pt idx="8">
                  <c:v>41</c:v>
                </c:pt>
                <c:pt idx="9">
                  <c:v>40</c:v>
                </c:pt>
                <c:pt idx="10">
                  <c:v>45</c:v>
                </c:pt>
                <c:pt idx="11">
                  <c:v>46</c:v>
                </c:pt>
                <c:pt idx="12">
                  <c:v>46</c:v>
                </c:pt>
                <c:pt idx="13">
                  <c:v>45</c:v>
                </c:pt>
                <c:pt idx="14">
                  <c:v>44</c:v>
                </c:pt>
                <c:pt idx="15">
                  <c:v>31</c:v>
                </c:pt>
                <c:pt idx="16">
                  <c:v>30</c:v>
                </c:pt>
                <c:pt idx="17">
                  <c:v>25</c:v>
                </c:pt>
                <c:pt idx="18">
                  <c:v>17</c:v>
                </c:pt>
                <c:pt idx="19">
                  <c:v>15</c:v>
                </c:pt>
                <c:pt idx="20">
                  <c:v>10</c:v>
                </c:pt>
                <c:pt idx="21">
                  <c:v>8</c:v>
                </c:pt>
                <c:pt idx="22">
                  <c:v>7</c:v>
                </c:pt>
                <c:pt idx="23">
                  <c:v>6</c:v>
                </c:pt>
                <c:pt idx="24">
                  <c:v>6</c:v>
                </c:pt>
                <c:pt idx="25">
                  <c:v>0</c:v>
                </c:pt>
              </c:numCache>
            </c:numRef>
          </c:val>
          <c:smooth val="0"/>
        </c:ser>
        <c:dLbls>
          <c:showLegendKey val="0"/>
          <c:showVal val="0"/>
          <c:showCatName val="0"/>
          <c:showSerName val="0"/>
          <c:showPercent val="0"/>
          <c:showBubbleSize val="0"/>
        </c:dLbls>
        <c:marker val="0"/>
        <c:smooth val="0"/>
        <c:axId val="1060641584"/>
        <c:axId val="1060642672"/>
      </c:lineChart>
      <c:catAx>
        <c:axId val="1060641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2672"/>
        <c:crosses val="autoZero"/>
        <c:auto val="1"/>
        <c:lblAlgn val="ctr"/>
        <c:lblOffset val="100"/>
        <c:noMultiLvlLbl val="0"/>
      </c:catAx>
      <c:valAx>
        <c:axId val="106064267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41584"/>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Sheet1!$A$2:$A$31</c:f>
              <c:strCache>
                <c:ptCount val="30"/>
                <c:pt idx="0">
                  <c:v>凤岭公园</c:v>
                </c:pt>
                <c:pt idx="1">
                  <c:v>凤岭路二段</c:v>
                </c:pt>
                <c:pt idx="2">
                  <c:v>凤岭路一段</c:v>
                </c:pt>
                <c:pt idx="3">
                  <c:v>娇子大道一段</c:v>
                </c:pt>
                <c:pt idx="4">
                  <c:v>九曲河广场</c:v>
                </c:pt>
                <c:pt idx="5">
                  <c:v>黄泥巴山</c:v>
                </c:pt>
                <c:pt idx="6">
                  <c:v>市政务服务中心</c:v>
                </c:pt>
                <c:pt idx="7">
                  <c:v>马鞍路口</c:v>
                </c:pt>
                <c:pt idx="8">
                  <c:v>体育广场</c:v>
                </c:pt>
                <c:pt idx="9">
                  <c:v>马鞍九义校</c:v>
                </c:pt>
                <c:pt idx="10">
                  <c:v>大千药业</c:v>
                </c:pt>
                <c:pt idx="11">
                  <c:v>泰恒眼科</c:v>
                </c:pt>
                <c:pt idx="12">
                  <c:v>四海公司</c:v>
                </c:pt>
                <c:pt idx="13">
                  <c:v>拉丝厂</c:v>
                </c:pt>
                <c:pt idx="14">
                  <c:v>电缆厂</c:v>
                </c:pt>
                <c:pt idx="15">
                  <c:v>广子沟站</c:v>
                </c:pt>
                <c:pt idx="16">
                  <c:v>恒大城南</c:v>
                </c:pt>
                <c:pt idx="17">
                  <c:v>汽车客运中心</c:v>
                </c:pt>
                <c:pt idx="18">
                  <c:v>书台小区</c:v>
                </c:pt>
                <c:pt idx="19">
                  <c:v>南骏中联重科</c:v>
                </c:pt>
                <c:pt idx="20">
                  <c:v>南骏低速重载</c:v>
                </c:pt>
                <c:pt idx="21">
                  <c:v>桐子站</c:v>
                </c:pt>
                <c:pt idx="22">
                  <c:v>浙粤园</c:v>
                </c:pt>
                <c:pt idx="23">
                  <c:v>城南工业园区</c:v>
                </c:pt>
                <c:pt idx="24">
                  <c:v>汽车职业学院</c:v>
                </c:pt>
                <c:pt idx="25">
                  <c:v>现代大道一段</c:v>
                </c:pt>
                <c:pt idx="26">
                  <c:v>现代大道二段</c:v>
                </c:pt>
                <c:pt idx="27">
                  <c:v>现代大道三段</c:v>
                </c:pt>
                <c:pt idx="28">
                  <c:v>现代大道四段</c:v>
                </c:pt>
                <c:pt idx="29">
                  <c:v>四川现代</c:v>
                </c:pt>
              </c:strCache>
            </c:strRef>
          </c:cat>
          <c:val>
            <c:numRef>
              <c:f>Sheet1!$B$2:$B$31</c:f>
              <c:numCache>
                <c:formatCode>General</c:formatCode>
                <c:ptCount val="30"/>
                <c:pt idx="0">
                  <c:v>5</c:v>
                </c:pt>
                <c:pt idx="1">
                  <c:v>5</c:v>
                </c:pt>
                <c:pt idx="2">
                  <c:v>5</c:v>
                </c:pt>
                <c:pt idx="3">
                  <c:v>5</c:v>
                </c:pt>
                <c:pt idx="4">
                  <c:v>5</c:v>
                </c:pt>
                <c:pt idx="5">
                  <c:v>5</c:v>
                </c:pt>
                <c:pt idx="6">
                  <c:v>5</c:v>
                </c:pt>
                <c:pt idx="7">
                  <c:v>4</c:v>
                </c:pt>
                <c:pt idx="8">
                  <c:v>4</c:v>
                </c:pt>
                <c:pt idx="9">
                  <c:v>4</c:v>
                </c:pt>
                <c:pt idx="10">
                  <c:v>4</c:v>
                </c:pt>
                <c:pt idx="11">
                  <c:v>4</c:v>
                </c:pt>
                <c:pt idx="12">
                  <c:v>4</c:v>
                </c:pt>
                <c:pt idx="13">
                  <c:v>4</c:v>
                </c:pt>
                <c:pt idx="14">
                  <c:v>4</c:v>
                </c:pt>
                <c:pt idx="15">
                  <c:v>4</c:v>
                </c:pt>
                <c:pt idx="16">
                  <c:v>4</c:v>
                </c:pt>
                <c:pt idx="17">
                  <c:v>6</c:v>
                </c:pt>
                <c:pt idx="18">
                  <c:v>6</c:v>
                </c:pt>
                <c:pt idx="19">
                  <c:v>5</c:v>
                </c:pt>
                <c:pt idx="20">
                  <c:v>5</c:v>
                </c:pt>
                <c:pt idx="21">
                  <c:v>5</c:v>
                </c:pt>
                <c:pt idx="22">
                  <c:v>5</c:v>
                </c:pt>
                <c:pt idx="23">
                  <c:v>5</c:v>
                </c:pt>
                <c:pt idx="24">
                  <c:v>5</c:v>
                </c:pt>
                <c:pt idx="25">
                  <c:v>5</c:v>
                </c:pt>
                <c:pt idx="26">
                  <c:v>5</c:v>
                </c:pt>
                <c:pt idx="27">
                  <c:v>4</c:v>
                </c:pt>
                <c:pt idx="28">
                  <c:v>2</c:v>
                </c:pt>
                <c:pt idx="29">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Sheet1!$A$2:$A$31</c:f>
              <c:strCache>
                <c:ptCount val="30"/>
                <c:pt idx="0">
                  <c:v>凤岭公园</c:v>
                </c:pt>
                <c:pt idx="1">
                  <c:v>凤岭路二段</c:v>
                </c:pt>
                <c:pt idx="2">
                  <c:v>凤岭路一段</c:v>
                </c:pt>
                <c:pt idx="3">
                  <c:v>娇子大道一段</c:v>
                </c:pt>
                <c:pt idx="4">
                  <c:v>九曲河广场</c:v>
                </c:pt>
                <c:pt idx="5">
                  <c:v>黄泥巴山</c:v>
                </c:pt>
                <c:pt idx="6">
                  <c:v>市政务服务中心</c:v>
                </c:pt>
                <c:pt idx="7">
                  <c:v>马鞍路口</c:v>
                </c:pt>
                <c:pt idx="8">
                  <c:v>体育广场</c:v>
                </c:pt>
                <c:pt idx="9">
                  <c:v>马鞍九义校</c:v>
                </c:pt>
                <c:pt idx="10">
                  <c:v>大千药业</c:v>
                </c:pt>
                <c:pt idx="11">
                  <c:v>泰恒眼科</c:v>
                </c:pt>
                <c:pt idx="12">
                  <c:v>四海公司</c:v>
                </c:pt>
                <c:pt idx="13">
                  <c:v>拉丝厂</c:v>
                </c:pt>
                <c:pt idx="14">
                  <c:v>电缆厂</c:v>
                </c:pt>
                <c:pt idx="15">
                  <c:v>广子沟站</c:v>
                </c:pt>
                <c:pt idx="16">
                  <c:v>恒大城南</c:v>
                </c:pt>
                <c:pt idx="17">
                  <c:v>汽车客运中心</c:v>
                </c:pt>
                <c:pt idx="18">
                  <c:v>书台小区</c:v>
                </c:pt>
                <c:pt idx="19">
                  <c:v>南骏中联重科</c:v>
                </c:pt>
                <c:pt idx="20">
                  <c:v>南骏低速重载</c:v>
                </c:pt>
                <c:pt idx="21">
                  <c:v>桐子站</c:v>
                </c:pt>
                <c:pt idx="22">
                  <c:v>浙粤园</c:v>
                </c:pt>
                <c:pt idx="23">
                  <c:v>城南工业园区</c:v>
                </c:pt>
                <c:pt idx="24">
                  <c:v>汽车职业学院</c:v>
                </c:pt>
                <c:pt idx="25">
                  <c:v>现代大道一段</c:v>
                </c:pt>
                <c:pt idx="26">
                  <c:v>现代大道二段</c:v>
                </c:pt>
                <c:pt idx="27">
                  <c:v>现代大道三段</c:v>
                </c:pt>
                <c:pt idx="28">
                  <c:v>现代大道四段</c:v>
                </c:pt>
                <c:pt idx="29">
                  <c:v>四川现代</c:v>
                </c:pt>
              </c:strCache>
            </c:strRef>
          </c:cat>
          <c:val>
            <c:numRef>
              <c:f>Sheet1!$C$2:$C$31</c:f>
              <c:numCache>
                <c:formatCode>General</c:formatCode>
                <c:ptCount val="30"/>
                <c:pt idx="0">
                  <c:v>2</c:v>
                </c:pt>
                <c:pt idx="1">
                  <c:v>3</c:v>
                </c:pt>
                <c:pt idx="2">
                  <c:v>3</c:v>
                </c:pt>
                <c:pt idx="3">
                  <c:v>3</c:v>
                </c:pt>
                <c:pt idx="4">
                  <c:v>3</c:v>
                </c:pt>
                <c:pt idx="5">
                  <c:v>3</c:v>
                </c:pt>
                <c:pt idx="6">
                  <c:v>3</c:v>
                </c:pt>
                <c:pt idx="7">
                  <c:v>1</c:v>
                </c:pt>
                <c:pt idx="8">
                  <c:v>1</c:v>
                </c:pt>
                <c:pt idx="9">
                  <c:v>1</c:v>
                </c:pt>
                <c:pt idx="10">
                  <c:v>1</c:v>
                </c:pt>
                <c:pt idx="11">
                  <c:v>1</c:v>
                </c:pt>
                <c:pt idx="12">
                  <c:v>1</c:v>
                </c:pt>
                <c:pt idx="13">
                  <c:v>1</c:v>
                </c:pt>
                <c:pt idx="14">
                  <c:v>1</c:v>
                </c:pt>
                <c:pt idx="15">
                  <c:v>1</c:v>
                </c:pt>
                <c:pt idx="16">
                  <c:v>1</c:v>
                </c:pt>
                <c:pt idx="17">
                  <c:v>3</c:v>
                </c:pt>
                <c:pt idx="18">
                  <c:v>3</c:v>
                </c:pt>
                <c:pt idx="19">
                  <c:v>3</c:v>
                </c:pt>
                <c:pt idx="20">
                  <c:v>3</c:v>
                </c:pt>
                <c:pt idx="21">
                  <c:v>3</c:v>
                </c:pt>
                <c:pt idx="22">
                  <c:v>3</c:v>
                </c:pt>
                <c:pt idx="23">
                  <c:v>2</c:v>
                </c:pt>
                <c:pt idx="24">
                  <c:v>1</c:v>
                </c:pt>
                <c:pt idx="25">
                  <c:v>1</c:v>
                </c:pt>
                <c:pt idx="26">
                  <c:v>1</c:v>
                </c:pt>
                <c:pt idx="27">
                  <c:v>1</c:v>
                </c:pt>
                <c:pt idx="28">
                  <c:v>0</c:v>
                </c:pt>
                <c:pt idx="29">
                  <c:v>0</c:v>
                </c:pt>
              </c:numCache>
            </c:numRef>
          </c:val>
          <c:smooth val="0"/>
        </c:ser>
        <c:dLbls>
          <c:showLegendKey val="0"/>
          <c:showVal val="0"/>
          <c:showCatName val="0"/>
          <c:showSerName val="0"/>
          <c:showPercent val="0"/>
          <c:showBubbleSize val="0"/>
        </c:dLbls>
        <c:marker val="0"/>
        <c:smooth val="0"/>
        <c:axId val="1060647568"/>
        <c:axId val="1060644304"/>
      </c:lineChart>
      <c:catAx>
        <c:axId val="1060647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4304"/>
        <c:crosses val="autoZero"/>
        <c:auto val="1"/>
        <c:lblAlgn val="ctr"/>
        <c:lblOffset val="100"/>
        <c:noMultiLvlLbl val="0"/>
      </c:catAx>
      <c:valAx>
        <c:axId val="10606443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47568"/>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Sheet1!$A$2:$A$30</c:f>
              <c:strCache>
                <c:ptCount val="29"/>
                <c:pt idx="0">
                  <c:v>四川现代</c:v>
                </c:pt>
                <c:pt idx="1">
                  <c:v>现代大道四段</c:v>
                </c:pt>
                <c:pt idx="2">
                  <c:v>现代大道三段</c:v>
                </c:pt>
                <c:pt idx="3">
                  <c:v>现代大道二段</c:v>
                </c:pt>
                <c:pt idx="4">
                  <c:v>现代大道一段</c:v>
                </c:pt>
                <c:pt idx="5">
                  <c:v>城南工业园区</c:v>
                </c:pt>
                <c:pt idx="6">
                  <c:v>浙粤园</c:v>
                </c:pt>
                <c:pt idx="7">
                  <c:v>桐子站</c:v>
                </c:pt>
                <c:pt idx="8">
                  <c:v>南骏低速重载</c:v>
                </c:pt>
                <c:pt idx="9">
                  <c:v>南骏中联重科</c:v>
                </c:pt>
                <c:pt idx="10">
                  <c:v>书台小区</c:v>
                </c:pt>
                <c:pt idx="11">
                  <c:v>汽车客运中心</c:v>
                </c:pt>
                <c:pt idx="12">
                  <c:v>恒大城南</c:v>
                </c:pt>
                <c:pt idx="13">
                  <c:v>广子沟站</c:v>
                </c:pt>
                <c:pt idx="14">
                  <c:v>电缆厂</c:v>
                </c:pt>
                <c:pt idx="15">
                  <c:v>拉丝厂</c:v>
                </c:pt>
                <c:pt idx="16">
                  <c:v>四海公司</c:v>
                </c:pt>
                <c:pt idx="17">
                  <c:v>仁德药业</c:v>
                </c:pt>
                <c:pt idx="18">
                  <c:v>大千药业</c:v>
                </c:pt>
                <c:pt idx="19">
                  <c:v>马鞍九义校</c:v>
                </c:pt>
                <c:pt idx="20">
                  <c:v>体育广场</c:v>
                </c:pt>
                <c:pt idx="21">
                  <c:v>马鞍路口</c:v>
                </c:pt>
                <c:pt idx="22">
                  <c:v>市政务服务中心</c:v>
                </c:pt>
                <c:pt idx="23">
                  <c:v>黄泥巴山</c:v>
                </c:pt>
                <c:pt idx="24">
                  <c:v>九曲河广场</c:v>
                </c:pt>
                <c:pt idx="25">
                  <c:v>娇子大道一段</c:v>
                </c:pt>
                <c:pt idx="26">
                  <c:v>凤岭路一段</c:v>
                </c:pt>
                <c:pt idx="27">
                  <c:v>凤岭路二段</c:v>
                </c:pt>
                <c:pt idx="28">
                  <c:v>凤岭公园</c:v>
                </c:pt>
              </c:strCache>
            </c:strRef>
          </c:cat>
          <c:val>
            <c:numRef>
              <c:f>Sheet1!$B$2:$B$30</c:f>
              <c:numCache>
                <c:formatCode>General</c:formatCode>
                <c:ptCount val="29"/>
                <c:pt idx="0">
                  <c:v>1</c:v>
                </c:pt>
                <c:pt idx="1">
                  <c:v>1</c:v>
                </c:pt>
                <c:pt idx="2">
                  <c:v>1</c:v>
                </c:pt>
                <c:pt idx="3">
                  <c:v>1</c:v>
                </c:pt>
                <c:pt idx="4">
                  <c:v>2</c:v>
                </c:pt>
                <c:pt idx="5">
                  <c:v>2</c:v>
                </c:pt>
                <c:pt idx="6">
                  <c:v>2</c:v>
                </c:pt>
                <c:pt idx="7">
                  <c:v>2</c:v>
                </c:pt>
                <c:pt idx="8">
                  <c:v>2</c:v>
                </c:pt>
                <c:pt idx="9">
                  <c:v>2</c:v>
                </c:pt>
                <c:pt idx="10">
                  <c:v>4</c:v>
                </c:pt>
                <c:pt idx="11">
                  <c:v>4</c:v>
                </c:pt>
                <c:pt idx="12">
                  <c:v>4</c:v>
                </c:pt>
                <c:pt idx="13">
                  <c:v>4</c:v>
                </c:pt>
                <c:pt idx="14">
                  <c:v>4</c:v>
                </c:pt>
                <c:pt idx="15">
                  <c:v>4</c:v>
                </c:pt>
                <c:pt idx="16">
                  <c:v>4</c:v>
                </c:pt>
                <c:pt idx="17">
                  <c:v>4</c:v>
                </c:pt>
                <c:pt idx="18">
                  <c:v>4</c:v>
                </c:pt>
                <c:pt idx="19">
                  <c:v>4</c:v>
                </c:pt>
                <c:pt idx="20">
                  <c:v>4</c:v>
                </c:pt>
                <c:pt idx="21">
                  <c:v>2</c:v>
                </c:pt>
                <c:pt idx="22">
                  <c:v>2</c:v>
                </c:pt>
                <c:pt idx="23">
                  <c:v>2</c:v>
                </c:pt>
                <c:pt idx="24">
                  <c:v>2</c:v>
                </c:pt>
                <c:pt idx="25">
                  <c:v>2</c:v>
                </c:pt>
                <c:pt idx="26">
                  <c:v>1</c:v>
                </c:pt>
                <c:pt idx="27">
                  <c:v>0</c:v>
                </c:pt>
                <c:pt idx="28">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Sheet1!$A$2:$A$30</c:f>
              <c:strCache>
                <c:ptCount val="29"/>
                <c:pt idx="0">
                  <c:v>四川现代</c:v>
                </c:pt>
                <c:pt idx="1">
                  <c:v>现代大道四段</c:v>
                </c:pt>
                <c:pt idx="2">
                  <c:v>现代大道三段</c:v>
                </c:pt>
                <c:pt idx="3">
                  <c:v>现代大道二段</c:v>
                </c:pt>
                <c:pt idx="4">
                  <c:v>现代大道一段</c:v>
                </c:pt>
                <c:pt idx="5">
                  <c:v>城南工业园区</c:v>
                </c:pt>
                <c:pt idx="6">
                  <c:v>浙粤园</c:v>
                </c:pt>
                <c:pt idx="7">
                  <c:v>桐子站</c:v>
                </c:pt>
                <c:pt idx="8">
                  <c:v>南骏低速重载</c:v>
                </c:pt>
                <c:pt idx="9">
                  <c:v>南骏中联重科</c:v>
                </c:pt>
                <c:pt idx="10">
                  <c:v>书台小区</c:v>
                </c:pt>
                <c:pt idx="11">
                  <c:v>汽车客运中心</c:v>
                </c:pt>
                <c:pt idx="12">
                  <c:v>恒大城南</c:v>
                </c:pt>
                <c:pt idx="13">
                  <c:v>广子沟站</c:v>
                </c:pt>
                <c:pt idx="14">
                  <c:v>电缆厂</c:v>
                </c:pt>
                <c:pt idx="15">
                  <c:v>拉丝厂</c:v>
                </c:pt>
                <c:pt idx="16">
                  <c:v>四海公司</c:v>
                </c:pt>
                <c:pt idx="17">
                  <c:v>仁德药业</c:v>
                </c:pt>
                <c:pt idx="18">
                  <c:v>大千药业</c:v>
                </c:pt>
                <c:pt idx="19">
                  <c:v>马鞍九义校</c:v>
                </c:pt>
                <c:pt idx="20">
                  <c:v>体育广场</c:v>
                </c:pt>
                <c:pt idx="21">
                  <c:v>马鞍路口</c:v>
                </c:pt>
                <c:pt idx="22">
                  <c:v>市政务服务中心</c:v>
                </c:pt>
                <c:pt idx="23">
                  <c:v>黄泥巴山</c:v>
                </c:pt>
                <c:pt idx="24">
                  <c:v>九曲河广场</c:v>
                </c:pt>
                <c:pt idx="25">
                  <c:v>娇子大道一段</c:v>
                </c:pt>
                <c:pt idx="26">
                  <c:v>凤岭路一段</c:v>
                </c:pt>
                <c:pt idx="27">
                  <c:v>凤岭路二段</c:v>
                </c:pt>
                <c:pt idx="28">
                  <c:v>凤岭公园</c:v>
                </c:pt>
              </c:strCache>
            </c:strRef>
          </c:cat>
          <c:val>
            <c:numRef>
              <c:f>Sheet1!$C$2:$C$30</c:f>
              <c:numCache>
                <c:formatCode>General</c:formatCode>
                <c:ptCount val="29"/>
                <c:pt idx="0">
                  <c:v>2</c:v>
                </c:pt>
                <c:pt idx="1">
                  <c:v>2</c:v>
                </c:pt>
                <c:pt idx="2">
                  <c:v>2</c:v>
                </c:pt>
                <c:pt idx="3">
                  <c:v>2</c:v>
                </c:pt>
                <c:pt idx="4">
                  <c:v>2</c:v>
                </c:pt>
                <c:pt idx="5">
                  <c:v>2</c:v>
                </c:pt>
                <c:pt idx="6">
                  <c:v>4</c:v>
                </c:pt>
                <c:pt idx="7">
                  <c:v>4</c:v>
                </c:pt>
                <c:pt idx="8">
                  <c:v>4</c:v>
                </c:pt>
                <c:pt idx="9">
                  <c:v>4</c:v>
                </c:pt>
                <c:pt idx="10">
                  <c:v>4</c:v>
                </c:pt>
                <c:pt idx="11">
                  <c:v>3</c:v>
                </c:pt>
                <c:pt idx="12">
                  <c:v>3</c:v>
                </c:pt>
                <c:pt idx="13">
                  <c:v>3</c:v>
                </c:pt>
                <c:pt idx="14">
                  <c:v>3</c:v>
                </c:pt>
                <c:pt idx="15">
                  <c:v>3</c:v>
                </c:pt>
                <c:pt idx="16">
                  <c:v>3</c:v>
                </c:pt>
                <c:pt idx="17">
                  <c:v>3</c:v>
                </c:pt>
                <c:pt idx="18">
                  <c:v>3</c:v>
                </c:pt>
                <c:pt idx="19">
                  <c:v>3</c:v>
                </c:pt>
                <c:pt idx="20">
                  <c:v>2</c:v>
                </c:pt>
                <c:pt idx="21">
                  <c:v>2</c:v>
                </c:pt>
                <c:pt idx="22">
                  <c:v>2</c:v>
                </c:pt>
                <c:pt idx="23">
                  <c:v>2</c:v>
                </c:pt>
                <c:pt idx="24">
                  <c:v>2</c:v>
                </c:pt>
                <c:pt idx="25">
                  <c:v>2</c:v>
                </c:pt>
                <c:pt idx="26">
                  <c:v>2</c:v>
                </c:pt>
                <c:pt idx="27">
                  <c:v>2</c:v>
                </c:pt>
                <c:pt idx="28">
                  <c:v>2</c:v>
                </c:pt>
              </c:numCache>
            </c:numRef>
          </c:val>
          <c:smooth val="0"/>
        </c:ser>
        <c:dLbls>
          <c:showLegendKey val="0"/>
          <c:showVal val="0"/>
          <c:showCatName val="0"/>
          <c:showSerName val="0"/>
          <c:showPercent val="0"/>
          <c:showBubbleSize val="0"/>
        </c:dLbls>
        <c:marker val="0"/>
        <c:smooth val="0"/>
        <c:axId val="1060651920"/>
        <c:axId val="1060644848"/>
      </c:lineChart>
      <c:catAx>
        <c:axId val="1060651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4848"/>
        <c:crosses val="autoZero"/>
        <c:auto val="1"/>
        <c:lblAlgn val="ctr"/>
        <c:lblOffset val="100"/>
        <c:noMultiLvlLbl val="0"/>
      </c:catAx>
      <c:valAx>
        <c:axId val="1060644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mn-ea"/>
                <a:cs typeface="Times New Roman" panose="02020603050405020304" charset="0"/>
              </a:defRPr>
            </a:pPr>
          </a:p>
        </c:txPr>
        <c:crossAx val="1060651920"/>
        <c:crosses val="autoZero"/>
        <c:crossBetween val="between"/>
        <c:majorUnit val="1"/>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工作日</c:v>
                </c:pt>
              </c:strCache>
            </c:strRef>
          </c:tx>
          <c:spPr>
            <a:ln w="28575" cap="rnd">
              <a:solidFill>
                <a:schemeClr val="accent1"/>
              </a:solidFill>
              <a:round/>
            </a:ln>
            <a:effectLst/>
          </c:spPr>
          <c:marker>
            <c:symbol val="none"/>
          </c:marker>
          <c:dLbls>
            <c:delete val="1"/>
          </c:dLbls>
          <c:cat>
            <c:strRef>
              <c:f>Sheet1!$A$2:$A$16</c:f>
              <c:strCache>
                <c:ptCount val="15"/>
                <c:pt idx="0">
                  <c:v>汽车客运中心</c:v>
                </c:pt>
                <c:pt idx="1">
                  <c:v>南骏产业园</c:v>
                </c:pt>
                <c:pt idx="2">
                  <c:v>甘家坪</c:v>
                </c:pt>
                <c:pt idx="3">
                  <c:v>百威啤酒厂</c:v>
                </c:pt>
                <c:pt idx="4">
                  <c:v>资阳钢管厂</c:v>
                </c:pt>
                <c:pt idx="5">
                  <c:v>铁路桥</c:v>
                </c:pt>
                <c:pt idx="6">
                  <c:v>沱二桥</c:v>
                </c:pt>
                <c:pt idx="7">
                  <c:v>城东中医院（黄泥村）</c:v>
                </c:pt>
                <c:pt idx="8">
                  <c:v>李家湾</c:v>
                </c:pt>
                <c:pt idx="9">
                  <c:v>区职教中心</c:v>
                </c:pt>
                <c:pt idx="10">
                  <c:v>遂资眉高速路口</c:v>
                </c:pt>
                <c:pt idx="11">
                  <c:v>字库山公园</c:v>
                </c:pt>
                <c:pt idx="12">
                  <c:v>演艺中心</c:v>
                </c:pt>
                <c:pt idx="13">
                  <c:v>航向九义校</c:v>
                </c:pt>
                <c:pt idx="14">
                  <c:v>城东高铁站</c:v>
                </c:pt>
              </c:strCache>
            </c:strRef>
          </c:cat>
          <c:val>
            <c:numRef>
              <c:f>Sheet1!$B$2:$B$16</c:f>
              <c:numCache>
                <c:formatCode>General</c:formatCode>
                <c:ptCount val="15"/>
                <c:pt idx="0">
                  <c:v>4</c:v>
                </c:pt>
                <c:pt idx="1">
                  <c:v>4</c:v>
                </c:pt>
                <c:pt idx="2">
                  <c:v>6</c:v>
                </c:pt>
                <c:pt idx="3">
                  <c:v>6</c:v>
                </c:pt>
                <c:pt idx="4">
                  <c:v>6</c:v>
                </c:pt>
                <c:pt idx="5">
                  <c:v>6</c:v>
                </c:pt>
                <c:pt idx="6">
                  <c:v>6</c:v>
                </c:pt>
                <c:pt idx="7">
                  <c:v>5</c:v>
                </c:pt>
                <c:pt idx="8">
                  <c:v>5</c:v>
                </c:pt>
                <c:pt idx="9">
                  <c:v>5</c:v>
                </c:pt>
                <c:pt idx="10">
                  <c:v>5</c:v>
                </c:pt>
                <c:pt idx="11">
                  <c:v>4</c:v>
                </c:pt>
                <c:pt idx="12">
                  <c:v>3</c:v>
                </c:pt>
                <c:pt idx="13">
                  <c:v>3</c:v>
                </c:pt>
                <c:pt idx="14">
                  <c:v>0</c:v>
                </c:pt>
              </c:numCache>
            </c:numRef>
          </c:val>
          <c:smooth val="0"/>
        </c:ser>
        <c:ser>
          <c:idx val="1"/>
          <c:order val="1"/>
          <c:tx>
            <c:strRef>
              <c:f>Sheet1!$C$1</c:f>
              <c:strCache>
                <c:ptCount val="1"/>
                <c:pt idx="0">
                  <c:v>周末</c:v>
                </c:pt>
              </c:strCache>
            </c:strRef>
          </c:tx>
          <c:spPr>
            <a:ln w="28575" cap="rnd">
              <a:solidFill>
                <a:schemeClr val="accent2"/>
              </a:solidFill>
              <a:round/>
            </a:ln>
            <a:effectLst/>
          </c:spPr>
          <c:marker>
            <c:symbol val="none"/>
          </c:marker>
          <c:dLbls>
            <c:delete val="1"/>
          </c:dLbls>
          <c:cat>
            <c:strRef>
              <c:f>Sheet1!$A$2:$A$16</c:f>
              <c:strCache>
                <c:ptCount val="15"/>
                <c:pt idx="0">
                  <c:v>汽车客运中心</c:v>
                </c:pt>
                <c:pt idx="1">
                  <c:v>南骏产业园</c:v>
                </c:pt>
                <c:pt idx="2">
                  <c:v>甘家坪</c:v>
                </c:pt>
                <c:pt idx="3">
                  <c:v>百威啤酒厂</c:v>
                </c:pt>
                <c:pt idx="4">
                  <c:v>资阳钢管厂</c:v>
                </c:pt>
                <c:pt idx="5">
                  <c:v>铁路桥</c:v>
                </c:pt>
                <c:pt idx="6">
                  <c:v>沱二桥</c:v>
                </c:pt>
                <c:pt idx="7">
                  <c:v>城东中医院（黄泥村）</c:v>
                </c:pt>
                <c:pt idx="8">
                  <c:v>李家湾</c:v>
                </c:pt>
                <c:pt idx="9">
                  <c:v>区职教中心</c:v>
                </c:pt>
                <c:pt idx="10">
                  <c:v>遂资眉高速路口</c:v>
                </c:pt>
                <c:pt idx="11">
                  <c:v>字库山公园</c:v>
                </c:pt>
                <c:pt idx="12">
                  <c:v>演艺中心</c:v>
                </c:pt>
                <c:pt idx="13">
                  <c:v>航向九义校</c:v>
                </c:pt>
                <c:pt idx="14">
                  <c:v>城东高铁站</c:v>
                </c:pt>
              </c:strCache>
            </c:strRef>
          </c:cat>
          <c:val>
            <c:numRef>
              <c:f>Sheet1!$C$2:$C$16</c:f>
              <c:numCache>
                <c:formatCode>General</c:formatCode>
                <c:ptCount val="15"/>
                <c:pt idx="0">
                  <c:v>7</c:v>
                </c:pt>
                <c:pt idx="1">
                  <c:v>6</c:v>
                </c:pt>
                <c:pt idx="2">
                  <c:v>7</c:v>
                </c:pt>
                <c:pt idx="3">
                  <c:v>7</c:v>
                </c:pt>
                <c:pt idx="4">
                  <c:v>7</c:v>
                </c:pt>
                <c:pt idx="5">
                  <c:v>7</c:v>
                </c:pt>
                <c:pt idx="6">
                  <c:v>7</c:v>
                </c:pt>
                <c:pt idx="7">
                  <c:v>6</c:v>
                </c:pt>
                <c:pt idx="8">
                  <c:v>6</c:v>
                </c:pt>
                <c:pt idx="9">
                  <c:v>6</c:v>
                </c:pt>
                <c:pt idx="10">
                  <c:v>5</c:v>
                </c:pt>
                <c:pt idx="11">
                  <c:v>5</c:v>
                </c:pt>
                <c:pt idx="12">
                  <c:v>2</c:v>
                </c:pt>
                <c:pt idx="13">
                  <c:v>2</c:v>
                </c:pt>
                <c:pt idx="14">
                  <c:v>0</c:v>
                </c:pt>
              </c:numCache>
            </c:numRef>
          </c:val>
          <c:smooth val="0"/>
        </c:ser>
        <c:dLbls>
          <c:showLegendKey val="0"/>
          <c:showVal val="0"/>
          <c:showCatName val="0"/>
          <c:showSerName val="0"/>
          <c:showPercent val="0"/>
          <c:showBubbleSize val="0"/>
        </c:dLbls>
        <c:marker val="0"/>
        <c:smooth val="0"/>
        <c:axId val="1060645392"/>
        <c:axId val="1060645936"/>
      </c:lineChart>
      <c:catAx>
        <c:axId val="106064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p>
        </c:txPr>
        <c:crossAx val="1060645936"/>
        <c:crosses val="autoZero"/>
        <c:auto val="1"/>
        <c:lblAlgn val="ctr"/>
        <c:lblOffset val="100"/>
        <c:noMultiLvlLbl val="0"/>
      </c:catAx>
      <c:valAx>
        <c:axId val="1060645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Times New Roman" panose="02020603050405020304" charset="0"/>
                <a:ea typeface="Tahoma" panose="020B0604030504040204" pitchFamily="2" charset="0"/>
                <a:cs typeface="Times New Roman" panose="02020603050405020304" charset="0"/>
              </a:defRPr>
            </a:pPr>
          </a:p>
        </c:txPr>
        <c:crossAx val="10606453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3D5CC10-49CF-4B94-93C7-4D895EE3CB4D}">
  <ds:schemaRefs/>
</ds:datastoreItem>
</file>

<file path=docProps/app.xml><?xml version="1.0" encoding="utf-8"?>
<Properties xmlns="http://schemas.openxmlformats.org/officeDocument/2006/extended-properties" xmlns:vt="http://schemas.openxmlformats.org/officeDocument/2006/docPropsVTypes">
  <Template>Normal.dotm</Template>
  <Company>微软中国</Company>
  <Pages>138</Pages>
  <Words>11388</Words>
  <Characters>64918</Characters>
  <Lines>540</Lines>
  <Paragraphs>152</Paragraphs>
  <TotalTime>416</TotalTime>
  <ScaleCrop>false</ScaleCrop>
  <LinksUpToDate>false</LinksUpToDate>
  <CharactersWithSpaces>76154</CharactersWithSpaces>
  <Application>WPS Office_10.1.0.7469_F1E327BC-269C-435d-A152-05C5408002CA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2018-05-02T08:48:00Z</dcterms:created>
  <dc:creator>微软用户</dc:creator>
  <cp:lastModifiedBy>原点</cp:lastModifiedBy>
  <cp:lastPrinted>2017-11-26T09:12:00Z</cp:lastPrinted>
  <dcterms:modified xsi:type="dcterms:W3CDTF">2018-08-13T00:35:22Z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2052-10.1.0.7469</vt:lpwstr>
  </property>
</Properties>
</file>