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color w:val="000000"/>
          <w:sz w:val="72"/>
          <w:szCs w:val="72"/>
        </w:rPr>
        <w:t>2019年度</w:t>
      </w:r>
      <w:bookmarkEnd w:id="1"/>
      <w:bookmarkEnd w:id="2"/>
      <w:bookmarkEnd w:id="3"/>
      <w:bookmarkEnd w:id="4"/>
      <w:bookmarkEnd w:id="5"/>
      <w:bookmarkStart w:id="6" w:name="_Toc15396476"/>
      <w:bookmarkStart w:id="7" w:name="_Toc15396598"/>
      <w:bookmarkStart w:id="8" w:name="_Toc15378442"/>
      <w:bookmarkStart w:id="9" w:name="_Toc15377194"/>
      <w:bookmarkStart w:id="10" w:name="_Toc15377426"/>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pacing w:val="-45"/>
          <w:sz w:val="72"/>
          <w:szCs w:val="72"/>
        </w:rPr>
        <w:t>资阳市</w:t>
      </w:r>
      <w:bookmarkEnd w:id="0"/>
      <w:bookmarkStart w:id="11" w:name="_Toc15306268"/>
      <w:r>
        <w:rPr>
          <w:rFonts w:hint="eastAsia" w:ascii="方正小标宋简体" w:hAnsi="方正小标宋简体" w:eastAsia="方正小标宋简体" w:cs="方正小标宋简体"/>
          <w:color w:val="000000"/>
          <w:spacing w:val="-45"/>
          <w:sz w:val="72"/>
          <w:szCs w:val="72"/>
          <w:lang w:val="en-US" w:eastAsia="zh-CN"/>
        </w:rPr>
        <w:t>交通运输局航务管理处</w:t>
      </w:r>
      <w:r>
        <w:rPr>
          <w:rFonts w:hint="eastAsia" w:ascii="方正小标宋简体" w:hAnsi="方正小标宋简体" w:eastAsia="方正小标宋简体" w:cs="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宋体"/>
          <w:sz w:val="28"/>
          <w:szCs w:val="28"/>
        </w:rPr>
      </w:pPr>
    </w:p>
    <w:p>
      <w:pPr>
        <w:pStyle w:val="10"/>
      </w:pPr>
      <w:r>
        <w:rPr>
          <w:rFonts w:hint="eastAsia"/>
        </w:rPr>
        <w:t>公开时间：2020年</w:t>
      </w:r>
      <w:r>
        <w:rPr>
          <w:rFonts w:hint="eastAsia"/>
          <w:lang w:val="en-US" w:eastAsia="zh-CN"/>
        </w:rPr>
        <w:t>9</w:t>
      </w:r>
      <w:r>
        <w:rPr>
          <w:rFonts w:hint="eastAsia"/>
        </w:rPr>
        <w:t>月</w:t>
      </w:r>
      <w:r>
        <w:rPr>
          <w:rFonts w:hint="eastAsia"/>
          <w:lang w:val="en-US" w:eastAsia="zh-CN"/>
        </w:rPr>
        <w:t>30</w:t>
      </w:r>
      <w:r>
        <w:rPr>
          <w:rFonts w:hint="eastAsia"/>
        </w:rPr>
        <w:t>日</w:t>
      </w:r>
    </w:p>
    <w:p/>
    <w:p>
      <w:pPr>
        <w:tabs>
          <w:tab w:val="right" w:leader="dot" w:pos="8296"/>
        </w:tabs>
        <w:spacing w:before="93"/>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第一部分部门概况</w:t>
      </w:r>
      <w:r>
        <w:tab/>
      </w:r>
      <w:r>
        <w:rPr>
          <w:rFonts w:hint="eastAsia" w:eastAsia="仿宋" w:cs="Times New Roman"/>
          <w:sz w:val="28"/>
          <w:szCs w:val="28"/>
          <w:lang w:val="en-US" w:eastAsia="zh-CN"/>
        </w:rPr>
        <w:t>4</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一、基本职能及主要工作</w:t>
      </w:r>
      <w:r>
        <w:tab/>
      </w:r>
      <w:r>
        <w:rPr>
          <w:rFonts w:hint="eastAsia" w:cs="Times New Roman"/>
          <w:sz w:val="28"/>
          <w:szCs w:val="28"/>
          <w:lang w:val="en-US" w:eastAsia="zh-CN"/>
        </w:rPr>
        <w:t>4</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二、机构设置</w:t>
      </w:r>
      <w:r>
        <w:tab/>
      </w:r>
      <w:r>
        <w:rPr>
          <w:rFonts w:hint="eastAsia" w:cs="Times New Roman"/>
          <w:sz w:val="28"/>
          <w:szCs w:val="28"/>
          <w:lang w:val="en-US" w:eastAsia="zh-CN"/>
        </w:rPr>
        <w:t>7</w:t>
      </w:r>
    </w:p>
    <w:p>
      <w:pPr>
        <w:tabs>
          <w:tab w:val="right" w:leader="dot" w:pos="8296"/>
        </w:tabs>
        <w:spacing w:before="93"/>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第二部分部门决算情况说明</w:t>
      </w:r>
      <w:r>
        <w:tab/>
      </w:r>
      <w:r>
        <w:rPr>
          <w:rFonts w:hint="eastAsia" w:eastAsia="仿宋" w:cs="Times New Roman"/>
          <w:sz w:val="28"/>
          <w:szCs w:val="28"/>
          <w:lang w:val="en-US" w:eastAsia="zh-CN"/>
        </w:rPr>
        <w:t>8</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一、收入支出决算总体情况说明</w:t>
      </w:r>
      <w:r>
        <w:tab/>
      </w:r>
      <w:r>
        <w:rPr>
          <w:rFonts w:hint="eastAsia" w:cs="Times New Roman"/>
          <w:sz w:val="28"/>
          <w:szCs w:val="28"/>
          <w:lang w:val="en-US" w:eastAsia="zh-CN"/>
        </w:rPr>
        <w:t>8</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二、收入决算情况说明</w:t>
      </w:r>
      <w:r>
        <w:tab/>
      </w:r>
      <w:r>
        <w:rPr>
          <w:rFonts w:hint="eastAsia" w:cs="Times New Roman"/>
          <w:sz w:val="28"/>
          <w:szCs w:val="28"/>
          <w:lang w:val="en-US" w:eastAsia="zh-CN"/>
        </w:rPr>
        <w:t>9</w:t>
      </w:r>
    </w:p>
    <w:p>
      <w:pPr>
        <w:tabs>
          <w:tab w:val="right" w:leader="dot" w:pos="8296"/>
        </w:tabs>
        <w:ind w:left="420" w:left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三、支出决算情况说明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lang w:val="en-US" w:eastAsia="zh-CN"/>
        </w:rPr>
        <w:t>9</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四、财政拨款收入支出决算总体情况说明</w:t>
      </w:r>
      <w:r>
        <w:tab/>
      </w:r>
      <w:r>
        <w:rPr>
          <w:rFonts w:hint="eastAsia" w:cs="Times New Roman"/>
          <w:sz w:val="28"/>
          <w:szCs w:val="28"/>
          <w:lang w:val="en-US" w:eastAsia="zh-CN"/>
        </w:rPr>
        <w:t>10</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五、一般公共预算财政拨款支出决算情况说明</w:t>
      </w:r>
      <w:r>
        <w:tab/>
      </w:r>
      <w:r>
        <w:rPr>
          <w:rFonts w:hint="eastAsia" w:cs="Times New Roman"/>
          <w:sz w:val="28"/>
          <w:szCs w:val="28"/>
          <w:lang w:val="en-US" w:eastAsia="zh-CN"/>
        </w:rPr>
        <w:t>10</w:t>
      </w:r>
    </w:p>
    <w:p>
      <w:pPr>
        <w:tabs>
          <w:tab w:val="right" w:leader="dot" w:pos="8296"/>
        </w:tabs>
        <w:ind w:left="420" w:leftChars="200"/>
        <w:rPr>
          <w:rFonts w:hint="eastAsia" w:ascii="宋体" w:hAnsi="宋体" w:eastAsia="宋体" w:cs="宋体"/>
          <w:sz w:val="28"/>
          <w:szCs w:val="28"/>
        </w:rPr>
      </w:pPr>
      <w:r>
        <w:rPr>
          <w:rFonts w:hint="eastAsia" w:ascii="Times New Roman" w:hAnsi="Times New Roman" w:eastAsia="宋体" w:cs="Times New Roman"/>
          <w:sz w:val="28"/>
          <w:szCs w:val="28"/>
        </w:rPr>
        <w:t>六、一般公共预算财政拨款基本支出决算情况说明</w:t>
      </w:r>
      <w:r>
        <w:tab/>
      </w:r>
      <w:r>
        <w:rPr>
          <w:rFonts w:hint="eastAsia" w:cs="Times New Roman"/>
          <w:sz w:val="28"/>
          <w:szCs w:val="28"/>
          <w:lang w:val="en-US" w:eastAsia="zh-CN"/>
        </w:rPr>
        <w:t>13</w:t>
      </w:r>
    </w:p>
    <w:p>
      <w:pPr>
        <w:tabs>
          <w:tab w:val="right" w:leader="dot" w:pos="8296"/>
        </w:tabs>
        <w:ind w:left="420" w:leftChars="200"/>
        <w:rPr>
          <w:rFonts w:ascii="Times New Roman" w:hAnsi="Times New Roman" w:eastAsia="宋体" w:cs="Times New Roman"/>
          <w:sz w:val="28"/>
          <w:szCs w:val="28"/>
        </w:rPr>
      </w:pPr>
      <w:r>
        <w:rPr>
          <w:rFonts w:hint="eastAsia" w:ascii="Times New Roman" w:hAnsi="Times New Roman" w:eastAsia="宋体" w:cs="Times New Roman"/>
          <w:sz w:val="28"/>
          <w:szCs w:val="28"/>
        </w:rPr>
        <w:t>七、</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三公”经费财政拨款支出决算情况说明</w:t>
      </w:r>
      <w:r>
        <w:tab/>
      </w:r>
      <w:r>
        <w:rPr>
          <w:rFonts w:hint="eastAsia" w:cs="Times New Roman"/>
          <w:sz w:val="28"/>
          <w:szCs w:val="28"/>
          <w:lang w:val="en-US" w:eastAsia="zh-CN"/>
        </w:rPr>
        <w:t>14</w:t>
      </w:r>
    </w:p>
    <w:p>
      <w:pPr>
        <w:tabs>
          <w:tab w:val="right" w:leader="dot" w:pos="8296"/>
        </w:tabs>
        <w:ind w:left="420" w:leftChars="200"/>
        <w:rPr>
          <w:rFonts w:ascii="Times New Roman" w:hAnsi="Times New Roman" w:eastAsia="宋体" w:cs="Times New Roman"/>
          <w:sz w:val="28"/>
          <w:szCs w:val="28"/>
        </w:rPr>
      </w:pPr>
      <w:r>
        <w:rPr>
          <w:rFonts w:hint="eastAsia" w:ascii="Times New Roman" w:hAnsi="Times New Roman" w:eastAsia="宋体" w:cs="Times New Roman"/>
          <w:sz w:val="28"/>
          <w:szCs w:val="28"/>
        </w:rPr>
        <w:t>八、政府性基金预算支出决算情况说明</w:t>
      </w:r>
      <w:r>
        <w:tab/>
      </w:r>
      <w:r>
        <w:rPr>
          <w:rFonts w:hint="eastAsia" w:cs="Times New Roman"/>
          <w:sz w:val="28"/>
          <w:szCs w:val="28"/>
          <w:lang w:val="en-US" w:eastAsia="zh-CN"/>
        </w:rPr>
        <w:t>15</w:t>
      </w:r>
    </w:p>
    <w:p>
      <w:pPr>
        <w:tabs>
          <w:tab w:val="right" w:leader="dot" w:pos="8296"/>
        </w:tabs>
        <w:ind w:left="420" w:leftChars="200"/>
        <w:rPr>
          <w:rFonts w:hint="eastAsia" w:ascii="宋体" w:hAnsi="宋体" w:eastAsia="宋体" w:cs="宋体"/>
          <w:sz w:val="28"/>
          <w:szCs w:val="28"/>
          <w:lang w:val="en-US" w:eastAsia="zh-CN"/>
        </w:rPr>
      </w:pPr>
      <w:r>
        <w:rPr>
          <w:rFonts w:hint="eastAsia" w:ascii="Times New Roman" w:hAnsi="Times New Roman" w:eastAsia="宋体" w:cs="Times New Roman"/>
          <w:sz w:val="28"/>
          <w:szCs w:val="28"/>
        </w:rPr>
        <w:t>九、国有资本经营预算支出决算情况说明</w:t>
      </w:r>
      <w:r>
        <w:tab/>
      </w:r>
      <w:r>
        <w:rPr>
          <w:rFonts w:hint="eastAsia" w:cs="Times New Roman"/>
          <w:sz w:val="28"/>
          <w:szCs w:val="28"/>
          <w:lang w:val="en-US" w:eastAsia="zh-CN"/>
        </w:rPr>
        <w:t>1</w:t>
      </w:r>
      <w:r>
        <w:rPr>
          <w:rFonts w:hint="default" w:cs="Times New Roman"/>
          <w:sz w:val="28"/>
          <w:szCs w:val="28"/>
          <w:lang w:val="en-US" w:eastAsia="zh-CN"/>
        </w:rPr>
        <w:t>5</w:t>
      </w:r>
    </w:p>
    <w:p>
      <w:pPr>
        <w:tabs>
          <w:tab w:val="right" w:leader="dot" w:pos="8296"/>
        </w:tabs>
        <w:ind w:left="420" w:leftChars="200"/>
        <w:rPr>
          <w:rFonts w:ascii="Times New Roman" w:hAnsi="Times New Roman" w:eastAsia="宋体" w:cs="Times New Roman"/>
          <w:sz w:val="28"/>
          <w:szCs w:val="28"/>
        </w:rPr>
      </w:pPr>
      <w:r>
        <w:rPr>
          <w:rFonts w:hint="eastAsia" w:ascii="Times New Roman" w:hAnsi="Times New Roman" w:eastAsia="宋体" w:cs="Times New Roman"/>
          <w:sz w:val="28"/>
          <w:szCs w:val="28"/>
        </w:rPr>
        <w:t>十、其他重要事项的情况说明</w:t>
      </w:r>
      <w:r>
        <w:tab/>
      </w:r>
      <w:r>
        <w:rPr>
          <w:rFonts w:hint="eastAsia" w:cs="Times New Roman"/>
          <w:sz w:val="28"/>
          <w:szCs w:val="28"/>
          <w:lang w:val="en-US" w:eastAsia="zh-CN"/>
        </w:rPr>
        <w:t>16</w:t>
      </w:r>
    </w:p>
    <w:p>
      <w:pPr>
        <w:tabs>
          <w:tab w:val="right" w:leader="dot" w:pos="8296"/>
        </w:tabs>
        <w:spacing w:before="93"/>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第三部分名词解释</w:t>
      </w:r>
      <w:r>
        <w:tab/>
      </w:r>
      <w:r>
        <w:rPr>
          <w:rFonts w:hint="eastAsia" w:eastAsia="仿宋" w:cs="Times New Roman"/>
          <w:sz w:val="28"/>
          <w:szCs w:val="28"/>
          <w:lang w:val="en-US" w:eastAsia="zh-CN"/>
        </w:rPr>
        <w:t>18</w:t>
      </w:r>
    </w:p>
    <w:p>
      <w:pPr>
        <w:tabs>
          <w:tab w:val="right" w:leader="dot" w:pos="8296"/>
        </w:tabs>
        <w:spacing w:before="93"/>
        <w:jc w:val="center"/>
        <w:rPr>
          <w:rFonts w:hint="eastAsia" w:ascii="仿宋" w:hAnsi="仿宋" w:eastAsia="仿宋" w:cs="仿宋"/>
          <w:sz w:val="28"/>
          <w:szCs w:val="28"/>
          <w:lang w:val="en-US" w:eastAsia="zh-CN"/>
        </w:rPr>
      </w:pPr>
      <w:r>
        <w:rPr>
          <w:rFonts w:hint="eastAsia" w:ascii="Times New Roman" w:hAnsi="Times New Roman" w:eastAsia="仿宋" w:cs="Times New Roman"/>
          <w:sz w:val="28"/>
          <w:szCs w:val="28"/>
        </w:rPr>
        <w:t>第四部分附件</w:t>
      </w:r>
      <w:r>
        <w:tab/>
      </w:r>
      <w:r>
        <w:rPr>
          <w:rFonts w:hint="eastAsia" w:eastAsia="仿宋" w:cs="Times New Roman"/>
          <w:sz w:val="28"/>
          <w:szCs w:val="28"/>
          <w:lang w:val="en-US" w:eastAsia="zh-CN"/>
        </w:rPr>
        <w:t>21</w:t>
      </w:r>
    </w:p>
    <w:p>
      <w:pPr>
        <w:tabs>
          <w:tab w:val="right" w:leader="dot" w:pos="8296"/>
        </w:tabs>
        <w:ind w:left="420" w:leftChars="200"/>
        <w:rPr>
          <w:rFonts w:ascii="Times New Roman" w:hAnsi="Times New Roman" w:eastAsia="仿宋" w:cs="Times New Roman"/>
          <w:sz w:val="28"/>
          <w:szCs w:val="28"/>
        </w:rPr>
      </w:pPr>
      <w:r>
        <w:rPr>
          <w:rFonts w:hint="eastAsia" w:ascii="Times New Roman" w:hAnsi="Times New Roman" w:eastAsia="宋体" w:cs="Times New Roman"/>
          <w:sz w:val="28"/>
          <w:szCs w:val="28"/>
        </w:rPr>
        <w:t>附件</w:t>
      </w:r>
      <w:r>
        <w:rPr>
          <w:rFonts w:ascii="Times New Roman" w:hAnsi="Times New Roman" w:eastAsia="宋体" w:cs="Times New Roman"/>
          <w:sz w:val="28"/>
          <w:szCs w:val="28"/>
        </w:rPr>
        <w:t>1</w:t>
      </w:r>
      <w:r>
        <w:tab/>
      </w:r>
      <w:r>
        <w:rPr>
          <w:rFonts w:hint="eastAsia" w:cs="Times New Roman"/>
          <w:sz w:val="28"/>
          <w:szCs w:val="28"/>
          <w:lang w:val="en-US" w:eastAsia="zh-CN"/>
        </w:rPr>
        <w:t>21</w:t>
      </w:r>
    </w:p>
    <w:p>
      <w:pPr>
        <w:tabs>
          <w:tab w:val="right" w:leader="dot" w:pos="8296"/>
        </w:tabs>
        <w:spacing w:before="93"/>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第五部分附表</w:t>
      </w:r>
      <w:r>
        <w:tab/>
      </w:r>
      <w:r>
        <w:rPr>
          <w:rFonts w:hint="eastAsia" w:eastAsia="仿宋" w:cs="Times New Roman"/>
          <w:sz w:val="28"/>
          <w:szCs w:val="28"/>
          <w:lang w:val="en-US" w:eastAsia="zh-CN"/>
        </w:rPr>
        <w:t>26</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仿宋" w:cs="Times New Roman"/>
          <w:sz w:val="28"/>
          <w:szCs w:val="28"/>
        </w:rPr>
        <w:t>一、</w:t>
      </w:r>
      <w:r>
        <w:rPr>
          <w:rFonts w:hint="eastAsia" w:ascii="Times New Roman" w:hAnsi="Times New Roman" w:eastAsia="宋体" w:cs="Times New Roman"/>
          <w:sz w:val="28"/>
          <w:szCs w:val="28"/>
        </w:rPr>
        <w:t>收入支出决算总表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二、收入决算表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三、支出决算表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四、财政拨款收入支出决算总表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五、财政拨款支出决算明细表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六、一般公共预算财政拨款支出决算表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七、一般公共预算财政拨款支出决算明细表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八、一般公共预算财政拨款基本支出决算表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九、一般公共预算财政拨款项目支出决算表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十、一般公共预算财政拨款“三公”经费支出决算表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十一、政府性基金预算财政拨款收入支出决算表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十二、政府性基金预算财政拨款“三公”经费支出决算表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十三、国有资本经营预算支出决算表</w:t>
      </w:r>
    </w:p>
    <w:p/>
    <w:p>
      <w:pPr>
        <w:pStyle w:val="11"/>
        <w:adjustRightInd w:val="0"/>
        <w:snapToGrid w:val="0"/>
        <w:spacing w:line="440" w:lineRule="exact"/>
        <w:jc w:val="left"/>
        <w:rPr>
          <w:rFonts w:hint="eastAsia" w:ascii="宋体" w:hAnsi="宋体" w:eastAsia="宋体" w:cs="宋体"/>
          <w:sz w:val="28"/>
          <w:szCs w:val="28"/>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pageBreakBefore w:val="0"/>
        <w:widowControl w:val="0"/>
        <w:kinsoku/>
        <w:wordWrap/>
        <w:overflowPunct/>
        <w:topLinePunct w:val="0"/>
        <w:autoSpaceDE/>
        <w:autoSpaceDN/>
        <w:bidi w:val="0"/>
        <w:spacing w:before="0" w:after="0"/>
        <w:ind w:left="0" w:leftChars="0" w:right="0" w:rightChars="0"/>
        <w:jc w:val="both"/>
        <w:textAlignment w:val="auto"/>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pageBreakBefore w:val="0"/>
        <w:widowControl w:val="0"/>
        <w:kinsoku/>
        <w:wordWrap/>
        <w:overflowPunct/>
        <w:topLinePunct w:val="0"/>
        <w:autoSpaceDE/>
        <w:autoSpaceDN/>
        <w:bidi w:val="0"/>
        <w:adjustRightInd w:val="0"/>
        <w:snapToGrid w:val="0"/>
        <w:spacing w:line="600" w:lineRule="exact"/>
        <w:ind w:left="0" w:leftChars="0" w:right="0" w:rightChars="0" w:firstLine="675" w:firstLineChars="210"/>
        <w:jc w:val="both"/>
        <w:textAlignment w:val="auto"/>
        <w:outlineLvl w:val="2"/>
        <w:rPr>
          <w:rFonts w:hint="eastAsia" w:ascii="楷体_GB2312" w:hAnsi="楷体_GB2312" w:eastAsia="楷体_GB2312" w:cs="楷体_GB2312"/>
          <w:b/>
          <w:bCs w:val="0"/>
          <w:color w:val="000000"/>
          <w:sz w:val="32"/>
          <w:szCs w:val="32"/>
        </w:rPr>
      </w:pPr>
      <w:bookmarkStart w:id="16" w:name="_Toc15377198"/>
      <w:bookmarkStart w:id="17" w:name="_Toc15378445"/>
      <w:r>
        <w:rPr>
          <w:rFonts w:hint="eastAsia" w:ascii="楷体_GB2312" w:hAnsi="楷体_GB2312" w:eastAsia="楷体_GB2312" w:cs="楷体_GB2312"/>
          <w:b/>
          <w:bCs w:val="0"/>
          <w:color w:val="000000"/>
          <w:sz w:val="32"/>
          <w:szCs w:val="32"/>
        </w:rPr>
        <w:t>（一）主要职能</w:t>
      </w:r>
      <w:bookmarkEnd w:id="16"/>
      <w:bookmarkEnd w:id="17"/>
      <w:bookmarkStart w:id="18" w:name="_Toc15377199"/>
      <w:bookmarkStart w:id="19" w:name="_Toc15378446"/>
    </w:p>
    <w:p>
      <w:pPr>
        <w:pageBreakBefore w:val="0"/>
        <w:widowControl w:val="0"/>
        <w:kinsoku/>
        <w:wordWrap/>
        <w:overflowPunct/>
        <w:topLinePunct w:val="0"/>
        <w:autoSpaceDE/>
        <w:autoSpaceDN/>
        <w:bidi w:val="0"/>
        <w:spacing w:line="5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全市水运安全管理和水路交通的安全执法监督，受理水上交通事故报告并按规定上报；建立水上安全应急机制，负责较大以上水上运输船舶险情救助的响应工作，负责水上救助打捞；负责组织开展本市水上交通安全检查工作和各类专项整治活动，定期对重点水域进行巡查；负责组织船舶、水上设施的设计、建造，船用产品的技术核验、造船企业生产技术的认可发证以及水运科技的推广应用；负责船员考试费的征收管理；负责部、省授权范围等级内机动船船员考试发证工作，负责本机构发证船员的有效审验和换证工作，负责本市机动船船员服务簿签发和管理工作。</w:t>
      </w:r>
    </w:p>
    <w:p>
      <w:pPr>
        <w:pStyle w:val="5"/>
        <w:adjustRightInd w:val="0"/>
        <w:snapToGrid w:val="0"/>
        <w:spacing w:before="93" w:line="600" w:lineRule="exact"/>
        <w:ind w:firstLine="675" w:firstLineChars="210"/>
        <w:outlineLvl w:val="2"/>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（二）2019年重点工作完成情况</w:t>
      </w:r>
      <w:bookmarkEnd w:id="18"/>
      <w:bookmarkEnd w:id="19"/>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水上交通安全形势持续稳定。水上安全监督管理工作历来是全市航务海事系统的中心工作。2019年，市、县（区）两级航务海事机构充分认识水上交通严峻的安全生产形势，调整了水上交通安全领导小组，明确了领导班子及各科室安全管理责任，重新划分了安全责任片区、制定了年度巡航计划，层层分解目标责任，将安全管理责任落实到人头，确保各项安全工作任务全面落实。</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泛宣传培训，营造安全氛围。利用报纸、广播、网络、传单等多种渠道,以法规宣传为重点,提升服务对象安全意识;委托内江丰雨职业技能培训学校，举办了2期资阳市内河证船员集中安全与环保教育培训班，全市116名持证船员参加培训,增强了从业人员安全素质；携手资阳大众网在海事综合码头开展以“让江河更清洁，让航行更安全”为主题的海巡艇市民开放日活动，让群众通过亲身体验，了解水上交通现状，感受航务海事人的所思所为，营造了水上安全大家管、水上环保大家护的良好氛围。</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动态监管，确保一线安全。统一安排部署，通过加大现场巡查频次，严格落实值班值守和开展各类专项检查活动，确保了“春运”及汛期水上交通安全。2019年，市县两级航务海事机构共出动检查组240个次，检查人员734人次，检查船舶915艘次，排查隐患34个，已整治32个，其余隐患正在按要求整改当中。</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应急管理，提升应急救助能力。在雁江沱江城区段水域，开展了水上应急抢险救援综合演练。本次演练有交通、应急、卫生、工兵团等部门参加，参演人员共40余人，出动消防车、救护车各1辆，海巡艇2艘，海事执法车2辆，进行了搜救转移、失事船舶灭火、失事船舶拖离现场、水域环境污染处置4个演练课目，有效检验了应急指挥体系和应急抢险救援运行机制，锻炼了多部门的联合作战能力。</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二是保障水路运输。2019年，全市完成货运量270万吨，周转量1800万吨公里，同比增长13%和20%。</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了防污应急规划工作。委托重庆设计单位编制《资阳市防治船舶及其有关作业活动污染水域环境应急能力建设规划》，内容涉及船舶应急预案、船舶防污演练、应急物资储备等。8月市政府已经批复（资府办函〔2019〕42号）该规划，目前组织各县（区）按照规划开展项目建设。</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了非法码头整治工作。按照《资阳市交通运输局开展沱江等河流非法码头专项整治方案》（资交办〔2018〕325号）稳步推进非法码头工作，在2018年已完成非法码头清理摸底的基础上，2019年落实经费50万元，委托重庆设计单位开展《资阳港口总体规划》编制，为开展非法码头集中整治提供规划和法律基础。</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三是严把船检技术关。按期完成船舶检验相关业务。全年新建船舶3艘，营运检验船舶141艘次，图纸审查3套。</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推进政务公开。窗口本着“规范、便民、高效、廉洁”的服务理念为特殊群众提供代办服务3次，提前服务2次，延时服务1次，上门服务1次。2019年，中心共受理行政许可及服务事项申请127件，办结127件，其中船舶检验40件，船员证书核发25件，船舶登记58件 ，与航道有关的工程建设项目对航道通航条件影响评价审核3件，国内水路运输经营许1件。按时办结率100%。为推进“最多跑一次”改革，主动提供“现场申请、快递送达”服务，邮寄送达证书3件。</w:t>
      </w:r>
    </w:p>
    <w:p>
      <w:pPr>
        <w:pStyle w:val="3"/>
        <w:pageBreakBefore w:val="0"/>
        <w:widowControl w:val="0"/>
        <w:kinsoku/>
        <w:wordWrap/>
        <w:overflowPunct/>
        <w:topLinePunct w:val="0"/>
        <w:autoSpaceDE/>
        <w:autoSpaceDN/>
        <w:bidi w:val="0"/>
        <w:adjustRightInd/>
        <w:snapToGrid/>
        <w:spacing w:before="0" w:after="0"/>
        <w:ind w:left="0" w:leftChars="0" w:right="0" w:rightChars="0" w:firstLine="640" w:firstLineChars="200"/>
        <w:jc w:val="both"/>
        <w:textAlignment w:val="auto"/>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阳市交通运输局航务管理处属于参照公务员法管理的事业单位，无下属二级单位。单位总编制14名，其中参照公务员法管理的事业编制14名。2019年新调入人员1名，在职人员总数12人，其中参照公务员法管理的事业人员12人；退休人员11人。</w:t>
      </w:r>
    </w:p>
    <w:p>
      <w:pPr>
        <w:ind w:firstLine="800" w:firstLineChars="250"/>
        <w:rPr>
          <w:rFonts w:hint="eastAsia" w:ascii="仿宋" w:hAnsi="仿宋" w:eastAsia="仿宋"/>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度收入539.84万元，上年结转183.24万元，总计723.08万元。与2018年相比，收入总计增加220.01万元，增长43.73%。主要变动原因是开展了规划编制工作、沱江资阳段航道应急抢通工程、下拨了水上交通安全监测巡航救助一体化建设项目省级补助资金和农村水路客运成品油价格补助资金，交通发展类专项资金收入增多。</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度支出总计616.87万元。与2018年相比，支出总计增加299.42万元，增长94.32%。主要变动原因是开展了航务海事规划编制工作、沱江资阳段航道应急抢通工程、建设了16套中（高）水位系揽设施、发放了2018年度农村水路客运成品油价格补贴等航务海事专项工作。</w:t>
      </w:r>
    </w:p>
    <w:p>
      <w:pPr>
        <w:spacing w:line="60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0" distR="0" simplePos="0" relativeHeight="1024" behindDoc="0" locked="0" layoutInCell="1" allowOverlap="1">
            <wp:simplePos x="0" y="0"/>
            <wp:positionH relativeFrom="column">
              <wp:posOffset>410845</wp:posOffset>
            </wp:positionH>
            <wp:positionV relativeFrom="paragraph">
              <wp:posOffset>139065</wp:posOffset>
            </wp:positionV>
            <wp:extent cx="4683125" cy="2405380"/>
            <wp:effectExtent l="0" t="0" r="0" b="0"/>
            <wp:wrapTopAndBottom/>
            <wp:docPr id="102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2019年本年收入合计723.08万元，其中：一般公共预算财政拨款收入641.08万元，占88.66%；政府性基金预算财政拨款收入82.00万元，占11.34%。</w:t>
      </w: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lang w:eastAsia="zh-CN"/>
        </w:rPr>
        <w:drawing>
          <wp:anchor distT="0" distB="0" distL="0" distR="0" simplePos="0" relativeHeight="1024" behindDoc="0" locked="0" layoutInCell="1" allowOverlap="1">
            <wp:simplePos x="0" y="0"/>
            <wp:positionH relativeFrom="column">
              <wp:posOffset>346710</wp:posOffset>
            </wp:positionH>
            <wp:positionV relativeFrom="paragraph">
              <wp:posOffset>82550</wp:posOffset>
            </wp:positionV>
            <wp:extent cx="4708525" cy="2286635"/>
            <wp:effectExtent l="0" t="0" r="0" b="0"/>
            <wp:wrapTopAndBottom/>
            <wp:docPr id="102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rPr>
        <w:t>（图2：收入决算结构图）（饼状图）</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2019年本年支出合计616.87万元，其中：基本支出242.46万元，占39.30%；项目支出374.41万元，占60.70%。</w:t>
      </w:r>
    </w:p>
    <w:p>
      <w:pPr>
        <w:spacing w:line="600" w:lineRule="exact"/>
        <w:ind w:firstLine="640" w:firstLineChars="200"/>
        <w:jc w:val="center"/>
        <w:rPr>
          <w:rFonts w:ascii="仿宋" w:hAnsi="仿宋" w:eastAsia="仿宋"/>
          <w:color w:val="000000"/>
          <w:sz w:val="32"/>
          <w:szCs w:val="32"/>
        </w:rPr>
      </w:pPr>
      <w:r>
        <w:rPr>
          <w:rFonts w:hint="eastAsia" w:ascii="仿宋_GB2312" w:eastAsia="仿宋_GB2312"/>
          <w:color w:val="FF0000"/>
          <w:sz w:val="32"/>
          <w:szCs w:val="32"/>
          <w:lang w:eastAsia="zh-CN"/>
        </w:rPr>
        <w:drawing>
          <wp:anchor distT="0" distB="0" distL="0" distR="0" simplePos="0" relativeHeight="1024" behindDoc="0" locked="0" layoutInCell="1" allowOverlap="1">
            <wp:simplePos x="0" y="0"/>
            <wp:positionH relativeFrom="column">
              <wp:posOffset>441960</wp:posOffset>
            </wp:positionH>
            <wp:positionV relativeFrom="paragraph">
              <wp:posOffset>218440</wp:posOffset>
            </wp:positionV>
            <wp:extent cx="4906645" cy="2151380"/>
            <wp:effectExtent l="0" t="0" r="0" b="0"/>
            <wp:wrapTopAndBottom/>
            <wp:docPr id="103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32"/>
          <w:szCs w:val="32"/>
        </w:rPr>
        <w:t>（图3：支出决算结构图）（饼状图）</w:t>
      </w: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财政拨款收入539.84万元，上年结转183.24万元，总计723.08万元。与2018年相比，财政拨款收入总计增加220.01万元，增长43.73%。主要变动原因是开展了规划编制工作、沱江资阳段航道应急抢通工程、下拨了水上交通安全监测巡航救助一体化建设项目省级补助资金和农村水路客运成品油价格补助资金，交通发展类专项资金收入增多。</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财政拨款支出总计616.87万元。与2018年相比，财政拨款支出总计增加299.42万元，增长94.32%。主要变动原因是开展了航务海事规划编制工作、沱江资阳段航道应急抢通工程、建设了16套中（高）水位系揽设施、发放了2018年度农村水路客运成品油价格补贴等航务海事专项工作。</w:t>
      </w:r>
    </w:p>
    <w:p>
      <w:pPr>
        <w:spacing w:line="600" w:lineRule="exact"/>
        <w:ind w:firstLine="640" w:firstLineChars="200"/>
        <w:jc w:val="center"/>
        <w:rPr>
          <w:rFonts w:ascii="仿宋" w:hAnsi="仿宋" w:eastAsia="仿宋"/>
          <w:b/>
          <w:color w:val="00B050"/>
          <w:sz w:val="32"/>
          <w:szCs w:val="32"/>
        </w:rPr>
      </w:pPr>
      <w:r>
        <w:rPr>
          <w:rFonts w:hint="eastAsia" w:ascii="仿宋" w:hAnsi="仿宋" w:eastAsia="仿宋"/>
          <w:color w:val="000000"/>
          <w:sz w:val="32"/>
          <w:szCs w:val="32"/>
          <w:lang w:eastAsia="zh-CN"/>
        </w:rPr>
        <w:drawing>
          <wp:anchor distT="0" distB="0" distL="0" distR="0" simplePos="0" relativeHeight="1024" behindDoc="0" locked="0" layoutInCell="1" allowOverlap="1">
            <wp:simplePos x="0" y="0"/>
            <wp:positionH relativeFrom="column">
              <wp:posOffset>307975</wp:posOffset>
            </wp:positionH>
            <wp:positionV relativeFrom="paragraph">
              <wp:posOffset>55880</wp:posOffset>
            </wp:positionV>
            <wp:extent cx="4802505" cy="2588260"/>
            <wp:effectExtent l="0" t="0" r="0" b="0"/>
            <wp:wrapTopAndBottom/>
            <wp:docPr id="1033"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4" w:name="_Toc15377210"/>
      <w:r>
        <w:rPr>
          <w:rFonts w:hint="eastAsia" w:ascii="楷体_GB2312" w:hAnsi="楷体_GB2312" w:eastAsia="楷体_GB2312" w:cs="楷体_GB2312"/>
          <w:b/>
          <w:color w:val="000000"/>
          <w:sz w:val="32"/>
          <w:szCs w:val="32"/>
        </w:rPr>
        <w:t>（一）一般公共预算财政拨款支出决算总体情况</w:t>
      </w:r>
      <w:bookmarkEnd w:id="34"/>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一般公共预算财政拨款支出534.87万元，占本年支出合计的86.71%。与2018年相比，一般公共预算财政拨款增加217.42万元，增长68.49%。主要变动原因是开展了航务海事规划编制工作、建设了16套中（高）水位系揽设施、发放了2018年度农村水路客运成品油价格补贴等航务海事专项工作。</w:t>
      </w:r>
    </w:p>
    <w:p>
      <w:pPr>
        <w:spacing w:line="600" w:lineRule="exact"/>
        <w:ind w:firstLine="640" w:firstLineChars="200"/>
        <w:jc w:val="both"/>
        <w:rPr>
          <w:rFonts w:ascii="仿宋" w:hAnsi="仿宋" w:eastAsia="仿宋"/>
          <w:color w:val="000000"/>
          <w:sz w:val="32"/>
          <w:szCs w:val="32"/>
        </w:rPr>
      </w:pPr>
      <w:r>
        <w:rPr>
          <w:rFonts w:ascii="仿宋" w:hAnsi="仿宋" w:eastAsia="仿宋"/>
          <w:color w:val="000000"/>
          <w:sz w:val="32"/>
          <w:szCs w:val="32"/>
        </w:rPr>
        <w:drawing>
          <wp:anchor distT="0" distB="0" distL="0" distR="0" simplePos="0" relativeHeight="1024" behindDoc="0" locked="0" layoutInCell="1" allowOverlap="1">
            <wp:simplePos x="0" y="0"/>
            <wp:positionH relativeFrom="column">
              <wp:posOffset>567055</wp:posOffset>
            </wp:positionH>
            <wp:positionV relativeFrom="paragraph">
              <wp:posOffset>155575</wp:posOffset>
            </wp:positionV>
            <wp:extent cx="4342130" cy="2531745"/>
            <wp:effectExtent l="0" t="0" r="0" b="0"/>
            <wp:wrapTopAndBottom/>
            <wp:docPr id="103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sz w:val="32"/>
          <w:szCs w:val="32"/>
        </w:rPr>
        <w:t>（图5：一般公共预算财政拨款支出决算变动情况）（柱状图）</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5" w:name="_Toc15377211"/>
      <w:r>
        <w:rPr>
          <w:rFonts w:hint="eastAsia" w:ascii="楷体_GB2312" w:hAnsi="楷体_GB2312" w:eastAsia="楷体_GB2312" w:cs="楷体_GB2312"/>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534.87</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12.03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8.90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lang w:val="en-US" w:eastAsia="zh-CN"/>
        </w:rPr>
        <w:t>15.27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交通运输支出</w:t>
      </w:r>
      <w:r>
        <w:rPr>
          <w:rFonts w:hint="eastAsia" w:ascii="仿宋" w:hAnsi="仿宋" w:eastAsia="仿宋" w:cs="仿宋"/>
          <w:sz w:val="32"/>
          <w:szCs w:val="32"/>
          <w:lang w:val="en-US" w:eastAsia="zh-CN"/>
        </w:rPr>
        <w:t>498.67万元，占93.24%。</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0" distR="0" simplePos="0" relativeHeight="1024" behindDoc="0" locked="0" layoutInCell="1" allowOverlap="1">
            <wp:simplePos x="0" y="0"/>
            <wp:positionH relativeFrom="column">
              <wp:posOffset>609600</wp:posOffset>
            </wp:positionH>
            <wp:positionV relativeFrom="paragraph">
              <wp:posOffset>58420</wp:posOffset>
            </wp:positionV>
            <wp:extent cx="4382135" cy="2374900"/>
            <wp:effectExtent l="0" t="0" r="0" b="0"/>
            <wp:wrapTopAndBottom/>
            <wp:docPr id="103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6" w:name="_Toc15377212"/>
      <w:r>
        <w:rPr>
          <w:rFonts w:hint="eastAsia" w:ascii="楷体_GB2312" w:hAnsi="楷体_GB2312" w:eastAsia="楷体_GB2312" w:cs="楷体_GB2312"/>
          <w:b/>
          <w:color w:val="000000"/>
          <w:sz w:val="32"/>
          <w:szCs w:val="32"/>
        </w:rPr>
        <w:t>（三）一般公共预算财政拨款支出决算具体情况</w:t>
      </w:r>
      <w:bookmarkEnd w:id="36"/>
    </w:p>
    <w:p>
      <w:pPr>
        <w:spacing w:line="600" w:lineRule="exact"/>
        <w:ind w:firstLine="643" w:firstLineChars="200"/>
        <w:outlineLvl w:val="2"/>
        <w:rPr>
          <w:rFonts w:hint="eastAsia" w:ascii="仿宋" w:hAnsi="仿宋" w:eastAsia="仿宋" w:cs="仿宋"/>
          <w:b/>
          <w:bCs w:val="0"/>
          <w:color w:val="FF0000"/>
          <w:sz w:val="32"/>
          <w:szCs w:val="32"/>
        </w:rPr>
      </w:pPr>
      <w:bookmarkStart w:id="37" w:name="_Toc15377213"/>
      <w:bookmarkStart w:id="38" w:name="_Toc15378460"/>
      <w:bookmarkStart w:id="39" w:name="_Toc15377444"/>
      <w:r>
        <w:rPr>
          <w:rFonts w:hint="eastAsia" w:ascii="仿宋" w:hAnsi="仿宋" w:eastAsia="仿宋" w:cs="仿宋"/>
          <w:b/>
          <w:bCs w:val="0"/>
          <w:color w:val="000000"/>
          <w:sz w:val="32"/>
          <w:szCs w:val="32"/>
        </w:rPr>
        <w:t>2019年般公共预算支出决算数为</w:t>
      </w:r>
      <w:r>
        <w:rPr>
          <w:rFonts w:hint="eastAsia" w:ascii="仿宋" w:hAnsi="仿宋" w:eastAsia="仿宋" w:cs="仿宋"/>
          <w:b/>
          <w:bCs w:val="0"/>
          <w:color w:val="000000"/>
          <w:sz w:val="32"/>
          <w:szCs w:val="32"/>
          <w:lang w:val="en-US" w:eastAsia="zh-CN"/>
        </w:rPr>
        <w:t>534.87万元</w:t>
      </w:r>
      <w:r>
        <w:rPr>
          <w:rFonts w:hint="eastAsia" w:ascii="仿宋" w:hAnsi="仿宋" w:eastAsia="仿宋" w:cs="仿宋"/>
          <w:b/>
          <w:bCs w:val="0"/>
          <w:color w:val="000000"/>
          <w:sz w:val="32"/>
          <w:szCs w:val="32"/>
        </w:rPr>
        <w:t>，</w:t>
      </w:r>
      <w:r>
        <w:rPr>
          <w:rStyle w:val="13"/>
          <w:rFonts w:hint="eastAsia" w:ascii="仿宋" w:hAnsi="仿宋" w:eastAsia="仿宋" w:cs="仿宋"/>
          <w:b/>
          <w:bCs w:val="0"/>
          <w:color w:val="000000"/>
          <w:sz w:val="32"/>
          <w:szCs w:val="32"/>
        </w:rPr>
        <w:t>完成预算</w:t>
      </w:r>
      <w:r>
        <w:rPr>
          <w:rStyle w:val="13"/>
          <w:rFonts w:hint="eastAsia" w:ascii="仿宋" w:hAnsi="仿宋" w:eastAsia="仿宋" w:cs="仿宋"/>
          <w:b/>
          <w:bCs w:val="0"/>
          <w:color w:val="000000"/>
          <w:sz w:val="32"/>
          <w:szCs w:val="32"/>
          <w:lang w:val="en-US" w:eastAsia="zh-CN"/>
        </w:rPr>
        <w:t>83.43</w:t>
      </w:r>
      <w:r>
        <w:rPr>
          <w:rStyle w:val="13"/>
          <w:rFonts w:hint="eastAsia" w:ascii="仿宋" w:hAnsi="仿宋" w:eastAsia="仿宋" w:cs="仿宋"/>
          <w:b/>
          <w:bCs w:val="0"/>
          <w:color w:val="000000"/>
          <w:sz w:val="32"/>
          <w:szCs w:val="32"/>
        </w:rPr>
        <w:t>%。其中：</w:t>
      </w:r>
      <w:bookmarkEnd w:id="37"/>
      <w:bookmarkEnd w:id="38"/>
      <w:bookmarkEnd w:id="39"/>
    </w:p>
    <w:p>
      <w:pPr>
        <w:spacing w:line="600" w:lineRule="exact"/>
        <w:ind w:firstLine="643" w:firstLineChars="200"/>
        <w:rPr>
          <w:rFonts w:hint="eastAsia" w:ascii="仿宋" w:hAnsi="仿宋" w:eastAsia="仿宋" w:cs="仿宋"/>
          <w:sz w:val="32"/>
          <w:szCs w:val="32"/>
          <w:lang w:val="en-US" w:eastAsia="zh-CN"/>
        </w:rPr>
      </w:pPr>
      <w:r>
        <w:rPr>
          <w:rStyle w:val="13"/>
          <w:rFonts w:hint="eastAsia" w:ascii="仿宋" w:hAnsi="仿宋" w:eastAsia="仿宋" w:cs="仿宋"/>
          <w:b/>
          <w:bCs w:val="0"/>
          <w:color w:val="000000"/>
          <w:sz w:val="32"/>
          <w:szCs w:val="32"/>
          <w:lang w:val="en-US" w:eastAsia="zh-CN"/>
        </w:rPr>
        <w:t>1</w:t>
      </w:r>
      <w:r>
        <w:rPr>
          <w:rStyle w:val="13"/>
          <w:rFonts w:hint="eastAsia" w:ascii="仿宋" w:hAnsi="仿宋" w:eastAsia="仿宋" w:cs="仿宋"/>
          <w:b/>
          <w:bCs w:val="0"/>
          <w:color w:val="000000"/>
          <w:sz w:val="32"/>
          <w:szCs w:val="32"/>
        </w:rPr>
        <w:t>.社会保障和就业（类）</w:t>
      </w:r>
      <w:r>
        <w:rPr>
          <w:rStyle w:val="13"/>
          <w:rFonts w:hint="eastAsia" w:ascii="仿宋" w:hAnsi="仿宋" w:eastAsia="仿宋" w:cs="仿宋"/>
          <w:b/>
          <w:bCs w:val="0"/>
          <w:color w:val="000000"/>
          <w:sz w:val="32"/>
          <w:szCs w:val="32"/>
          <w:lang w:val="en-US" w:eastAsia="zh-CN"/>
        </w:rPr>
        <w:t>行政事业单位离退休</w:t>
      </w:r>
      <w:r>
        <w:rPr>
          <w:rStyle w:val="13"/>
          <w:rFonts w:hint="eastAsia" w:ascii="仿宋" w:hAnsi="仿宋" w:eastAsia="仿宋" w:cs="仿宋"/>
          <w:b/>
          <w:bCs w:val="0"/>
          <w:color w:val="000000"/>
          <w:sz w:val="32"/>
          <w:szCs w:val="32"/>
        </w:rPr>
        <w:t>（款）</w:t>
      </w:r>
      <w:r>
        <w:rPr>
          <w:rStyle w:val="13"/>
          <w:rFonts w:hint="eastAsia" w:ascii="仿宋" w:hAnsi="仿宋" w:eastAsia="仿宋" w:cs="仿宋"/>
          <w:b/>
          <w:bCs w:val="0"/>
          <w:color w:val="000000"/>
          <w:sz w:val="32"/>
          <w:szCs w:val="32"/>
          <w:lang w:val="en-US" w:eastAsia="zh-CN"/>
        </w:rPr>
        <w:t>机关事业单位基本养老保险缴费支出</w:t>
      </w:r>
      <w:r>
        <w:rPr>
          <w:rStyle w:val="13"/>
          <w:rFonts w:hint="eastAsia" w:ascii="仿宋" w:hAnsi="仿宋" w:eastAsia="仿宋" w:cs="仿宋"/>
          <w:b/>
          <w:bCs w:val="0"/>
          <w:color w:val="000000"/>
          <w:sz w:val="32"/>
          <w:szCs w:val="32"/>
        </w:rPr>
        <w:t>（项）:</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支出决算为12.03万元，完成预算100%。</w:t>
      </w:r>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2.</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行政事业单位医疗</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行政单位医疗</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Fonts w:hint="eastAsia" w:ascii="仿宋" w:hAnsi="仿宋" w:eastAsia="仿宋" w:cs="仿宋"/>
          <w:sz w:val="32"/>
          <w:szCs w:val="32"/>
          <w:lang w:val="en-US" w:eastAsia="zh-CN"/>
        </w:rPr>
        <w:t>支出决算为8.90万元，完成预算100%。</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lang w:val="en-US" w:eastAsia="zh-CN"/>
        </w:rPr>
        <w:t>住房保障支出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住房改革支出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住房公积金</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Fonts w:hint="eastAsia" w:ascii="仿宋" w:hAnsi="仿宋" w:eastAsia="仿宋" w:cs="仿宋"/>
          <w:sz w:val="32"/>
          <w:szCs w:val="32"/>
          <w:lang w:val="en-US" w:eastAsia="zh-CN"/>
        </w:rPr>
        <w:t xml:space="preserve"> 支出决算为15.27万元，完成预算100%。</w:t>
      </w:r>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4.交通运输支出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公路水路运输</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行政运行</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支出决算为206.26万元，完成预算99.99%。</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lang w:val="en-US" w:eastAsia="zh-CN"/>
        </w:rPr>
        <w:t>5.交通运输支出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公路水路运输</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海事管理</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支出决算为52.70万元，完成预算52.06%，决算数小于预算数的主要原因是全市非法码头整治、船舶防污染治理工作还在逐步推进中。</w:t>
      </w:r>
    </w:p>
    <w:p>
      <w:pPr>
        <w:spacing w:line="600" w:lineRule="exact"/>
        <w:ind w:firstLine="643" w:firstLineChars="200"/>
        <w:rPr>
          <w:rFonts w:hint="eastAsia" w:ascii="仿宋" w:hAnsi="仿宋" w:eastAsia="仿宋" w:cs="仿宋"/>
          <w:sz w:val="32"/>
          <w:szCs w:val="32"/>
          <w:lang w:val="en-US" w:eastAsia="zh-CN"/>
        </w:rPr>
      </w:pPr>
      <w:r>
        <w:rPr>
          <w:rStyle w:val="13"/>
          <w:rFonts w:hint="eastAsia" w:ascii="仿宋" w:hAnsi="仿宋" w:eastAsia="仿宋"/>
          <w:bCs/>
          <w:color w:val="000000"/>
          <w:sz w:val="32"/>
          <w:szCs w:val="32"/>
          <w:lang w:val="en-US" w:eastAsia="zh-CN"/>
        </w:rPr>
        <w:t>6.交通运输支出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公路水路运输</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其他公路水路运输支出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支出决算为63.70万元，完成预算100%。</w:t>
      </w:r>
    </w:p>
    <w:p>
      <w:pPr>
        <w:spacing w:line="600" w:lineRule="exact"/>
        <w:ind w:firstLine="643" w:firstLineChars="200"/>
        <w:rPr>
          <w:rFonts w:hint="eastAsia" w:ascii="仿宋" w:hAnsi="仿宋" w:eastAsia="仿宋" w:cs="仿宋"/>
          <w:sz w:val="32"/>
          <w:szCs w:val="32"/>
          <w:lang w:val="en-US" w:eastAsia="zh-CN"/>
        </w:rPr>
      </w:pPr>
      <w:r>
        <w:rPr>
          <w:rStyle w:val="13"/>
          <w:rFonts w:hint="eastAsia" w:ascii="仿宋" w:hAnsi="仿宋" w:eastAsia="仿宋"/>
          <w:bCs/>
          <w:color w:val="000000"/>
          <w:sz w:val="32"/>
          <w:szCs w:val="32"/>
          <w:lang w:val="en-US" w:eastAsia="zh-CN"/>
        </w:rPr>
        <w:t>7.交通运输支出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成品油价格改革对交通运输的补贴</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对农村道路客运的补贴</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支出决算为73.16万元，完成预算100%。</w:t>
      </w:r>
    </w:p>
    <w:p>
      <w:pPr>
        <w:spacing w:line="600" w:lineRule="exact"/>
        <w:ind w:firstLine="643" w:firstLineChars="200"/>
        <w:rPr>
          <w:rFonts w:hint="eastAsia" w:ascii="仿宋" w:hAnsi="仿宋" w:eastAsia="仿宋" w:cs="仿宋"/>
          <w:sz w:val="32"/>
          <w:szCs w:val="32"/>
          <w:lang w:val="en-US" w:eastAsia="zh-CN"/>
        </w:rPr>
      </w:pPr>
      <w:r>
        <w:rPr>
          <w:rStyle w:val="13"/>
          <w:rFonts w:hint="eastAsia" w:ascii="仿宋" w:hAnsi="仿宋" w:eastAsia="仿宋"/>
          <w:bCs/>
          <w:color w:val="000000"/>
          <w:sz w:val="32"/>
          <w:szCs w:val="32"/>
          <w:lang w:val="en-US" w:eastAsia="zh-CN"/>
        </w:rPr>
        <w:t>8.交通运输支出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其他交通运输支出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其他交通运输支出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Fonts w:hint="eastAsia" w:ascii="仿宋" w:hAnsi="仿宋" w:eastAsia="仿宋" w:cs="仿宋"/>
          <w:sz w:val="32"/>
          <w:szCs w:val="32"/>
          <w:lang w:val="en-US" w:eastAsia="zh-CN"/>
        </w:rPr>
        <w:t>支出决算为102.85万元，完成预算64.08%，决算数小于预算数的主要原因是航务海事规划工作未完成，款项未全部支付。</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2019年一般公共预算财政拨款基本支出242.46万元，其中：</w:t>
      </w:r>
    </w:p>
    <w:p>
      <w:pPr>
        <w:spacing w:line="60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经费228.81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 w:hAnsi="仿宋" w:eastAsia="仿宋" w:cs="仿宋"/>
          <w:sz w:val="32"/>
          <w:szCs w:val="32"/>
          <w:lang w:val="en-US" w:eastAsia="zh-CN"/>
        </w:rPr>
        <w:br w:type="textWrapping"/>
      </w:r>
      <w:r>
        <w:rPr>
          <w:rFonts w:hint="eastAsia" w:ascii="仿宋" w:hAnsi="仿宋" w:eastAsia="仿宋"/>
          <w:color w:val="000000"/>
          <w:sz w:val="32"/>
          <w:szCs w:val="32"/>
        </w:rPr>
        <w:t>　　</w:t>
      </w:r>
      <w:r>
        <w:rPr>
          <w:rFonts w:hint="eastAsia" w:ascii="仿宋" w:hAnsi="仿宋" w:eastAsia="仿宋" w:cs="仿宋"/>
          <w:sz w:val="32"/>
          <w:szCs w:val="32"/>
          <w:lang w:val="en-US" w:eastAsia="zh-CN"/>
        </w:rPr>
        <w:t>日常公用经费13.65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hint="eastAsia" w:ascii="楷体_GB2312" w:hAnsi="楷体_GB2312" w:eastAsia="楷体_GB2312" w:cs="楷体_GB2312"/>
          <w:b/>
          <w:color w:val="000000"/>
          <w:sz w:val="32"/>
          <w:szCs w:val="32"/>
        </w:rPr>
      </w:pPr>
      <w:bookmarkStart w:id="44" w:name="_Toc15377216"/>
      <w:r>
        <w:rPr>
          <w:rFonts w:hint="eastAsia" w:ascii="楷体_GB2312" w:hAnsi="楷体_GB2312" w:eastAsia="楷体_GB2312" w:cs="楷体_GB2312"/>
          <w:b/>
          <w:color w:val="000000"/>
          <w:sz w:val="32"/>
          <w:szCs w:val="32"/>
        </w:rPr>
        <w:t>（一）“三公”经费财政拨款支出决算总体情况说明</w:t>
      </w:r>
      <w:bookmarkEnd w:id="44"/>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2019年“三公”经费财政拨款支出决算为2.84万元，完成预算16.98%，决算数小于预算数的主要原因是我处严格执行中央八项规定，控制“三公”经费支出，实现逐年递减。</w:t>
      </w:r>
    </w:p>
    <w:p>
      <w:pPr>
        <w:spacing w:line="600" w:lineRule="exact"/>
        <w:ind w:firstLine="640"/>
        <w:outlineLvl w:val="2"/>
        <w:rPr>
          <w:rFonts w:hint="eastAsia" w:ascii="楷体_GB2312" w:hAnsi="楷体_GB2312" w:eastAsia="楷体_GB2312" w:cs="楷体_GB2312"/>
          <w:b/>
          <w:color w:val="000000"/>
          <w:sz w:val="32"/>
          <w:szCs w:val="32"/>
        </w:rPr>
      </w:pPr>
      <w:bookmarkStart w:id="45" w:name="_Toc15377217"/>
      <w:r>
        <w:rPr>
          <w:rFonts w:hint="eastAsia" w:ascii="楷体_GB2312" w:hAnsi="楷体_GB2312" w:eastAsia="楷体_GB2312" w:cs="楷体_GB2312"/>
          <w:b/>
          <w:color w:val="000000"/>
          <w:sz w:val="32"/>
          <w:szCs w:val="32"/>
        </w:rPr>
        <w:t>（二）“三公”经费财政拨款支出决算具体情况说明</w:t>
      </w:r>
      <w:bookmarkEnd w:id="45"/>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2019年“三公”经费财政拨款支出决算中，因公出国（境）费支出决算0万元，占0%；公务用车购置及运行维护费支出决算2.12万元，占74.65%；公务接待费支出决算0.72万元，占25.35%。具体情况如下：</w:t>
      </w:r>
    </w:p>
    <w:p>
      <w:pPr>
        <w:spacing w:line="600" w:lineRule="exact"/>
        <w:ind w:firstLine="640"/>
        <w:jc w:val="cente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0" distR="0" simplePos="0" relativeHeight="1024" behindDoc="0" locked="0" layoutInCell="1" allowOverlap="1">
            <wp:simplePos x="0" y="0"/>
            <wp:positionH relativeFrom="column">
              <wp:posOffset>402590</wp:posOffset>
            </wp:positionH>
            <wp:positionV relativeFrom="paragraph">
              <wp:posOffset>115570</wp:posOffset>
            </wp:positionV>
            <wp:extent cx="4802505" cy="2428875"/>
            <wp:effectExtent l="0" t="0" r="0" b="0"/>
            <wp:wrapTopAndBottom/>
            <wp:docPr id="103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lang w:val="en-US"/>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 w:hAnsi="仿宋" w:eastAsia="仿宋" w:cs="仿宋"/>
          <w:sz w:val="32"/>
          <w:szCs w:val="32"/>
          <w:lang w:val="en-US" w:eastAsia="zh-CN"/>
        </w:rPr>
        <w:t>0万元，完成预算0%。</w:t>
      </w:r>
    </w:p>
    <w:p>
      <w:pPr>
        <w:spacing w:line="600" w:lineRule="exact"/>
        <w:ind w:firstLine="640"/>
        <w:rPr>
          <w:rFonts w:hint="eastAsia" w:ascii="仿宋" w:hAnsi="仿宋" w:eastAsia="仿宋" w:cs="仿宋"/>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s="仿宋"/>
          <w:sz w:val="32"/>
          <w:szCs w:val="32"/>
          <w:lang w:val="en-US" w:eastAsia="zh-CN"/>
        </w:rPr>
        <w:t>2.12万元,完成预算19.62%。公务用车购置及运行维护费支出决算比2018年减少1.65万元，下降43.87%。主要原因是我处严格执行中央八项规定，控制车辆运行经费支出，实现逐年递减。</w:t>
      </w:r>
    </w:p>
    <w:p>
      <w:pPr>
        <w:spacing w:line="600" w:lineRule="exact"/>
        <w:ind w:firstLine="640" w:firstLineChars="200"/>
        <w:rPr>
          <w:rFonts w:ascii="仿宋_GB2312" w:eastAsia="仿宋_GB2312"/>
          <w:color w:val="000000"/>
          <w:sz w:val="32"/>
          <w:szCs w:val="32"/>
          <w:lang w:val="en-US"/>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全年</w:t>
      </w:r>
      <w:r>
        <w:rPr>
          <w:rFonts w:hint="eastAsia" w:ascii="仿宋_GB2312" w:eastAsia="仿宋_GB2312"/>
          <w:color w:val="000000"/>
          <w:sz w:val="32"/>
          <w:szCs w:val="32"/>
          <w:lang w:val="en-US" w:eastAsia="zh-CN"/>
        </w:rPr>
        <w:t>未</w:t>
      </w:r>
      <w:r>
        <w:rPr>
          <w:rFonts w:hint="eastAsia" w:ascii="仿宋_GB2312" w:eastAsia="仿宋_GB2312"/>
          <w:color w:val="000000"/>
          <w:sz w:val="32"/>
          <w:szCs w:val="32"/>
        </w:rPr>
        <w:t>更新购置公务用车</w:t>
      </w:r>
      <w:r>
        <w:rPr>
          <w:rFonts w:hint="eastAsia" w:ascii="仿宋_GB2312" w:eastAsia="仿宋_GB2312"/>
          <w:color w:val="000000"/>
          <w:sz w:val="32"/>
          <w:szCs w:val="32"/>
          <w:lang w:eastAsia="zh-CN"/>
        </w:rPr>
        <w:t>。</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w:t>
      </w:r>
      <w:r>
        <w:rPr>
          <w:rFonts w:hint="eastAsia" w:ascii="仿宋_GB2312" w:eastAsia="仿宋_GB2312"/>
          <w:color w:val="000000"/>
          <w:sz w:val="32"/>
          <w:szCs w:val="32"/>
          <w:lang w:val="en-US" w:eastAsia="zh-CN"/>
        </w:rPr>
        <w:t>执法执勤车辆</w:t>
      </w:r>
      <w:bookmarkStart w:id="73" w:name="_GoBack"/>
      <w:bookmarkEnd w:id="73"/>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spacing w:line="600" w:lineRule="exact"/>
        <w:ind w:firstLine="640"/>
        <w:rPr>
          <w:rFonts w:hint="eastAsia" w:ascii="仿宋" w:hAnsi="仿宋" w:eastAsia="仿宋" w:cs="仿宋"/>
          <w:sz w:val="32"/>
          <w:szCs w:val="32"/>
          <w:lang w:val="en-US" w:eastAsia="zh-CN"/>
        </w:rPr>
      </w:pPr>
      <w:r>
        <w:rPr>
          <w:rFonts w:hint="eastAsia" w:ascii="仿宋_GB2312" w:eastAsia="仿宋_GB2312"/>
          <w:b/>
          <w:color w:val="000000"/>
          <w:sz w:val="32"/>
          <w:szCs w:val="32"/>
        </w:rPr>
        <w:t>公务用车运行维护费支出</w:t>
      </w:r>
      <w:r>
        <w:rPr>
          <w:rFonts w:hint="eastAsia" w:ascii="仿宋" w:hAnsi="仿宋" w:eastAsia="仿宋" w:cs="仿宋"/>
          <w:sz w:val="32"/>
          <w:szCs w:val="32"/>
          <w:lang w:val="en-US" w:eastAsia="zh-CN"/>
        </w:rPr>
        <w:t>2.12万元。主要用于水上交通安全检查、船舶检验、全市水上环保整治检查等所需的公务用车燃料费、维修费、过路过桥费、保险费等支出。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 w:hAnsi="仿宋" w:eastAsia="仿宋" w:cs="仿宋"/>
          <w:sz w:val="32"/>
          <w:szCs w:val="32"/>
          <w:lang w:val="en-US" w:eastAsia="zh-CN"/>
        </w:rPr>
        <w:t>0.72万元，完成预算12.21%。公务接待费支出决算比2018年减少0.53万元，下降42.41%。主要原因是我处严格贯彻落实中央八项规定精神和实施细则，逐年压缩接待经费。其中：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b/>
          <w:color w:val="000000"/>
          <w:sz w:val="32"/>
          <w:szCs w:val="32"/>
        </w:rPr>
        <w:t>国内公务接待支出</w:t>
      </w:r>
      <w:r>
        <w:rPr>
          <w:rFonts w:hint="eastAsia" w:ascii="仿宋" w:hAnsi="仿宋" w:eastAsia="仿宋" w:cs="仿宋"/>
          <w:sz w:val="32"/>
          <w:szCs w:val="32"/>
          <w:lang w:val="en-US" w:eastAsia="zh-CN"/>
        </w:rPr>
        <w:t>0.72万元，主要用于行政执法、开展水上交通业务活动开支的用餐费等。国内公务接待16批次，66人次（不包括陪同人员），共计支出0.72万元，具体内容包括：一是2019年3月5日在食堂接待平昌县海事处前来调阅船检档案；二是2019年5月8日在食堂接待四川省航务管理局前来进行蜀水逐梦、传承奋进先进人物宣传采访工作；三是2019年5月23日在食堂接待四川省航务管理局前来进行巡航救助一体化及汛期安全工作调研等。</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s="仿宋"/>
          <w:sz w:val="32"/>
          <w:szCs w:val="32"/>
          <w:lang w:val="en-US" w:eastAsia="zh-CN"/>
        </w:rPr>
        <w:t>0万元。</w:t>
      </w: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2019年政府性基金预算拨款支出82.00万元。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2019年国有资本经营预算拨款支出0万元。</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hint="eastAsia" w:ascii="楷体_GB2312" w:hAnsi="楷体_GB2312" w:eastAsia="楷体_GB2312" w:cs="楷体_GB2312"/>
          <w:color w:val="000000"/>
          <w:sz w:val="32"/>
          <w:szCs w:val="32"/>
        </w:rPr>
      </w:pPr>
      <w:bookmarkStart w:id="52" w:name="_Toc15377222"/>
      <w:r>
        <w:rPr>
          <w:rFonts w:hint="eastAsia" w:ascii="楷体_GB2312" w:hAnsi="楷体_GB2312" w:eastAsia="楷体_GB2312" w:cs="楷体_GB2312"/>
          <w:b/>
          <w:color w:val="000000"/>
          <w:sz w:val="32"/>
          <w:szCs w:val="32"/>
        </w:rPr>
        <w:t>（一）机关运行经费支出情况</w:t>
      </w:r>
      <w:bookmarkEnd w:id="52"/>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2019年，资阳市交通运输局航务管理处机关运行经费支出13.65万元，比2018年减少16.41万元，下降54.59%。主要原因是我处严格贯彻落实中央八项规定精神和实施细则，厉行节约，逐年压缩各项经费开支。</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53" w:name="_Toc15377223"/>
      <w:r>
        <w:rPr>
          <w:rFonts w:hint="eastAsia" w:ascii="楷体_GB2312" w:hAnsi="楷体_GB2312" w:eastAsia="楷体_GB2312" w:cs="楷体_GB2312"/>
          <w:b/>
          <w:color w:val="000000"/>
          <w:sz w:val="32"/>
          <w:szCs w:val="32"/>
        </w:rPr>
        <w:t>（二）政府采购支出情况</w:t>
      </w:r>
      <w:bookmarkEnd w:id="53"/>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资阳市交通运输局航务管理处政府采购支出总额73.16万元，其中：政府采购服务支出73.16万元。主要用于2019年1月委托社会中介代理机构通过竞争性磋商进行政府采购，并于4月与重庆西科水运工程咨询中心签订合同开展规划编制项目。</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54" w:name="_Toc15377224"/>
      <w:r>
        <w:rPr>
          <w:rFonts w:hint="eastAsia" w:ascii="楷体_GB2312" w:hAnsi="楷体_GB2312" w:eastAsia="楷体_GB2312" w:cs="楷体_GB2312"/>
          <w:b/>
          <w:color w:val="000000"/>
          <w:sz w:val="32"/>
          <w:szCs w:val="32"/>
        </w:rPr>
        <w:t>（三）国有资产占有使用情况</w:t>
      </w:r>
      <w:bookmarkEnd w:id="54"/>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截至2019年12月31日，资阳市交通运输局航务管理处共有车辆1辆，其中：执法执勤车辆1辆。单价100万元以上专用设备1艘（海巡艇“川海巡288”）。</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1.项目绩效目标完成情况</w:t>
      </w:r>
      <w:r>
        <w:rPr>
          <w:rFonts w:hint="eastAsia" w:ascii="仿宋" w:hAnsi="仿宋" w:eastAsia="仿宋" w:cs="仿宋"/>
          <w:b/>
          <w:bCs/>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
          <w:sz w:val="32"/>
          <w:szCs w:val="32"/>
          <w:lang w:val="en-US" w:eastAsia="zh-CN"/>
        </w:rPr>
        <w:t>2019年年初</w:t>
      </w:r>
      <w:r>
        <w:rPr>
          <w:rFonts w:hint="eastAsia" w:ascii="仿宋" w:hAnsi="仿宋" w:eastAsia="仿宋" w:cs="仿宋"/>
          <w:sz w:val="32"/>
          <w:szCs w:val="32"/>
        </w:rPr>
        <w:t>本部门无专项预算项目，因此未组织开展项目支出绩效评价。</w:t>
      </w:r>
    </w:p>
    <w:p>
      <w:pPr>
        <w:spacing w:line="580" w:lineRule="exact"/>
        <w:ind w:left="630"/>
        <w:rPr>
          <w:rFonts w:hint="eastAsia" w:ascii="仿宋" w:hAnsi="仿宋" w:eastAsia="仿宋" w:cs="仿宋"/>
          <w:b/>
          <w:bCs/>
          <w:sz w:val="32"/>
          <w:szCs w:val="32"/>
        </w:rPr>
      </w:pPr>
      <w:r>
        <w:rPr>
          <w:rFonts w:hint="eastAsia" w:ascii="仿宋" w:hAnsi="仿宋" w:eastAsia="仿宋" w:cs="仿宋"/>
          <w:b/>
          <w:bCs/>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本部门按要求对2019年部门整体支出绩效评价情况开展自评，《</w:t>
      </w:r>
      <w:r>
        <w:rPr>
          <w:rFonts w:hint="eastAsia" w:ascii="仿宋" w:hAnsi="仿宋" w:eastAsia="仿宋" w:cs="仿宋"/>
          <w:sz w:val="32"/>
          <w:szCs w:val="32"/>
          <w:lang w:val="en-US" w:eastAsia="zh-CN"/>
        </w:rPr>
        <w:t>资阳市交通运输局航务管理处</w:t>
      </w:r>
      <w:r>
        <w:rPr>
          <w:rFonts w:hint="eastAsia" w:ascii="仿宋" w:hAnsi="仿宋" w:eastAsia="仿宋" w:cs="仿宋"/>
          <w:sz w:val="32"/>
          <w:szCs w:val="32"/>
        </w:rPr>
        <w:t>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1.财政拨款收入：指单位从同级财政部门取得的财政预算资金。</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2.一般公共预算拨款收入：指市级财政当年拨付的资金。</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3.年初结转和结余：指以前年度尚未完成、结转到本年按有关规定继续使用的资金。 </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4.年末结转和结余：指单位按有关规定结转到下年或以后年度继续使用的资金。</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5.社会保障和就业（类）行政事业单位离退休（款）机关事业单位基本养老保险缴费支出（项）：指机关事业单位实施养老保险制度由单位缴纳的基本养老保险支出。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6.医疗卫生与计划生育（类）行政事业单位医疗（款）行政单位医疗（项）：指参公管理事业单位用于缴纳单位基本医疗保险支出。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7.交通运输（类）公路水路运输（款）行政运行（项）：指参公管理单位与水路运输相关的基本支出。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8.交通运输（类）公路水路运输（款）海事管理（项）：指为维护全市水上交通安全工作正常运行的航务海事管理方面所发生的支出。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9.交通运输（类）公路水路运输（款）其他交通运输支出（项）：指其他交通运输支出中除对公共交通运营补助以外的其他支出。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10.交通运输（类）成品油价格改革对交通运输的补贴（款）对农村道路客运的补贴（项）：指成品油价格改革财政对农村道路客运的补贴支出。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11.交通运输（类）港口建设费安排的支出（款）航道建设和维护（项）：指港口建设费安排用于航道整治、维护方面的支出。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12.交通运输（类）其他交通运输支出（款）其他交通运输支出（项）：指其他交通运输支出中除对公共交通运营补助以外的其他支出。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13.住房保障（类）住房改革支出（款）住房公积金（项）：指行政事业单位按人力资源和社会保障部、财政部规定的基本工资和津贴补贴以及规定比例为职工缴纳的住房公积金。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14.基本支出：指为保障机构正常运转、完成日常工作任务而发生的人员支出和公用支出。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15.项目支出：指在基本支出之外为完成特定行政任务和事业发展目标所发生的支出。 </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资阳市交通运输局航务管理处</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hint="eastAsia" w:ascii="黑体" w:hAnsi="宋体" w:eastAsia="黑体" w:cs="宋体"/>
          <w:color w:val="000000"/>
          <w:kern w:val="0"/>
          <w:sz w:val="24"/>
          <w:szCs w:val="32"/>
          <w:shd w:val="clear" w:color="auto" w:fill="FFFFFF"/>
          <w:lang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lang w:val="zh-CN"/>
        </w:rPr>
        <w:t>资阳市交通运输局航务管理处设航务管理科、安全监督科、船舶检验科、办公室四个内设机构。</w:t>
      </w:r>
    </w:p>
    <w:p>
      <w:pPr>
        <w:widowControl/>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二</w:t>
      </w:r>
      <w:r>
        <w:rPr>
          <w:rFonts w:hint="eastAsia" w:ascii="楷体_GB2312" w:hAnsi="楷体_GB2312" w:eastAsia="楷体_GB2312" w:cs="楷体_GB2312"/>
          <w:b/>
          <w:bCs/>
          <w:color w:val="000000"/>
          <w:kern w:val="0"/>
          <w:sz w:val="32"/>
          <w:szCs w:val="32"/>
          <w:shd w:val="clear" w:color="auto" w:fill="FFFFFF"/>
          <w:lang w:val="zh-CN"/>
        </w:rPr>
        <w:t>）机构职能</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负责全市水运安全管理和水路交通的安全执法监督，受理水上交通事故报告并按规定上报；建立水上安全应急机制，负责较大以上水上运输船舶险情救助的响应工作，负责水上救助打捞；负责组织开展本市水上交通安全检查工作和各类专项整治活动，定期对重点水域进行巡查；负责组织船舶、水上设施的设计、建造，船用产品的技术核验</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造船企业生产技术的认可发证以及水运科技的推广应用；负责船员考试费的征收管理；负责部、省授权范围等级内机动船船员考试发证工作，负责本机构发证船员的有效审验和换证工作，负责本市机动船船员服务簿签发和管理工作。</w:t>
      </w:r>
    </w:p>
    <w:p>
      <w:pPr>
        <w:widowControl/>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（三）人员概况</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截至201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年12月31日，在职人员</w:t>
      </w:r>
      <w:r>
        <w:rPr>
          <w:rFonts w:hint="eastAsia" w:ascii="仿宋" w:hAnsi="仿宋" w:eastAsia="仿宋" w:cs="仿宋"/>
          <w:sz w:val="32"/>
          <w:szCs w:val="32"/>
          <w:lang w:val="en-US" w:eastAsia="zh-CN"/>
        </w:rPr>
        <w:t>12</w:t>
      </w:r>
      <w:r>
        <w:rPr>
          <w:rFonts w:hint="eastAsia" w:ascii="仿宋" w:hAnsi="仿宋" w:eastAsia="仿宋" w:cs="仿宋"/>
          <w:sz w:val="32"/>
          <w:szCs w:val="32"/>
          <w:lang w:val="zh-CN"/>
        </w:rPr>
        <w:t>人，均为参公人员，退休人员11人。</w:t>
      </w:r>
    </w:p>
    <w:p>
      <w:pPr>
        <w:widowControl/>
        <w:numPr>
          <w:ilvl w:val="0"/>
          <w:numId w:val="4"/>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部门财政资金收支情况</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（一）部门财政资金收入情况</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年我处收到财政部门预算拨款收入</w:t>
      </w:r>
      <w:r>
        <w:rPr>
          <w:rFonts w:hint="eastAsia" w:ascii="仿宋" w:hAnsi="仿宋" w:eastAsia="仿宋" w:cs="仿宋"/>
          <w:sz w:val="32"/>
          <w:szCs w:val="32"/>
          <w:lang w:val="en-US" w:eastAsia="zh-CN"/>
        </w:rPr>
        <w:t>539.84</w:t>
      </w:r>
      <w:r>
        <w:rPr>
          <w:rFonts w:hint="eastAsia" w:ascii="仿宋" w:hAnsi="仿宋" w:eastAsia="仿宋" w:cs="仿宋"/>
          <w:sz w:val="32"/>
          <w:szCs w:val="32"/>
          <w:lang w:val="zh-CN"/>
        </w:rPr>
        <w:t>万元。其中基本支出拨款收入</w:t>
      </w:r>
      <w:r>
        <w:rPr>
          <w:rFonts w:hint="eastAsia" w:ascii="仿宋" w:hAnsi="仿宋" w:eastAsia="仿宋" w:cs="仿宋"/>
          <w:sz w:val="32"/>
          <w:szCs w:val="32"/>
          <w:lang w:val="en-US" w:eastAsia="zh-CN"/>
        </w:rPr>
        <w:t>242.48</w:t>
      </w:r>
      <w:r>
        <w:rPr>
          <w:rFonts w:hint="eastAsia" w:ascii="仿宋" w:hAnsi="仿宋" w:eastAsia="仿宋" w:cs="仿宋"/>
          <w:sz w:val="32"/>
          <w:szCs w:val="32"/>
          <w:lang w:val="zh-CN"/>
        </w:rPr>
        <w:t>万元，项目经费拨款收入</w:t>
      </w:r>
      <w:r>
        <w:rPr>
          <w:rFonts w:hint="eastAsia" w:ascii="仿宋" w:hAnsi="仿宋" w:eastAsia="仿宋" w:cs="仿宋"/>
          <w:sz w:val="32"/>
          <w:szCs w:val="32"/>
          <w:lang w:val="en-US" w:eastAsia="zh-CN"/>
        </w:rPr>
        <w:t>297.36</w:t>
      </w:r>
      <w:r>
        <w:rPr>
          <w:rFonts w:hint="eastAsia" w:ascii="仿宋" w:hAnsi="仿宋" w:eastAsia="仿宋" w:cs="仿宋"/>
          <w:sz w:val="32"/>
          <w:szCs w:val="32"/>
          <w:lang w:val="zh-CN"/>
        </w:rPr>
        <w:t>万元。上年结转</w:t>
      </w:r>
      <w:r>
        <w:rPr>
          <w:rFonts w:hint="eastAsia" w:ascii="仿宋" w:hAnsi="仿宋" w:eastAsia="仿宋" w:cs="仿宋"/>
          <w:sz w:val="32"/>
          <w:szCs w:val="32"/>
          <w:lang w:val="en-US" w:eastAsia="zh-CN"/>
        </w:rPr>
        <w:t>183.24</w:t>
      </w:r>
      <w:r>
        <w:rPr>
          <w:rFonts w:hint="eastAsia" w:ascii="仿宋" w:hAnsi="仿宋" w:eastAsia="仿宋" w:cs="仿宋"/>
          <w:sz w:val="32"/>
          <w:szCs w:val="32"/>
          <w:lang w:val="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 xml:space="preserve"> </w:t>
      </w:r>
    </w:p>
    <w:p>
      <w:pPr>
        <w:widowControl/>
        <w:numPr>
          <w:ilvl w:val="0"/>
          <w:numId w:val="5"/>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部门财政资金支出情况</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年我处部门支出</w:t>
      </w:r>
      <w:r>
        <w:rPr>
          <w:rFonts w:hint="eastAsia" w:ascii="仿宋" w:hAnsi="仿宋" w:eastAsia="仿宋" w:cs="仿宋"/>
          <w:sz w:val="32"/>
          <w:szCs w:val="32"/>
          <w:lang w:val="en-US" w:eastAsia="zh-CN"/>
        </w:rPr>
        <w:t>616.87</w:t>
      </w:r>
      <w:r>
        <w:rPr>
          <w:rFonts w:hint="eastAsia" w:ascii="仿宋" w:hAnsi="仿宋" w:eastAsia="仿宋" w:cs="仿宋"/>
          <w:sz w:val="32"/>
          <w:szCs w:val="32"/>
          <w:lang w:val="zh-CN"/>
        </w:rPr>
        <w:t>万元，行政运行基本支出</w:t>
      </w:r>
      <w:r>
        <w:rPr>
          <w:rFonts w:hint="eastAsia" w:ascii="仿宋" w:hAnsi="仿宋" w:eastAsia="仿宋" w:cs="仿宋"/>
          <w:sz w:val="32"/>
          <w:szCs w:val="32"/>
          <w:lang w:val="en-US" w:eastAsia="zh-CN"/>
        </w:rPr>
        <w:t>242.46</w:t>
      </w:r>
      <w:r>
        <w:rPr>
          <w:rFonts w:hint="eastAsia" w:ascii="仿宋" w:hAnsi="仿宋" w:eastAsia="仿宋" w:cs="仿宋"/>
          <w:sz w:val="32"/>
          <w:szCs w:val="32"/>
          <w:lang w:val="zh-CN"/>
        </w:rPr>
        <w:t>万元，其中人员经费支出</w:t>
      </w:r>
      <w:r>
        <w:rPr>
          <w:rFonts w:hint="eastAsia" w:ascii="仿宋" w:hAnsi="仿宋" w:eastAsia="仿宋" w:cs="仿宋"/>
          <w:sz w:val="32"/>
          <w:szCs w:val="32"/>
          <w:lang w:val="en-US" w:eastAsia="zh-CN"/>
        </w:rPr>
        <w:t>228.81</w:t>
      </w:r>
      <w:r>
        <w:rPr>
          <w:rFonts w:hint="eastAsia" w:ascii="仿宋" w:hAnsi="仿宋" w:eastAsia="仿宋" w:cs="仿宋"/>
          <w:sz w:val="32"/>
          <w:szCs w:val="32"/>
          <w:lang w:val="zh-CN"/>
        </w:rPr>
        <w:t>万元，日常公用经费支出</w:t>
      </w:r>
      <w:r>
        <w:rPr>
          <w:rFonts w:hint="eastAsia" w:ascii="仿宋" w:hAnsi="仿宋" w:eastAsia="仿宋" w:cs="仿宋"/>
          <w:sz w:val="32"/>
          <w:szCs w:val="32"/>
          <w:lang w:val="en-US" w:eastAsia="zh-CN"/>
        </w:rPr>
        <w:t>13.65</w:t>
      </w:r>
      <w:r>
        <w:rPr>
          <w:rFonts w:hint="eastAsia" w:ascii="仿宋" w:hAnsi="仿宋" w:eastAsia="仿宋" w:cs="仿宋"/>
          <w:sz w:val="32"/>
          <w:szCs w:val="32"/>
          <w:lang w:val="zh-CN"/>
        </w:rPr>
        <w:t>万元。项目支出</w:t>
      </w:r>
      <w:r>
        <w:rPr>
          <w:rFonts w:hint="eastAsia" w:ascii="仿宋" w:hAnsi="仿宋" w:eastAsia="仿宋" w:cs="仿宋"/>
          <w:sz w:val="32"/>
          <w:szCs w:val="32"/>
          <w:lang w:val="en-US" w:eastAsia="zh-CN"/>
        </w:rPr>
        <w:t>374.41</w:t>
      </w:r>
      <w:r>
        <w:rPr>
          <w:rFonts w:hint="eastAsia" w:ascii="仿宋" w:hAnsi="仿宋" w:eastAsia="仿宋" w:cs="仿宋"/>
          <w:sz w:val="32"/>
          <w:szCs w:val="32"/>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600" w:lineRule="exact"/>
        <w:ind w:firstLine="643" w:firstLineChars="200"/>
        <w:jc w:val="left"/>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（一）部门预算管理</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预算编制情况。为提高财政资金使用效益，我处在预算编制上，认真按照财政预算编制要求，紧紧围绕全市水上交通安全管理工作大局，以保障重点、压缩一般性支出、严格控制三公经费和会议培训支出为编制原则，采取零基预算方法，严格编制单位部门预算，以保障各项工作的正常运转。在决算编制上，根据财政安排的年初预算认真编制决算，将单位全部财务收支纳入决算编制，做到内容真实、完整、准确，数据与单位会计账簿一致，无漏报、重报项目，无虚报和瞒报等弄虚作假现象。</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执行管理情况。201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我处在市委、市政府的领导下，进一步加强支出绩效管理，严格执行财经纪律，做到预算编制真实准确完整。我处所有非税收入均及时足额上缴，不存在隐瞒、截留、挤占、挪用、坐支或私分非税收入等问题；不存在超预算或者无预算安排支出，虚列支出、转嫁支出、转移或者套取预算资金，超标准、超范围列支“三公”经费、会议费、培训费和差旅费，滥发工资、奖金、补贴等问题；严格执行国库集中支付制度、公务卡强制结算目录；预算支出均按照预算科目执行，不同预算科目、预算级次或者项目间的预算资金调剂均按规定办理。</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综合管理情况。我市自开展水路交通行政事业性收费工作以来，严格对照现行省以上的收费基金政策，落实涉及的收费依据、收费对象、收费标准、收费减免、票款管控等政策；严格执行收费基金目录清单的收费项目，不存在乱收费、违规收费的情况；我处在市政务中心对收费项目、收费标准、收费依据、收费范围和收费性质进行了公示，主动接受社会监督。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年全年</w:t>
      </w:r>
      <w:r>
        <w:rPr>
          <w:rFonts w:hint="eastAsia" w:ascii="仿宋" w:hAnsi="仿宋" w:eastAsia="仿宋" w:cs="仿宋"/>
          <w:sz w:val="32"/>
          <w:szCs w:val="32"/>
          <w:lang w:val="en-US" w:eastAsia="zh-CN"/>
        </w:rPr>
        <w:t>无</w:t>
      </w:r>
      <w:r>
        <w:rPr>
          <w:rFonts w:hint="eastAsia" w:ascii="仿宋" w:hAnsi="仿宋" w:eastAsia="仿宋" w:cs="仿宋"/>
          <w:sz w:val="32"/>
          <w:szCs w:val="32"/>
          <w:lang w:val="zh-CN"/>
        </w:rPr>
        <w:t>行政事业</w:t>
      </w:r>
      <w:r>
        <w:rPr>
          <w:rFonts w:hint="eastAsia" w:ascii="仿宋" w:hAnsi="仿宋" w:eastAsia="仿宋" w:cs="仿宋"/>
          <w:sz w:val="32"/>
          <w:szCs w:val="32"/>
          <w:lang w:val="en-US" w:eastAsia="zh-CN"/>
        </w:rPr>
        <w:t>收入。</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我处对采购目录以内或者采购限额标准以上的货物、工程和服务，均严格实行政府采购，在采购过程中，严格执行政府采购预算，在采购方式选择上，严格按照政府采购法定方式进行。公务用车按照财政要求，采取定点维修、定点加油、定点保险。</w:t>
      </w:r>
      <w:r>
        <w:rPr>
          <w:rFonts w:hint="eastAsia" w:ascii="仿宋" w:hAnsi="仿宋" w:eastAsia="仿宋" w:cs="仿宋"/>
          <w:sz w:val="32"/>
          <w:szCs w:val="32"/>
          <w:lang w:val="en-US" w:eastAsia="zh-CN"/>
        </w:rPr>
        <w:t>2019年1月委托社会中介代理机构通过竞争性磋商进行政府采购，4月与重庆西科水运工程咨询中心签订合同开展规划编制项目。</w:t>
      </w:r>
    </w:p>
    <w:p>
      <w:pPr>
        <w:spacing w:line="600" w:lineRule="exact"/>
        <w:ind w:firstLine="643" w:firstLineChars="200"/>
        <w:jc w:val="left"/>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（二）结果应用情况</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年，我处在内控体系的贯彻上，突出“执行”二字，重在“狠”、“严”上下功夫，</w:t>
      </w:r>
      <w:r>
        <w:rPr>
          <w:rFonts w:hint="eastAsia" w:ascii="仿宋" w:hAnsi="仿宋" w:eastAsia="仿宋" w:cs="仿宋"/>
          <w:sz w:val="32"/>
          <w:szCs w:val="32"/>
          <w:lang w:val="en-US" w:eastAsia="zh-CN"/>
        </w:rPr>
        <w:t>严格按照财政局要求，</w:t>
      </w:r>
      <w:r>
        <w:rPr>
          <w:rFonts w:hint="eastAsia" w:ascii="仿宋" w:hAnsi="仿宋" w:eastAsia="仿宋" w:cs="仿宋"/>
          <w:sz w:val="32"/>
          <w:szCs w:val="32"/>
          <w:lang w:val="zh-CN"/>
        </w:rPr>
        <w:t>进行了内部流程制度评审与指导修订，有效地实现了防范风险的目的，推动了单位各项管理的规范化、制度化、标准化、程序化，促进了单位管理水平的提升。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600" w:lineRule="exact"/>
        <w:ind w:firstLine="643" w:firstLineChars="200"/>
        <w:jc w:val="left"/>
        <w:rPr>
          <w:rFonts w:hint="eastAsia" w:ascii="仿宋" w:hAnsi="仿宋" w:eastAsia="仿宋" w:cs="仿宋"/>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评价结论</w:t>
      </w:r>
    </w:p>
    <w:p>
      <w:pPr>
        <w:keepNext w:val="0"/>
        <w:keepLines w:val="0"/>
        <w:pageBreakBefore w:val="0"/>
        <w:kinsoku/>
        <w:wordWrap/>
        <w:overflowPunct/>
        <w:topLinePunct w:val="0"/>
        <w:autoSpaceDE/>
        <w:bidi w:val="0"/>
        <w:spacing w:line="580" w:lineRule="exact"/>
        <w:ind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我处在市委、市政府的领导下，进一步加强支出绩效管理，严格执行财经纪律，各项工作稳步推进，较为圆满的完成了全年各项工作任务。我处将以此次绩效评价为契机，进一步建立健全财务基础管理制度和约束机制，依法、有效的使用财政资金，提高财政资金使用效率</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依据《资阳市财政局关于印发&lt;资阳市财政支出绩效评价管理办法&gt;的通知》（资财监督〔2020〕1号）文件规定，我处2019年度市本级部门整体支出绩效等级为良。</w:t>
      </w:r>
    </w:p>
    <w:p>
      <w:pPr>
        <w:spacing w:line="600" w:lineRule="exact"/>
        <w:ind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（二）存在问题</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预算绩效管理与业务工作联系不够紧密，整体绩效目标仍有部分未细化分解为具体的工作任务，未通过清晰的、确定的、可衡量的指标值予以体现；二是资金拨付不及时，存在年终拨付专项资金的情况，影响业务工作的开展，导致资金支付不及时，年末资金有所结余；三是预算绩效管理意识不够强，绩效管理不只是财务科室的工作，同时需要单位业务科室的参与，共同做好年初预算、抓好财政支出、注重产出与效率，才能达到优化资源配置、控制节约成本、提高资金使用效率和服务水平的目的。</w:t>
      </w:r>
    </w:p>
    <w:p>
      <w:pPr>
        <w:spacing w:line="600" w:lineRule="exact"/>
        <w:ind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（三）改进建议</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建议进一步优化绩效评价指标。因为某些项目是在年底才启动的，且通常需要跨年才能够完成，故把这些项目纳入考核范围欠缺一定的合理性。</w:t>
      </w:r>
    </w:p>
    <w:p>
      <w:pPr>
        <w:numPr>
          <w:ilvl w:val="0"/>
          <w:numId w:val="0"/>
        </w:numPr>
        <w:spacing w:line="60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600" w:lineRule="exact"/>
        <w:ind w:firstLine="640" w:firstLineChars="200"/>
        <w:rPr>
          <w:rFonts w:hint="eastAsia" w:ascii="仿宋" w:hAnsi="仿宋" w:eastAsia="仿宋" w:cs="仿宋"/>
          <w:sz w:val="32"/>
          <w:szCs w:val="32"/>
        </w:rPr>
      </w:pPr>
    </w:p>
    <w:p>
      <w:pPr>
        <w:spacing w:line="600" w:lineRule="exact"/>
        <w:jc w:val="center"/>
        <w:outlineLvl w:val="0"/>
        <w:rPr>
          <w:rFonts w:hint="eastAsia" w:ascii="黑体" w:hAnsi="黑体" w:eastAsia="黑体"/>
          <w:color w:val="000000"/>
          <w:sz w:val="44"/>
          <w:szCs w:val="44"/>
        </w:rPr>
      </w:pPr>
      <w:bookmarkStart w:id="59"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大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9"/>
      <w:numFmt w:val="chineseCounting"/>
      <w:suff w:val="nothing"/>
      <w:lvlText w:val="%1、"/>
      <w:lvlJc w:val="left"/>
      <w:rPr>
        <w:rFonts w:hint="eastAsia"/>
      </w:rPr>
    </w:lvl>
  </w:abstractNum>
  <w:abstractNum w:abstractNumId="1">
    <w:nsid w:val="00000001"/>
    <w:multiLevelType w:val="singleLevel"/>
    <w:tmpl w:val="00000001"/>
    <w:lvl w:ilvl="0" w:tentative="0">
      <w:start w:val="3"/>
      <w:numFmt w:val="chineseCounting"/>
      <w:suff w:val="space"/>
      <w:lvlText w:val="第%1部分"/>
      <w:lvlJc w:val="left"/>
      <w:rPr>
        <w:rFonts w:hint="eastAsia"/>
      </w:rPr>
    </w:lvl>
  </w:abstractNum>
  <w:abstractNum w:abstractNumId="2">
    <w:nsid w:val="00000002"/>
    <w:multiLevelType w:val="multilevel"/>
    <w:tmpl w:val="00000002"/>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0000003"/>
    <w:multiLevelType w:val="singleLevel"/>
    <w:tmpl w:val="00000003"/>
    <w:lvl w:ilvl="0" w:tentative="0">
      <w:start w:val="2"/>
      <w:numFmt w:val="chineseCounting"/>
      <w:suff w:val="nothing"/>
      <w:lvlText w:val="（%1）"/>
      <w:lvlJc w:val="left"/>
    </w:lvl>
  </w:abstractNum>
  <w:abstractNum w:abstractNumId="4">
    <w:nsid w:val="00000004"/>
    <w:multiLevelType w:val="singleLevel"/>
    <w:tmpl w:val="00000004"/>
    <w:lvl w:ilvl="0" w:tentative="0">
      <w:start w:val="2"/>
      <w:numFmt w:val="chineseCounting"/>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CD5A3E"/>
    <w:rsid w:val="12982862"/>
    <w:rsid w:val="33131E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宋体"/>
      <w:b/>
      <w:bCs/>
      <w:sz w:val="32"/>
      <w:szCs w:val="32"/>
    </w:rPr>
  </w:style>
  <w:style w:type="paragraph" w:styleId="4">
    <w:name w:val="heading 3"/>
    <w:basedOn w:val="1"/>
    <w:next w:val="1"/>
    <w:link w:val="28"/>
    <w:qFormat/>
    <w:uiPriority w:val="9"/>
    <w:pPr>
      <w:keepNext/>
      <w:keepLines/>
      <w:spacing w:before="260" w:after="260" w:line="416" w:lineRule="auto"/>
      <w:outlineLvl w:val="2"/>
    </w:pPr>
    <w:rPr>
      <w:b/>
      <w:bCs/>
      <w:sz w:val="32"/>
      <w:szCs w:val="32"/>
    </w:rPr>
  </w:style>
  <w:style w:type="character" w:default="1" w:styleId="12">
    <w:name w:val="Default Paragraph Font"/>
    <w:uiPriority w:val="1"/>
  </w:style>
  <w:style w:type="table" w:default="1" w:styleId="15">
    <w:name w:val="Normal Table"/>
    <w:qFormat/>
    <w:uiPriority w:val="99"/>
    <w:tblPr>
      <w:tblLayout w:type="fixed"/>
      <w:tblCellMar>
        <w:top w:w="0" w:type="dxa"/>
        <w:left w:w="108" w:type="dxa"/>
        <w:bottom w:w="0" w:type="dxa"/>
        <w:right w:w="108" w:type="dxa"/>
      </w:tblCellMar>
    </w:tblPr>
  </w:style>
  <w:style w:type="paragraph" w:styleId="5">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qFormat/>
    <w:uiPriority w:val="39"/>
    <w:pPr>
      <w:tabs>
        <w:tab w:val="right" w:leader="dot" w:pos="8296"/>
      </w:tabs>
      <w:ind w:left="840" w:leftChars="400"/>
    </w:pPr>
  </w:style>
  <w:style w:type="paragraph" w:styleId="7">
    <w:name w:val="Balloon Text"/>
    <w:basedOn w:val="1"/>
    <w:link w:val="27"/>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qFormat/>
    <w:uiPriority w:val="99"/>
    <w:rPr>
      <w:color w:val="0000FF"/>
      <w:u w:val="single"/>
    </w:rPr>
  </w:style>
  <w:style w:type="character" w:customStyle="1" w:styleId="16">
    <w:name w:val="Header Char_c9f59ca4-97dc-4057-9422-7d0b177d9793"/>
    <w:basedOn w:val="12"/>
    <w:qFormat/>
    <w:uiPriority w:val="99"/>
    <w:rPr>
      <w:rFonts w:ascii="Times New Roman" w:hAnsi="Times New Roman"/>
      <w:sz w:val="18"/>
      <w:szCs w:val="18"/>
    </w:rPr>
  </w:style>
  <w:style w:type="character" w:customStyle="1" w:styleId="17">
    <w:name w:val="页眉 字符"/>
    <w:link w:val="9"/>
    <w:qFormat/>
    <w:uiPriority w:val="99"/>
    <w:rPr>
      <w:sz w:val="18"/>
    </w:rPr>
  </w:style>
  <w:style w:type="character" w:customStyle="1" w:styleId="18">
    <w:name w:val="Footer Char_e5f9b716-665e-49ea-be04-eab8c26e2382"/>
    <w:basedOn w:val="12"/>
    <w:qFormat/>
    <w:uiPriority w:val="99"/>
    <w:rPr>
      <w:rFonts w:ascii="Times New Roman" w:hAnsi="Times New Roman"/>
      <w:sz w:val="18"/>
      <w:szCs w:val="18"/>
    </w:rPr>
  </w:style>
  <w:style w:type="character" w:customStyle="1" w:styleId="19">
    <w:name w:val="页脚 字符"/>
    <w:link w:val="8"/>
    <w:qFormat/>
    <w:uiPriority w:val="99"/>
    <w:rPr>
      <w:sz w:val="18"/>
    </w:rPr>
  </w:style>
  <w:style w:type="character" w:customStyle="1" w:styleId="20">
    <w:name w:val="Body Text Char"/>
    <w:basedOn w:val="12"/>
    <w:qFormat/>
    <w:uiPriority w:val="99"/>
    <w:rPr>
      <w:rFonts w:ascii="Times New Roman" w:hAnsi="Times New Roman"/>
      <w:szCs w:val="24"/>
    </w:rPr>
  </w:style>
  <w:style w:type="character" w:customStyle="1" w:styleId="21">
    <w:name w:val="正文文本 字符"/>
    <w:link w:val="5"/>
    <w:qFormat/>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_c9aac668-b075-4205-87de-253558235405"/>
    <w:basedOn w:val="1"/>
    <w:qFormat/>
    <w:uiPriority w:val="34"/>
    <w:pPr>
      <w:ind w:firstLine="420" w:firstLineChars="200"/>
    </w:pPr>
  </w:style>
  <w:style w:type="character" w:customStyle="1" w:styleId="24">
    <w:name w:val="标题 1 字符"/>
    <w:basedOn w:val="12"/>
    <w:link w:val="2"/>
    <w:qFormat/>
    <w:uiPriority w:val="9"/>
    <w:rPr>
      <w:rFonts w:ascii="Times New Roman" w:hAnsi="Times New Roman"/>
      <w:b/>
      <w:bCs/>
      <w:kern w:val="44"/>
      <w:sz w:val="44"/>
      <w:szCs w:val="44"/>
    </w:rPr>
  </w:style>
  <w:style w:type="character" w:customStyle="1" w:styleId="25">
    <w:name w:val="标题 2 字符"/>
    <w:basedOn w:val="12"/>
    <w:link w:val="3"/>
    <w:qFormat/>
    <w:uiPriority w:val="9"/>
    <w:rPr>
      <w:rFonts w:ascii="Cambria" w:hAnsi="Cambria" w:eastAsia="宋体" w:cs="宋体"/>
      <w:b/>
      <w:bCs/>
      <w:kern w:val="2"/>
      <w:sz w:val="32"/>
      <w:szCs w:val="32"/>
    </w:rPr>
  </w:style>
  <w:style w:type="paragraph" w:customStyle="1" w:styleId="26">
    <w:name w:val="TOC 标题1"/>
    <w:basedOn w:val="2"/>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character" w:customStyle="1" w:styleId="27">
    <w:name w:val="批注框文本 字符"/>
    <w:basedOn w:val="12"/>
    <w:link w:val="7"/>
    <w:qFormat/>
    <w:uiPriority w:val="99"/>
    <w:rPr>
      <w:rFonts w:ascii="Times New Roman" w:hAnsi="Times New Roman"/>
      <w:kern w:val="2"/>
      <w:sz w:val="18"/>
      <w:szCs w:val="18"/>
    </w:rPr>
  </w:style>
  <w:style w:type="character" w:customStyle="1" w:styleId="28">
    <w:name w:val="标题 3 字符"/>
    <w:basedOn w:val="12"/>
    <w:link w:val="4"/>
    <w:qFormat/>
    <w:uiPriority w:val="9"/>
    <w:rPr>
      <w:rFonts w:ascii="Times New Roman" w:hAnsi="Times New Roman"/>
      <w:b/>
      <w:bCs/>
      <w:kern w:val="2"/>
      <w:sz w:val="32"/>
      <w:szCs w:val="32"/>
    </w:rPr>
  </w:style>
  <w:style w:type="paragraph" w:customStyle="1" w:styleId="29">
    <w:name w:val="TOC Heading_55604d99-c063-4ca2-84d8-19f0ad683f1c"/>
    <w:basedOn w:val="2"/>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503.07</c:v>
                </c:pt>
                <c:pt idx="1">
                  <c:v>317.45</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723.08</c:v>
                </c:pt>
                <c:pt idx="1">
                  <c:v>616.87</c:v>
                </c:pt>
              </c:numCache>
            </c:numRef>
          </c:val>
        </c:ser>
        <c:dLbls>
          <c:showLegendKey val="0"/>
          <c:showVal val="1"/>
          <c:showCatName val="0"/>
          <c:showSerName val="0"/>
          <c:showPercent val="0"/>
          <c:showBubbleSize val="0"/>
        </c:dLbls>
        <c:gapWidth val="219"/>
        <c:overlap val="-27"/>
        <c:axId val="515307993"/>
        <c:axId val="802457386"/>
      </c:barChart>
      <c:catAx>
        <c:axId val="5153079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457386"/>
        <c:crosses val="autoZero"/>
        <c:auto val="1"/>
        <c:lblAlgn val="ctr"/>
        <c:lblOffset val="100"/>
        <c:noMultiLvlLbl val="0"/>
      </c:catAx>
      <c:valAx>
        <c:axId val="8024573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30799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manualLayout>
          <c:xMode val="edge"/>
          <c:yMode val="edge"/>
          <c:x val="0.395661016949153"/>
          <c:y val="0.883315733896515"/>
          <c:w val="0.301016949152542"/>
          <c:h val="0.08843717001055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收入额</c:v>
                </c:pt>
              </c:strCache>
            </c:strRef>
          </c:tx>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641.08</c:v>
                </c:pt>
                <c:pt idx="1">
                  <c:v>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支出额</c:v>
                </c:pt>
              </c:strCache>
            </c:strRef>
          </c:tx>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242.46</c:v>
                </c:pt>
                <c:pt idx="1">
                  <c:v>374.41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：财政拨款收、支决算总计变动情况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503.07</c:v>
                </c:pt>
                <c:pt idx="1">
                  <c:v>317.45</c:v>
                </c:pt>
              </c:numCache>
            </c:numRef>
          </c:val>
        </c:ser>
        <c:ser>
          <c:idx val="1"/>
          <c:order val="1"/>
          <c:tx>
            <c:strRef>
              <c:f>Sheet1!$C$1</c:f>
              <c:strCache>
                <c:ptCount val="1"/>
                <c:pt idx="0">
                  <c:v>财政拨款支出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Sheet1!$C$2:$C$3</c:f>
              <c:numCache>
                <c:formatCode>General</c:formatCode>
                <c:ptCount val="2"/>
                <c:pt idx="0">
                  <c:v>723.08</c:v>
                </c:pt>
                <c:pt idx="1">
                  <c:v>616.87</c:v>
                </c:pt>
              </c:numCache>
            </c:numRef>
          </c:val>
        </c:ser>
        <c:dLbls>
          <c:showLegendKey val="0"/>
          <c:showVal val="1"/>
          <c:showCatName val="0"/>
          <c:showSerName val="0"/>
          <c:showPercent val="0"/>
          <c:showBubbleSize val="0"/>
        </c:dLbls>
        <c:gapWidth val="219"/>
        <c:overlap val="-27"/>
        <c:axId val="461188128"/>
        <c:axId val="594844327"/>
      </c:barChart>
      <c:catAx>
        <c:axId val="461188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844327"/>
        <c:crosses val="autoZero"/>
        <c:auto val="1"/>
        <c:lblAlgn val="ctr"/>
        <c:lblOffset val="100"/>
        <c:noMultiLvlLbl val="0"/>
      </c:catAx>
      <c:valAx>
        <c:axId val="594844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188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：一般公共预算财政拨款支出决算变动情况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317.45</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534.87</c:v>
                </c:pt>
              </c:numCache>
            </c:numRef>
          </c:val>
        </c:ser>
        <c:dLbls>
          <c:showLegendKey val="0"/>
          <c:showVal val="1"/>
          <c:showCatName val="0"/>
          <c:showSerName val="0"/>
          <c:showPercent val="0"/>
          <c:showBubbleSize val="0"/>
        </c:dLbls>
        <c:gapWidth val="219"/>
        <c:overlap val="-27"/>
        <c:axId val="647215921"/>
        <c:axId val="96101291"/>
      </c:barChart>
      <c:catAx>
        <c:axId val="6472159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01291"/>
        <c:crosses val="autoZero"/>
        <c:auto val="1"/>
        <c:lblAlgn val="ctr"/>
        <c:lblOffset val="100"/>
        <c:noMultiLvlLbl val="0"/>
      </c:catAx>
      <c:valAx>
        <c:axId val="961012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72159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        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delete val="1"/>
          </c:dLbls>
          <c:cat>
            <c:strRef>
              <c:f>Sheet1!$A$2:$A$5</c:f>
              <c:strCache>
                <c:ptCount val="4"/>
                <c:pt idx="0">
                  <c:v>社会保障和就业支出</c:v>
                </c:pt>
                <c:pt idx="1">
                  <c:v>卫生健康支出</c:v>
                </c:pt>
                <c:pt idx="2">
                  <c:v>住房保障支出</c:v>
                </c:pt>
                <c:pt idx="3">
                  <c:v>交通运输支出</c:v>
                </c:pt>
              </c:strCache>
            </c:strRef>
          </c:cat>
          <c:val>
            <c:numRef>
              <c:f>Sheet1!$B$2:$B$5</c:f>
              <c:numCache>
                <c:formatCode>General</c:formatCode>
                <c:ptCount val="4"/>
                <c:pt idx="0">
                  <c:v>12.03</c:v>
                </c:pt>
                <c:pt idx="1">
                  <c:v>8.9</c:v>
                </c:pt>
                <c:pt idx="2">
                  <c:v>15.27</c:v>
                </c:pt>
                <c:pt idx="3">
                  <c:v>498.67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rPr lang="en-US" altLang="zh-CN"/>
              <a:t>“</a:t>
            </a:r>
            <a:r>
              <a:rPr altLang="en-US"/>
              <a:t>三公</a:t>
            </a:r>
            <a:r>
              <a:rPr lang="en-US" altLang="zh-CN"/>
              <a:t>”</a:t>
            </a:r>
            <a:r>
              <a:rPr altLang="en-US"/>
              <a:t>经费财政拨款支出</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公务公车购置及运行维护费</c:v>
                </c:pt>
                <c:pt idx="2">
                  <c:v>公务接待费</c:v>
                </c:pt>
              </c:strCache>
            </c:strRef>
          </c:cat>
          <c:val>
            <c:numRef>
              <c:f>Sheet1!$B$2:$B$4</c:f>
              <c:numCache>
                <c:formatCode>General</c:formatCode>
                <c:ptCount val="3"/>
                <c:pt idx="0">
                  <c:v>0</c:v>
                </c:pt>
                <c:pt idx="1">
                  <c:v>2.12</c:v>
                </c:pt>
                <c:pt idx="2">
                  <c:v>0.72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BB14D-3A8E-4D79-8203-CC0F6E14EEC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8558</Words>
  <Characters>9253</Characters>
  <Paragraphs>220</Paragraphs>
  <TotalTime>0</TotalTime>
  <ScaleCrop>false</ScaleCrop>
  <LinksUpToDate>false</LinksUpToDate>
  <CharactersWithSpaces>9295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2020-08-31T02:48:00Z</dcterms:created>
  <dc:creator>曹颖</dc:creator>
  <cp:lastModifiedBy>王雁</cp:lastModifiedBy>
  <cp:lastPrinted>2020-07-23T02:58:00Z</cp:lastPrinted>
  <dcterms:modified xsi:type="dcterms:W3CDTF">2021-05-26T01:47:04Z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