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黑体" w:hAnsi="黑体" w:eastAsia="黑体"/>
          <w:b/>
          <w:sz w:val="44"/>
          <w:szCs w:val="44"/>
        </w:rPr>
      </w:pPr>
      <w:bookmarkStart w:id="0" w:name="_Hlk26453704"/>
      <w:bookmarkStart w:id="1" w:name="_Hlk39670373"/>
      <w:bookmarkStart w:id="2" w:name="_Toc47878094"/>
    </w:p>
    <w:p>
      <w:pPr>
        <w:spacing w:line="240" w:lineRule="auto"/>
        <w:ind w:firstLine="0" w:firstLineChars="0"/>
        <w:jc w:val="center"/>
        <w:rPr>
          <w:rFonts w:ascii="黑体" w:hAnsi="黑体" w:eastAsia="黑体"/>
          <w:b/>
          <w:sz w:val="44"/>
          <w:szCs w:val="44"/>
        </w:rPr>
      </w:pPr>
    </w:p>
    <w:p>
      <w:pPr>
        <w:spacing w:line="240" w:lineRule="auto"/>
        <w:ind w:firstLine="0" w:firstLineChars="0"/>
        <w:jc w:val="center"/>
        <w:rPr>
          <w:rFonts w:ascii="黑体" w:hAnsi="黑体" w:eastAsia="黑体"/>
          <w:b/>
          <w:sz w:val="44"/>
          <w:szCs w:val="44"/>
        </w:rPr>
      </w:pPr>
      <w:bookmarkStart w:id="3" w:name="_Hlk54342499"/>
      <w:r>
        <w:rPr>
          <w:rFonts w:hint="eastAsia" w:ascii="黑体" w:hAnsi="黑体" w:eastAsia="黑体"/>
          <w:b/>
          <w:sz w:val="44"/>
          <w:szCs w:val="44"/>
        </w:rPr>
        <w:t>资阳市</w:t>
      </w:r>
      <w:r>
        <w:rPr>
          <w:rFonts w:ascii="黑体" w:hAnsi="黑体" w:eastAsia="黑体"/>
          <w:b/>
          <w:sz w:val="44"/>
          <w:szCs w:val="44"/>
        </w:rPr>
        <w:t>“十四五”</w:t>
      </w:r>
      <w:bookmarkStart w:id="4" w:name="_Hlk49247790"/>
      <w:r>
        <w:rPr>
          <w:rFonts w:ascii="黑体" w:hAnsi="黑体" w:eastAsia="黑体"/>
          <w:b/>
          <w:sz w:val="44"/>
          <w:szCs w:val="44"/>
        </w:rPr>
        <w:t>综合交通运输发展规划</w:t>
      </w:r>
    </w:p>
    <w:bookmarkEnd w:id="3"/>
    <w:p>
      <w:pPr>
        <w:spacing w:line="240" w:lineRule="auto"/>
        <w:ind w:firstLine="0" w:firstLineChars="0"/>
        <w:jc w:val="center"/>
        <w:rPr>
          <w:rFonts w:ascii="黑体" w:hAnsi="黑体" w:eastAsia="黑体"/>
          <w:b/>
          <w:sz w:val="44"/>
          <w:szCs w:val="44"/>
        </w:rPr>
      </w:pPr>
      <w:r>
        <w:rPr>
          <w:rFonts w:hint="eastAsia" w:ascii="黑体" w:hAnsi="黑体" w:eastAsia="黑体"/>
          <w:b/>
          <w:sz w:val="44"/>
          <w:szCs w:val="44"/>
        </w:rPr>
        <w:t>（征求意见稿）</w:t>
      </w:r>
    </w:p>
    <w:bookmarkEnd w:id="0"/>
    <w:bookmarkEnd w:id="1"/>
    <w:bookmarkEnd w:id="4"/>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pStyle w:val="2"/>
        <w:spacing w:after="0"/>
        <w:ind w:firstLine="0" w:firstLineChars="0"/>
        <w:jc w:val="center"/>
      </w:pPr>
    </w:p>
    <w:p>
      <w:pPr>
        <w:adjustRightInd w:val="0"/>
        <w:snapToGrid w:val="0"/>
        <w:ind w:firstLine="640"/>
        <w:jc w:val="center"/>
        <w:rPr>
          <w:rFonts w:eastAsia="黑体"/>
          <w:szCs w:val="36"/>
        </w:rPr>
      </w:pPr>
      <w:r>
        <w:rPr>
          <w:rFonts w:hint="eastAsia" w:eastAsia="黑体"/>
          <w:szCs w:val="36"/>
        </w:rPr>
        <w:t>资阳市交通运输局</w:t>
      </w:r>
    </w:p>
    <w:p>
      <w:pPr>
        <w:adjustRightInd w:val="0"/>
        <w:snapToGrid w:val="0"/>
        <w:ind w:firstLine="640"/>
        <w:jc w:val="center"/>
        <w:rPr>
          <w:rFonts w:eastAsia="黑体"/>
          <w:szCs w:val="36"/>
        </w:rPr>
      </w:pPr>
      <w:r>
        <w:rPr>
          <w:rFonts w:eastAsia="黑体"/>
          <w:szCs w:val="36"/>
        </w:rPr>
        <w:t>四川省交通运输发展战略和规划科学研究院</w:t>
      </w:r>
    </w:p>
    <w:p>
      <w:pPr>
        <w:adjustRightInd w:val="0"/>
        <w:snapToGrid w:val="0"/>
        <w:ind w:firstLine="640"/>
        <w:jc w:val="center"/>
        <w:rPr>
          <w:rFonts w:eastAsia="黑体"/>
          <w:szCs w:val="36"/>
        </w:rPr>
      </w:pPr>
      <w:r>
        <w:rPr>
          <w:rFonts w:eastAsia="黑体"/>
          <w:szCs w:val="36"/>
        </w:rPr>
        <w:t>二〇二</w:t>
      </w:r>
      <w:r>
        <w:rPr>
          <w:rFonts w:hint="eastAsia" w:eastAsia="黑体"/>
          <w:szCs w:val="36"/>
        </w:rPr>
        <w:t>一</w:t>
      </w:r>
      <w:r>
        <w:rPr>
          <w:rFonts w:eastAsia="黑体"/>
          <w:szCs w:val="36"/>
        </w:rPr>
        <w:t xml:space="preserve">年  </w:t>
      </w:r>
      <w:r>
        <w:rPr>
          <w:rFonts w:hint="eastAsia" w:eastAsia="黑体"/>
          <w:szCs w:val="36"/>
        </w:rPr>
        <w:t>八</w:t>
      </w:r>
      <w:r>
        <w:rPr>
          <w:rFonts w:eastAsia="黑体"/>
          <w:szCs w:val="36"/>
        </w:rPr>
        <w:t>月</w:t>
      </w:r>
      <w:r>
        <w:rPr>
          <w:rFonts w:eastAsia="黑体"/>
          <w:szCs w:val="36"/>
        </w:rPr>
        <w:br w:type="page"/>
      </w:r>
    </w:p>
    <w:sdt>
      <w:sdtPr>
        <w:rPr>
          <w:rFonts w:ascii="Times New Roman" w:hAnsi="Times New Roman" w:eastAsia="仿宋_GB2312" w:cs="Times New Roman"/>
          <w:color w:val="auto"/>
          <w:kern w:val="2"/>
          <w:sz w:val="22"/>
          <w:szCs w:val="24"/>
          <w:lang w:val="zh-CN"/>
        </w:rPr>
        <w:id w:val="-393969907"/>
        <w:docPartObj>
          <w:docPartGallery w:val="Table of Contents"/>
          <w:docPartUnique/>
        </w:docPartObj>
      </w:sdtPr>
      <w:sdtEndPr>
        <w:rPr>
          <w:rStyle w:val="27"/>
          <w:rFonts w:ascii="Times New Roman" w:hAnsi="Times New Roman" w:eastAsia="黑体" w:cs="Times New Roman"/>
          <w:color w:val="000000" w:themeColor="text1"/>
          <w:kern w:val="0"/>
          <w:sz w:val="28"/>
          <w:szCs w:val="28"/>
          <w:u w:val="single"/>
          <w:lang w:val="en-US"/>
          <w14:textFill>
            <w14:solidFill>
              <w14:schemeClr w14:val="tx1"/>
            </w14:solidFill>
          </w14:textFill>
        </w:rPr>
      </w:sdtEndPr>
      <w:sdtContent>
        <w:p>
          <w:pPr>
            <w:pStyle w:val="43"/>
            <w:spacing w:before="0"/>
            <w:jc w:val="center"/>
            <w:rPr>
              <w:rFonts w:ascii="黑体" w:hAnsi="黑体" w:eastAsia="黑体" w:cs="Times New Roman"/>
              <w:b/>
              <w:bCs/>
              <w:color w:val="000000" w:themeColor="text1"/>
              <w:kern w:val="2"/>
              <w:sz w:val="40"/>
              <w:szCs w:val="40"/>
              <w:lang w:val="zh-CN"/>
              <w14:textFill>
                <w14:solidFill>
                  <w14:schemeClr w14:val="tx1"/>
                </w14:solidFill>
              </w14:textFill>
            </w:rPr>
          </w:pPr>
          <w:r>
            <w:rPr>
              <w:rFonts w:ascii="黑体" w:hAnsi="黑体" w:eastAsia="黑体" w:cs="Times New Roman"/>
              <w:b/>
              <w:bCs/>
              <w:color w:val="000000" w:themeColor="text1"/>
              <w:kern w:val="2"/>
              <w:sz w:val="40"/>
              <w:szCs w:val="40"/>
              <w:lang w:val="zh-CN"/>
              <w14:textFill>
                <w14:solidFill>
                  <w14:schemeClr w14:val="tx1"/>
                </w14:solidFill>
              </w14:textFill>
            </w:rPr>
            <w:t>目</w:t>
          </w:r>
          <w:r>
            <w:rPr>
              <w:rFonts w:hint="eastAsia" w:ascii="黑体" w:hAnsi="黑体" w:eastAsia="黑体" w:cs="Times New Roman"/>
              <w:b/>
              <w:bCs/>
              <w:color w:val="000000" w:themeColor="text1"/>
              <w:kern w:val="2"/>
              <w:sz w:val="40"/>
              <w:szCs w:val="40"/>
              <w:lang w:val="zh-CN"/>
              <w14:textFill>
                <w14:solidFill>
                  <w14:schemeClr w14:val="tx1"/>
                </w14:solidFill>
              </w14:textFill>
            </w:rPr>
            <w:t xml:space="preserve"> </w:t>
          </w:r>
          <w:r>
            <w:rPr>
              <w:rFonts w:ascii="黑体" w:hAnsi="黑体" w:eastAsia="黑体" w:cs="Times New Roman"/>
              <w:b/>
              <w:bCs/>
              <w:color w:val="000000" w:themeColor="text1"/>
              <w:kern w:val="2"/>
              <w:sz w:val="40"/>
              <w:szCs w:val="40"/>
              <w:lang w:val="zh-CN"/>
              <w14:textFill>
                <w14:solidFill>
                  <w14:schemeClr w14:val="tx1"/>
                </w14:solidFill>
              </w14:textFill>
            </w:rPr>
            <w:t>录</w:t>
          </w:r>
        </w:p>
        <w:p>
          <w:pPr>
            <w:pStyle w:val="15"/>
            <w:spacing w:after="0"/>
            <w:rPr>
              <w:rStyle w:val="27"/>
              <w:bCs w:val="0"/>
              <w:color w:val="000000" w:themeColor="text1"/>
              <w14:textFill>
                <w14:solidFill>
                  <w14:schemeClr w14:val="tx1"/>
                </w14:solidFill>
              </w14:textFill>
            </w:rPr>
          </w:pPr>
          <w:r>
            <w:rPr>
              <w:rStyle w:val="27"/>
              <w:color w:val="000000" w:themeColor="text1"/>
              <w:sz w:val="28"/>
              <w:szCs w:val="28"/>
              <w14:textFill>
                <w14:solidFill>
                  <w14:schemeClr w14:val="tx1"/>
                </w14:solidFill>
              </w14:textFill>
            </w:rPr>
            <w:fldChar w:fldCharType="begin"/>
          </w:r>
          <w:r>
            <w:rPr>
              <w:rStyle w:val="27"/>
              <w:color w:val="000000" w:themeColor="text1"/>
              <w:sz w:val="28"/>
              <w:szCs w:val="28"/>
              <w14:textFill>
                <w14:solidFill>
                  <w14:schemeClr w14:val="tx1"/>
                </w14:solidFill>
              </w14:textFill>
            </w:rPr>
            <w:instrText xml:space="preserve"> TOC \o "1-3" \h \z \u </w:instrText>
          </w:r>
          <w:r>
            <w:rPr>
              <w:rStyle w:val="27"/>
              <w:color w:val="000000" w:themeColor="text1"/>
              <w:sz w:val="28"/>
              <w:szCs w:val="28"/>
              <w14:textFill>
                <w14:solidFill>
                  <w14:schemeClr w14:val="tx1"/>
                </w14:solidFill>
              </w14:textFill>
            </w:rPr>
            <w:fldChar w:fldCharType="separate"/>
          </w:r>
          <w:r>
            <w:fldChar w:fldCharType="begin"/>
          </w:r>
          <w:r>
            <w:instrText xml:space="preserve"> HYPERLINK \l "_Toc72864723" </w:instrText>
          </w:r>
          <w:r>
            <w:fldChar w:fldCharType="separate"/>
          </w:r>
          <w:r>
            <w:rPr>
              <w:rStyle w:val="27"/>
              <w:bCs w:val="0"/>
              <w:color w:val="000000" w:themeColor="text1"/>
              <w14:textFill>
                <w14:solidFill>
                  <w14:schemeClr w14:val="tx1"/>
                </w14:solidFill>
              </w14:textFill>
            </w:rPr>
            <w:t>前  言</w:t>
          </w:r>
          <w:r>
            <w:rPr>
              <w:rStyle w:val="27"/>
              <w:bCs w:val="0"/>
              <w:color w:val="000000" w:themeColor="text1"/>
              <w14:textFill>
                <w14:solidFill>
                  <w14:schemeClr w14:val="tx1"/>
                </w14:solidFill>
              </w14:textFill>
            </w:rPr>
            <w:tab/>
          </w:r>
          <w:r>
            <w:rPr>
              <w:rStyle w:val="27"/>
              <w:bCs w:val="0"/>
              <w:color w:val="000000" w:themeColor="text1"/>
              <w14:textFill>
                <w14:solidFill>
                  <w14:schemeClr w14:val="tx1"/>
                </w14:solidFill>
              </w14:textFill>
            </w:rPr>
            <w:fldChar w:fldCharType="begin"/>
          </w:r>
          <w:r>
            <w:rPr>
              <w:rStyle w:val="27"/>
              <w:bCs w:val="0"/>
              <w:color w:val="000000" w:themeColor="text1"/>
              <w14:textFill>
                <w14:solidFill>
                  <w14:schemeClr w14:val="tx1"/>
                </w14:solidFill>
              </w14:textFill>
            </w:rPr>
            <w:instrText xml:space="preserve"> PAGEREF _Toc72864723 \h </w:instrText>
          </w:r>
          <w:r>
            <w:rPr>
              <w:rStyle w:val="27"/>
              <w:bCs w:val="0"/>
              <w:color w:val="000000" w:themeColor="text1"/>
              <w14:textFill>
                <w14:solidFill>
                  <w14:schemeClr w14:val="tx1"/>
                </w14:solidFill>
              </w14:textFill>
            </w:rPr>
            <w:fldChar w:fldCharType="separate"/>
          </w:r>
          <w:r>
            <w:rPr>
              <w:rStyle w:val="27"/>
              <w:bCs w:val="0"/>
              <w:color w:val="000000" w:themeColor="text1"/>
              <w14:textFill>
                <w14:solidFill>
                  <w14:schemeClr w14:val="tx1"/>
                </w14:solidFill>
              </w14:textFill>
            </w:rPr>
            <w:t>1</w:t>
          </w:r>
          <w:r>
            <w:rPr>
              <w:rStyle w:val="27"/>
              <w:bCs w:val="0"/>
              <w:color w:val="000000" w:themeColor="text1"/>
              <w14:textFill>
                <w14:solidFill>
                  <w14:schemeClr w14:val="tx1"/>
                </w14:solidFill>
              </w14:textFill>
            </w:rPr>
            <w:fldChar w:fldCharType="end"/>
          </w:r>
          <w:r>
            <w:rPr>
              <w:rStyle w:val="27"/>
              <w:bCs w:val="0"/>
              <w:color w:val="000000" w:themeColor="text1"/>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"_Toc72864724"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一、发展基础</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_Toc72864724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3</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"_Toc72864725"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（一）发展成就</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_Toc72864725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3</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"_Toc72864726"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（二）存在问题</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_Toc72864726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8</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"_Toc72864727"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二、形势要求</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_Toc72864727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11</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"_Toc72864728"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（一）发展要求</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_Toc72864728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11</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"_Toc72864729"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（二）阶段特征</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_Toc72864729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14</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"_Toc72864730"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三、总体思路</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_Toc72864730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16</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"_Toc72864731"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（一）指导思想</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_Toc72864731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16</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"_Toc72864732"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（二）基本原则</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_Toc72864732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16</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"_Toc72864733"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（三）发展定位</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_Toc72864733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17</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"_Toc72864734"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（四）发展目标</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_Toc72864734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18</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"_Toc72864735"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四、空间布局</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_Toc72864735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23</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"_Toc72864736"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（一）通道布局</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_Toc72864736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23</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"_Toc72864737"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（二）枢纽布局</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_Toc72864737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25</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"_Toc72864738"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五、发展任务</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_Toc72864738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28</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"_Toc72864739"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（一）完善复合高效的对外综合运输通道</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_Toc72864739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28</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"_Toc72864740"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（二）构筑全域畅达的普通公路交通网络</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_Toc72864740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30</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"_Toc72864741"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（三）构建人民满意的品质运输服务体系</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_Toc72864741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32</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"_Toc72864742"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（四）塑造特色鲜明的交通融合示范工程</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_Toc72864742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35</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"_Toc72864743"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（五）建立运行有效的交通运输保障体系</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_Toc72864743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37</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"_Toc72864744"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（六）加强行业治理体系和治理能力建设</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_Toc72864744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39</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"_Toc72864745"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（七）推进高水平交通强市建设走在前列</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_Toc72864745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41</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"_Toc72864746"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六、资金需求</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_Toc72864746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43</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"_Toc72864747"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七、实施效果</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_Toc72864747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44</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"_Toc72864748"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八、环境影响</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_Toc72864748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46</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"_Toc72864749"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（一）生态环境概述</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_Toc72864749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46</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"_Toc72864750"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（二）环境影响分析</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_Toc72864750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46</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9"/>
            <w:tabs>
              <w:tab w:val="right" w:leader="dot" w:pos="8296"/>
            </w:tabs>
            <w:spacing w:after="0"/>
            <w:rPr>
              <w:rStyle w:val="27"/>
              <w:rFonts w:ascii="Times New Roman" w:hAnsi="Times New Roman" w:eastAsia="楷体_GB2312"/>
              <w:color w:val="000000" w:themeColor="text1"/>
              <w:sz w:val="30"/>
              <w:szCs w:val="30"/>
              <w14:textFill>
                <w14:solidFill>
                  <w14:schemeClr w14:val="tx1"/>
                </w14:solidFill>
              </w14:textFill>
            </w:rPr>
          </w:pPr>
          <w:r>
            <w:fldChar w:fldCharType="begin"/>
          </w:r>
          <w:r>
            <w:instrText xml:space="preserve"> HYPERLINK \l "_Toc72864751" </w:instrText>
          </w:r>
          <w:r>
            <w:fldChar w:fldCharType="separate"/>
          </w:r>
          <w:r>
            <w:rPr>
              <w:rStyle w:val="27"/>
              <w:rFonts w:ascii="Times New Roman" w:hAnsi="Times New Roman" w:eastAsia="楷体_GB2312"/>
              <w:color w:val="000000" w:themeColor="text1"/>
              <w:sz w:val="30"/>
              <w:szCs w:val="30"/>
              <w14:textFill>
                <w14:solidFill>
                  <w14:schemeClr w14:val="tx1"/>
                </w14:solidFill>
              </w14:textFill>
            </w:rPr>
            <w:t>（三）规划综合评述</w:t>
          </w:r>
          <w:r>
            <w:rPr>
              <w:rStyle w:val="27"/>
              <w:rFonts w:ascii="Times New Roman" w:hAnsi="Times New Roman" w:eastAsia="楷体_GB2312"/>
              <w:color w:val="000000" w:themeColor="text1"/>
              <w:sz w:val="30"/>
              <w:szCs w:val="30"/>
              <w14:textFill>
                <w14:solidFill>
                  <w14:schemeClr w14:val="tx1"/>
                </w14:solidFill>
              </w14:textFill>
            </w:rPr>
            <w:tab/>
          </w:r>
          <w:r>
            <w:rPr>
              <w:rStyle w:val="27"/>
              <w:rFonts w:ascii="Times New Roman" w:hAnsi="Times New Roman" w:eastAsia="楷体_GB2312"/>
              <w:color w:val="000000" w:themeColor="text1"/>
              <w:sz w:val="30"/>
              <w:szCs w:val="30"/>
              <w14:textFill>
                <w14:solidFill>
                  <w14:schemeClr w14:val="tx1"/>
                </w14:solidFill>
              </w14:textFill>
            </w:rPr>
            <w:fldChar w:fldCharType="begin"/>
          </w:r>
          <w:r>
            <w:rPr>
              <w:rStyle w:val="27"/>
              <w:rFonts w:ascii="Times New Roman" w:hAnsi="Times New Roman" w:eastAsia="楷体_GB2312"/>
              <w:color w:val="000000" w:themeColor="text1"/>
              <w:sz w:val="30"/>
              <w:szCs w:val="30"/>
              <w14:textFill>
                <w14:solidFill>
                  <w14:schemeClr w14:val="tx1"/>
                </w14:solidFill>
              </w14:textFill>
            </w:rPr>
            <w:instrText xml:space="preserve"> PAGEREF _Toc72864751 \h </w:instrText>
          </w:r>
          <w:r>
            <w:rPr>
              <w:rStyle w:val="27"/>
              <w:rFonts w:ascii="Times New Roman" w:hAnsi="Times New Roman" w:eastAsia="楷体_GB2312"/>
              <w:color w:val="000000" w:themeColor="text1"/>
              <w:sz w:val="30"/>
              <w:szCs w:val="30"/>
              <w14:textFill>
                <w14:solidFill>
                  <w14:schemeClr w14:val="tx1"/>
                </w14:solidFill>
              </w14:textFill>
            </w:rPr>
            <w:fldChar w:fldCharType="separate"/>
          </w:r>
          <w:r>
            <w:rPr>
              <w:rStyle w:val="27"/>
              <w:rFonts w:ascii="Times New Roman" w:hAnsi="Times New Roman" w:eastAsia="楷体_GB2312"/>
              <w:color w:val="000000" w:themeColor="text1"/>
              <w:sz w:val="30"/>
              <w:szCs w:val="30"/>
              <w14:textFill>
                <w14:solidFill>
                  <w14:schemeClr w14:val="tx1"/>
                </w14:solidFill>
              </w14:textFill>
            </w:rPr>
            <w:t>48</w:t>
          </w:r>
          <w:r>
            <w:rPr>
              <w:rStyle w:val="27"/>
              <w:rFonts w:ascii="Times New Roman" w:hAnsi="Times New Roman" w:eastAsia="楷体_GB2312"/>
              <w:color w:val="000000" w:themeColor="text1"/>
              <w:sz w:val="30"/>
              <w:szCs w:val="30"/>
              <w14:textFill>
                <w14:solidFill>
                  <w14:schemeClr w14:val="tx1"/>
                </w14:solidFill>
              </w14:textFill>
            </w:rPr>
            <w:fldChar w:fldCharType="end"/>
          </w:r>
          <w:r>
            <w:rPr>
              <w:rStyle w:val="27"/>
              <w:rFonts w:ascii="Times New Roman" w:hAnsi="Times New Roman" w:eastAsia="楷体_GB2312"/>
              <w:color w:val="000000" w:themeColor="text1"/>
              <w:sz w:val="30"/>
              <w:szCs w:val="30"/>
              <w14:textFill>
                <w14:solidFill>
                  <w14:schemeClr w14:val="tx1"/>
                </w14:solidFill>
              </w14:textFill>
            </w:rPr>
            <w:fldChar w:fldCharType="end"/>
          </w:r>
        </w:p>
        <w:p>
          <w:pPr>
            <w:pStyle w:val="17"/>
            <w:tabs>
              <w:tab w:val="right" w:leader="dot" w:pos="8296"/>
            </w:tabs>
            <w:spacing w:after="0" w:line="360" w:lineRule="auto"/>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"_Toc72864752"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九、保障措施</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_Toc72864752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49</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17"/>
            <w:tabs>
              <w:tab w:val="right" w:leader="dot" w:pos="8296"/>
            </w:tabs>
            <w:spacing w:after="0" w:line="360" w:lineRule="auto"/>
            <w:rPr>
              <w:rStyle w:val="27"/>
              <w:rFonts w:ascii="Times New Roman" w:hAnsi="Times New Roman" w:eastAsia="黑体"/>
              <w:color w:val="000000" w:themeColor="text1"/>
              <w:sz w:val="30"/>
              <w:szCs w:val="30"/>
              <w14:textFill>
                <w14:solidFill>
                  <w14:schemeClr w14:val="tx1"/>
                </w14:solidFill>
              </w14:textFill>
            </w:rPr>
          </w:pPr>
          <w:r>
            <w:fldChar w:fldCharType="begin"/>
          </w:r>
          <w:r>
            <w:instrText xml:space="preserve"> HYPERLINK \l "_Toc72864753" </w:instrText>
          </w:r>
          <w:r>
            <w:fldChar w:fldCharType="separate"/>
          </w:r>
          <w:r>
            <w:rPr>
              <w:rStyle w:val="27"/>
              <w:rFonts w:ascii="Times New Roman" w:hAnsi="Times New Roman" w:eastAsia="黑体"/>
              <w:color w:val="000000" w:themeColor="text1"/>
              <w:sz w:val="30"/>
              <w:szCs w:val="30"/>
              <w14:textFill>
                <w14:solidFill>
                  <w14:schemeClr w14:val="tx1"/>
                </w14:solidFill>
              </w14:textFill>
            </w:rPr>
            <w:t>附 表</w:t>
          </w:r>
          <w:r>
            <w:rPr>
              <w:rStyle w:val="27"/>
              <w:rFonts w:ascii="Times New Roman" w:hAnsi="Times New Roman" w:eastAsia="黑体"/>
              <w:color w:val="000000" w:themeColor="text1"/>
              <w:sz w:val="30"/>
              <w:szCs w:val="30"/>
              <w14:textFill>
                <w14:solidFill>
                  <w14:schemeClr w14:val="tx1"/>
                </w14:solidFill>
              </w14:textFill>
            </w:rPr>
            <w:tab/>
          </w:r>
          <w:r>
            <w:rPr>
              <w:rStyle w:val="27"/>
              <w:rFonts w:ascii="Times New Roman" w:hAnsi="Times New Roman" w:eastAsia="黑体"/>
              <w:color w:val="000000" w:themeColor="text1"/>
              <w:sz w:val="30"/>
              <w:szCs w:val="30"/>
              <w14:textFill>
                <w14:solidFill>
                  <w14:schemeClr w14:val="tx1"/>
                </w14:solidFill>
              </w14:textFill>
            </w:rPr>
            <w:fldChar w:fldCharType="begin"/>
          </w:r>
          <w:r>
            <w:rPr>
              <w:rStyle w:val="27"/>
              <w:rFonts w:ascii="Times New Roman" w:hAnsi="Times New Roman" w:eastAsia="黑体"/>
              <w:color w:val="000000" w:themeColor="text1"/>
              <w:sz w:val="30"/>
              <w:szCs w:val="30"/>
              <w14:textFill>
                <w14:solidFill>
                  <w14:schemeClr w14:val="tx1"/>
                </w14:solidFill>
              </w14:textFill>
            </w:rPr>
            <w:instrText xml:space="preserve"> PAGEREF _Toc72864753 \h </w:instrText>
          </w:r>
          <w:r>
            <w:rPr>
              <w:rStyle w:val="27"/>
              <w:rFonts w:ascii="Times New Roman" w:hAnsi="Times New Roman" w:eastAsia="黑体"/>
              <w:color w:val="000000" w:themeColor="text1"/>
              <w:sz w:val="30"/>
              <w:szCs w:val="30"/>
              <w14:textFill>
                <w14:solidFill>
                  <w14:schemeClr w14:val="tx1"/>
                </w14:solidFill>
              </w14:textFill>
            </w:rPr>
            <w:fldChar w:fldCharType="separate"/>
          </w:r>
          <w:r>
            <w:rPr>
              <w:rStyle w:val="27"/>
              <w:rFonts w:ascii="Times New Roman" w:hAnsi="Times New Roman" w:eastAsia="黑体"/>
              <w:color w:val="000000" w:themeColor="text1"/>
              <w:sz w:val="30"/>
              <w:szCs w:val="30"/>
              <w14:textFill>
                <w14:solidFill>
                  <w14:schemeClr w14:val="tx1"/>
                </w14:solidFill>
              </w14:textFill>
            </w:rPr>
            <w:t>51</w:t>
          </w:r>
          <w:r>
            <w:rPr>
              <w:rStyle w:val="27"/>
              <w:rFonts w:ascii="Times New Roman" w:hAnsi="Times New Roman" w:eastAsia="黑体"/>
              <w:color w:val="000000" w:themeColor="text1"/>
              <w:sz w:val="30"/>
              <w:szCs w:val="30"/>
              <w14:textFill>
                <w14:solidFill>
                  <w14:schemeClr w14:val="tx1"/>
                </w14:solidFill>
              </w14:textFill>
            </w:rPr>
            <w:fldChar w:fldCharType="end"/>
          </w:r>
          <w:r>
            <w:rPr>
              <w:rStyle w:val="27"/>
              <w:rFonts w:ascii="Times New Roman" w:hAnsi="Times New Roman" w:eastAsia="黑体"/>
              <w:color w:val="000000" w:themeColor="text1"/>
              <w:sz w:val="30"/>
              <w:szCs w:val="30"/>
              <w14:textFill>
                <w14:solidFill>
                  <w14:schemeClr w14:val="tx1"/>
                </w14:solidFill>
              </w14:textFill>
            </w:rPr>
            <w:fldChar w:fldCharType="end"/>
          </w:r>
        </w:p>
        <w:p>
          <w:pPr>
            <w:pStyle w:val="17"/>
            <w:tabs>
              <w:tab w:val="right" w:leader="dot" w:pos="8296"/>
            </w:tabs>
            <w:spacing w:after="0"/>
            <w:rPr>
              <w:rStyle w:val="27"/>
              <w:rFonts w:ascii="Times New Roman" w:hAnsi="Times New Roman" w:eastAsia="黑体"/>
              <w:color w:val="000000" w:themeColor="text1"/>
              <w:sz w:val="28"/>
              <w:szCs w:val="28"/>
              <w14:textFill>
                <w14:solidFill>
                  <w14:schemeClr w14:val="tx1"/>
                </w14:solidFill>
              </w14:textFill>
            </w:rPr>
          </w:pPr>
          <w:r>
            <w:rPr>
              <w:rStyle w:val="27"/>
              <w:rFonts w:ascii="Times New Roman" w:hAnsi="Times New Roman" w:eastAsia="黑体"/>
              <w:color w:val="000000" w:themeColor="text1"/>
              <w:sz w:val="28"/>
              <w:szCs w:val="28"/>
              <w14:textFill>
                <w14:solidFill>
                  <w14:schemeClr w14:val="tx1"/>
                </w14:solidFill>
              </w14:textFill>
            </w:rPr>
            <w:fldChar w:fldCharType="end"/>
          </w:r>
        </w:p>
      </w:sdtContent>
    </w:sdt>
    <w:p>
      <w:pPr>
        <w:ind w:firstLine="560"/>
        <w:jc w:val="center"/>
        <w:rPr>
          <w:sz w:val="28"/>
          <w:szCs w:val="28"/>
        </w:rPr>
      </w:pP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pStyle w:val="4"/>
        <w:keepNext w:val="0"/>
        <w:keepLines w:val="0"/>
        <w:adjustRightInd w:val="0"/>
        <w:snapToGrid w:val="0"/>
        <w:spacing w:before="0" w:after="0" w:line="240" w:lineRule="auto"/>
        <w:ind w:firstLine="0" w:firstLineChars="0"/>
        <w:jc w:val="center"/>
        <w:rPr>
          <w:rFonts w:eastAsia="黑体" w:cs="Times New Roman"/>
          <w:b w:val="0"/>
        </w:rPr>
      </w:pPr>
      <w:bookmarkStart w:id="5" w:name="_Toc72864723"/>
      <w:r>
        <w:rPr>
          <w:rFonts w:eastAsia="黑体" w:cs="Times New Roman"/>
          <w:b w:val="0"/>
        </w:rPr>
        <w:t>前  言</w:t>
      </w:r>
      <w:bookmarkEnd w:id="2"/>
      <w:bookmarkEnd w:id="5"/>
    </w:p>
    <w:p>
      <w:pPr>
        <w:ind w:firstLine="0" w:firstLineChars="0"/>
      </w:pPr>
    </w:p>
    <w:p>
      <w:pPr>
        <w:adjustRightInd w:val="0"/>
        <w:snapToGrid w:val="0"/>
        <w:ind w:firstLine="640"/>
        <w:rPr>
          <w:szCs w:val="32"/>
        </w:rPr>
      </w:pPr>
      <w:r>
        <w:rPr>
          <w:szCs w:val="32"/>
        </w:rPr>
        <w:t>“十四五”</w:t>
      </w:r>
      <w:r>
        <w:rPr>
          <w:rFonts w:hint="eastAsia"/>
          <w:szCs w:val="32"/>
        </w:rPr>
        <w:t>时期是我国全面建成小康社会、实现第一个百年奋斗目标之后，乘势而上开启全面建设社会主义现代化新征程、向第二个百年奋斗目标进军的第一个五年</w:t>
      </w:r>
      <w:r>
        <w:rPr>
          <w:szCs w:val="32"/>
        </w:rPr>
        <w:t>，</w:t>
      </w:r>
      <w:r>
        <w:rPr>
          <w:rFonts w:hint="eastAsia"/>
          <w:szCs w:val="32"/>
        </w:rPr>
        <w:t>是四川</w:t>
      </w:r>
      <w:r>
        <w:rPr>
          <w:szCs w:val="32"/>
        </w:rPr>
        <w:t>加快建设经济强省、</w:t>
      </w:r>
      <w:r>
        <w:rPr>
          <w:rFonts w:hint="eastAsia"/>
          <w:szCs w:val="32"/>
        </w:rPr>
        <w:t>实现</w:t>
      </w:r>
      <w:r>
        <w:rPr>
          <w:szCs w:val="32"/>
        </w:rPr>
        <w:t>治蜀兴川再上新台阶的</w:t>
      </w:r>
      <w:r>
        <w:rPr>
          <w:rFonts w:hint="eastAsia"/>
          <w:szCs w:val="32"/>
        </w:rPr>
        <w:t>关键期，</w:t>
      </w:r>
      <w:r>
        <w:rPr>
          <w:szCs w:val="32"/>
        </w:rPr>
        <w:t>也是</w:t>
      </w:r>
      <w:r>
        <w:rPr>
          <w:rFonts w:hint="eastAsia"/>
          <w:szCs w:val="32"/>
        </w:rPr>
        <w:t>资阳撤地建市二十周年后开启加快构建“成渝联动门户、成都东部枢纽、临空经济高地、山水魅力之城”新局面的黄金期。</w:t>
      </w:r>
      <w:r>
        <w:rPr>
          <w:szCs w:val="32"/>
        </w:rPr>
        <w:t>资阳地处成渝相向发展轴和沱江综合发展带交汇点，</w:t>
      </w:r>
      <w:r>
        <w:rPr>
          <w:rFonts w:hint="eastAsia"/>
          <w:szCs w:val="32"/>
        </w:rPr>
        <w:t>在全省区位优势明显、战略地位重要。“十四五”时期资阳经济社会发展将面临“一带一路”建设、长江经济带发展、新时代推进西部大开发形成新格局、</w:t>
      </w:r>
      <w:r>
        <w:rPr>
          <w:szCs w:val="32"/>
        </w:rPr>
        <w:t>成渝地区双城经济圈建设</w:t>
      </w:r>
      <w:r>
        <w:rPr>
          <w:rFonts w:hint="eastAsia"/>
          <w:szCs w:val="32"/>
        </w:rPr>
        <w:t>、</w:t>
      </w:r>
      <w:r>
        <w:rPr>
          <w:szCs w:val="32"/>
        </w:rPr>
        <w:t>成德眉资同城化发展等重大战略机遇叠加，</w:t>
      </w:r>
      <w:r>
        <w:rPr>
          <w:rFonts w:hint="eastAsia"/>
          <w:szCs w:val="32"/>
        </w:rPr>
        <w:t>处于前所未有的发展机遇期。</w:t>
      </w:r>
    </w:p>
    <w:p>
      <w:pPr>
        <w:adjustRightInd w:val="0"/>
        <w:snapToGrid w:val="0"/>
        <w:ind w:firstLine="640"/>
        <w:rPr>
          <w:szCs w:val="32"/>
        </w:rPr>
      </w:pPr>
      <w:r>
        <w:rPr>
          <w:rFonts w:hint="eastAsia"/>
          <w:szCs w:val="32"/>
        </w:rPr>
        <w:t>交通运输是</w:t>
      </w:r>
      <w:r>
        <w:rPr>
          <w:szCs w:val="32"/>
        </w:rPr>
        <w:t>服务大局、服务人民</w:t>
      </w:r>
      <w:r>
        <w:rPr>
          <w:rFonts w:hint="eastAsia"/>
          <w:szCs w:val="32"/>
        </w:rPr>
        <w:t>、服务产业的重要载体，是提升区域竞争力的重要途径。按照“成资引领、渝资突破、周边畅联、市域提升”的建设原则，加快打造</w:t>
      </w:r>
      <w:bookmarkStart w:id="6" w:name="_Hlk54029729"/>
      <w:r>
        <w:rPr>
          <w:rFonts w:hint="eastAsia"/>
          <w:szCs w:val="32"/>
        </w:rPr>
        <w:t>成渝主轴双门户交通</w:t>
      </w:r>
      <w:r>
        <w:rPr>
          <w:szCs w:val="32"/>
        </w:rPr>
        <w:t>枢纽</w:t>
      </w:r>
      <w:bookmarkEnd w:id="6"/>
      <w:r>
        <w:rPr>
          <w:rFonts w:hint="eastAsia"/>
          <w:szCs w:val="32"/>
        </w:rPr>
        <w:t>，全面推进高水平交通强市建设，是支撑资阳建设“</w:t>
      </w:r>
      <w:r>
        <w:rPr>
          <w:szCs w:val="32"/>
        </w:rPr>
        <w:t>成渝门户</w:t>
      </w:r>
      <w:r>
        <w:rPr>
          <w:rFonts w:hint="eastAsia"/>
          <w:szCs w:val="32"/>
        </w:rPr>
        <w:t>枢纽、</w:t>
      </w:r>
      <w:r>
        <w:rPr>
          <w:szCs w:val="32"/>
        </w:rPr>
        <w:t>临空新兴城市</w:t>
      </w:r>
      <w:r>
        <w:rPr>
          <w:rFonts w:hint="eastAsia"/>
          <w:szCs w:val="32"/>
        </w:rPr>
        <w:t>”取得重大成果，</w:t>
      </w:r>
      <w:bookmarkStart w:id="7" w:name="_Hlk54366879"/>
      <w:r>
        <w:rPr>
          <w:rFonts w:hint="eastAsia"/>
          <w:szCs w:val="32"/>
        </w:rPr>
        <w:t>助推</w:t>
      </w:r>
      <w:r>
        <w:rPr>
          <w:szCs w:val="32"/>
        </w:rPr>
        <w:t>“引领成渝地区中部崛起的同城化率先突破区”</w:t>
      </w:r>
      <w:r>
        <w:rPr>
          <w:rFonts w:hint="eastAsia"/>
          <w:szCs w:val="32"/>
        </w:rPr>
        <w:t>成势</w:t>
      </w:r>
      <w:bookmarkEnd w:id="7"/>
      <w:r>
        <w:rPr>
          <w:rFonts w:hint="eastAsia"/>
          <w:szCs w:val="32"/>
        </w:rPr>
        <w:t>见效的重要保障。《资阳市“十四五”综合交通运输发展规划》</w:t>
      </w:r>
      <w:r>
        <w:rPr>
          <w:szCs w:val="32"/>
        </w:rPr>
        <w:t>是</w:t>
      </w:r>
      <w:r>
        <w:rPr>
          <w:rFonts w:hint="eastAsia"/>
          <w:szCs w:val="32"/>
        </w:rPr>
        <w:t>《资阳市</w:t>
      </w:r>
      <w:r>
        <w:rPr>
          <w:szCs w:val="32"/>
        </w:rPr>
        <w:t>国民经济和社会发展</w:t>
      </w:r>
      <w:r>
        <w:rPr>
          <w:rFonts w:hint="eastAsia"/>
          <w:szCs w:val="32"/>
        </w:rPr>
        <w:t>第十四个五年</w:t>
      </w:r>
      <w:r>
        <w:rPr>
          <w:szCs w:val="32"/>
        </w:rPr>
        <w:t>规划纲要</w:t>
      </w:r>
      <w:r>
        <w:rPr>
          <w:rFonts w:hint="eastAsia"/>
          <w:szCs w:val="32"/>
        </w:rPr>
        <w:t>》</w:t>
      </w:r>
      <w:r>
        <w:rPr>
          <w:szCs w:val="32"/>
        </w:rPr>
        <w:t>在交通运输领域的细化，是交通运输中长期发展规划的落实，旨在提出全市“十四五”时期综合交通运输发展的总体要求、规划目标、重点任务和保障措施，为阐明战略意图、优化资源配置、布局重大工程、引导资本投向、制定相关政策提供重要依据。规划范围为资阳全域，</w:t>
      </w:r>
      <w:r>
        <w:rPr>
          <w:rFonts w:hint="eastAsia"/>
          <w:szCs w:val="32"/>
        </w:rPr>
        <w:t>规划对象</w:t>
      </w:r>
      <w:r>
        <w:rPr>
          <w:szCs w:val="32"/>
        </w:rPr>
        <w:t>涵盖铁路、公路、水运、航空等多种运输方式，涉及</w:t>
      </w:r>
      <w:r>
        <w:rPr>
          <w:rFonts w:hint="eastAsia"/>
          <w:szCs w:val="32"/>
        </w:rPr>
        <w:t>交通建设</w:t>
      </w:r>
      <w:r>
        <w:rPr>
          <w:szCs w:val="32"/>
        </w:rPr>
        <w:t>、运输服务、行业治理等</w:t>
      </w:r>
      <w:r>
        <w:rPr>
          <w:rFonts w:hint="eastAsia"/>
          <w:szCs w:val="32"/>
        </w:rPr>
        <w:t>全过程</w:t>
      </w:r>
      <w:r>
        <w:rPr>
          <w:szCs w:val="32"/>
        </w:rPr>
        <w:t>。规划基年为2020年，规划期限为2021-2025年</w:t>
      </w:r>
      <w:r>
        <w:rPr>
          <w:rFonts w:hint="eastAsia"/>
          <w:szCs w:val="32"/>
        </w:rPr>
        <w:t>，展望至2</w:t>
      </w:r>
      <w:r>
        <w:rPr>
          <w:szCs w:val="32"/>
        </w:rPr>
        <w:t>035</w:t>
      </w:r>
      <w:r>
        <w:rPr>
          <w:rFonts w:hint="eastAsia"/>
          <w:szCs w:val="32"/>
        </w:rPr>
        <w:t>年</w:t>
      </w:r>
      <w:r>
        <w:rPr>
          <w:szCs w:val="32"/>
        </w:rPr>
        <w:t>。</w:t>
      </w:r>
    </w:p>
    <w:p>
      <w:pPr>
        <w:pStyle w:val="2"/>
        <w:adjustRightInd w:val="0"/>
        <w:snapToGrid w:val="0"/>
        <w:spacing w:after="0"/>
        <w:ind w:firstLine="640"/>
      </w:pPr>
      <w:r>
        <w:br w:type="page"/>
      </w:r>
    </w:p>
    <w:p>
      <w:pPr>
        <w:pStyle w:val="4"/>
        <w:keepNext w:val="0"/>
        <w:keepLines w:val="0"/>
        <w:adjustRightInd w:val="0"/>
        <w:snapToGrid w:val="0"/>
        <w:spacing w:before="0" w:after="0" w:line="360" w:lineRule="auto"/>
        <w:ind w:firstLine="640"/>
        <w:rPr>
          <w:rFonts w:eastAsia="黑体" w:cs="Times New Roman"/>
          <w:b w:val="0"/>
        </w:rPr>
      </w:pPr>
      <w:bookmarkStart w:id="8" w:name="_Toc72864724"/>
      <w:r>
        <w:rPr>
          <w:rFonts w:eastAsia="黑体" w:cs="Times New Roman"/>
          <w:b w:val="0"/>
        </w:rPr>
        <w:t>一、发展基础</w:t>
      </w:r>
      <w:bookmarkEnd w:id="8"/>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9" w:name="_Toc29501141"/>
      <w:bookmarkStart w:id="10" w:name="_Toc72864725"/>
      <w:r>
        <w:rPr>
          <w:rFonts w:ascii="Times New Roman" w:hAnsi="Times New Roman" w:eastAsia="楷体_GB2312" w:cs="Times New Roman"/>
        </w:rPr>
        <w:t>（</w:t>
      </w:r>
      <w:r>
        <w:rPr>
          <w:rFonts w:hint="eastAsia" w:ascii="Times New Roman" w:hAnsi="Times New Roman" w:eastAsia="楷体_GB2312" w:cs="Times New Roman"/>
        </w:rPr>
        <w:t>一</w:t>
      </w:r>
      <w:r>
        <w:rPr>
          <w:rFonts w:ascii="Times New Roman" w:hAnsi="Times New Roman" w:eastAsia="楷体_GB2312" w:cs="Times New Roman"/>
        </w:rPr>
        <w:t>）</w:t>
      </w:r>
      <w:bookmarkEnd w:id="9"/>
      <w:r>
        <w:rPr>
          <w:rFonts w:ascii="Times New Roman" w:hAnsi="Times New Roman" w:eastAsia="楷体_GB2312" w:cs="Times New Roman"/>
        </w:rPr>
        <w:t>发展</w:t>
      </w:r>
      <w:r>
        <w:rPr>
          <w:rFonts w:hint="eastAsia" w:ascii="Times New Roman" w:hAnsi="Times New Roman" w:eastAsia="楷体_GB2312" w:cs="Times New Roman"/>
        </w:rPr>
        <w:t>成就</w:t>
      </w:r>
      <w:bookmarkEnd w:id="10"/>
      <w:bookmarkStart w:id="11" w:name="_Hlk51517848"/>
    </w:p>
    <w:bookmarkEnd w:id="11"/>
    <w:p>
      <w:pPr>
        <w:ind w:firstLine="64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“十三五”资阳交通运输系统全面贯彻落实市委、市政府决策</w:t>
      </w:r>
      <w:r>
        <w:rPr>
          <w:color w:val="000000" w:themeColor="text1"/>
          <w:szCs w:val="32"/>
          <w14:textFill>
            <w14:solidFill>
              <w14:schemeClr w14:val="tx1"/>
            </w14:solidFill>
          </w14:textFill>
        </w:rPr>
        <w:t>部署</w:t>
      </w:r>
      <w:r>
        <w:rPr>
          <w:rFonts w:hint="eastAsia"/>
          <w:color w:val="000000" w:themeColor="text1"/>
          <w:szCs w:val="32"/>
          <w14:textFill>
            <w14:solidFill>
              <w14:schemeClr w14:val="tx1"/>
            </w14:solidFill>
          </w14:textFill>
        </w:rPr>
        <w:t>，以成资交通同城化为引领，谋划实施一批打基础、利长远、增后劲的重大举措，行业发展取得系列成就。综合交通完成投资380亿元，年度投资连续五年超额完成省级下达目标，有效发挥“稳投资、稳增长”主力军作用。“县县三高速”格局在全省率先实现</w:t>
      </w:r>
      <w:bookmarkStart w:id="12" w:name="_Hlk54635499"/>
      <w:r>
        <w:rPr>
          <w:rFonts w:hint="eastAsia"/>
          <w:color w:val="000000" w:themeColor="text1"/>
          <w:szCs w:val="32"/>
          <w14:textFill>
            <w14:solidFill>
              <w14:schemeClr w14:val="tx1"/>
            </w14:solidFill>
          </w14:textFill>
        </w:rPr>
        <w:t>，全省首条跨市城际轨道交通（轨道交通资阳线）开工建设</w:t>
      </w:r>
      <w:bookmarkEnd w:id="12"/>
      <w:r>
        <w:rPr>
          <w:rFonts w:hint="eastAsia"/>
          <w:color w:val="000000" w:themeColor="text1"/>
          <w:szCs w:val="32"/>
          <w14:textFill>
            <w14:solidFill>
              <w14:schemeClr w14:val="tx1"/>
            </w14:solidFill>
          </w14:textFill>
        </w:rPr>
        <w:t>，“快递进村”获批全省唯一试点市，交通发展水平迈上更高台阶，</w:t>
      </w:r>
      <w:r>
        <w:rPr>
          <w:color w:val="000000" w:themeColor="text1"/>
          <w:szCs w:val="32"/>
          <w14:textFill>
            <w14:solidFill>
              <w14:schemeClr w14:val="tx1"/>
            </w14:solidFill>
          </w14:textFill>
        </w:rPr>
        <w:t>为“</w:t>
      </w:r>
      <w:r>
        <w:rPr>
          <w:rFonts w:hint="eastAsia"/>
          <w:color w:val="000000" w:themeColor="text1"/>
          <w:szCs w:val="32"/>
          <w14:textFill>
            <w14:solidFill>
              <w14:schemeClr w14:val="tx1"/>
            </w14:solidFill>
          </w14:textFill>
        </w:rPr>
        <w:t>成渝门户枢纽、临空新兴城市</w:t>
      </w:r>
      <w:r>
        <w:rPr>
          <w:color w:val="000000" w:themeColor="text1"/>
          <w:szCs w:val="32"/>
          <w14:textFill>
            <w14:solidFill>
              <w14:schemeClr w14:val="tx1"/>
            </w14:solidFill>
          </w14:textFill>
        </w:rPr>
        <w:t>”建设提供坚实</w:t>
      </w:r>
      <w:r>
        <w:rPr>
          <w:rFonts w:hint="eastAsia"/>
          <w:color w:val="000000" w:themeColor="text1"/>
          <w:szCs w:val="32"/>
          <w14:textFill>
            <w14:solidFill>
              <w14:schemeClr w14:val="tx1"/>
            </w14:solidFill>
          </w14:textFill>
        </w:rPr>
        <w:t>交通</w:t>
      </w:r>
      <w:r>
        <w:rPr>
          <w:color w:val="000000" w:themeColor="text1"/>
          <w:szCs w:val="32"/>
          <w14:textFill>
            <w14:solidFill>
              <w14:schemeClr w14:val="tx1"/>
            </w14:solidFill>
          </w14:textFill>
        </w:rPr>
        <w:t>保障</w:t>
      </w:r>
      <w:r>
        <w:rPr>
          <w:rFonts w:hint="eastAsia"/>
          <w:color w:val="000000" w:themeColor="text1"/>
          <w:szCs w:val="32"/>
          <w14:textFill>
            <w14:solidFill>
              <w14:schemeClr w14:val="tx1"/>
            </w14:solidFill>
          </w14:textFill>
        </w:rPr>
        <w:t>。</w:t>
      </w:r>
    </w:p>
    <w:p>
      <w:pPr>
        <w:pStyle w:val="6"/>
        <w:spacing w:before="0" w:after="0" w:line="360" w:lineRule="auto"/>
        <w:ind w:firstLine="643"/>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1</w:t>
      </w:r>
      <w:r>
        <w:rPr>
          <w:rFonts w:ascii="Times New Roman" w:hAnsi="Times New Roman" w:eastAsia="楷体_GB2312" w:cs="Times New Roman"/>
          <w:sz w:val="32"/>
          <w:szCs w:val="32"/>
        </w:rPr>
        <w:t>. 交通基础设施建设成效显著</w:t>
      </w:r>
    </w:p>
    <w:p>
      <w:pPr>
        <w:ind w:firstLine="643"/>
        <w:rPr>
          <w:color w:val="000000" w:themeColor="text1"/>
          <w:szCs w:val="32"/>
          <w14:textFill>
            <w14:solidFill>
              <w14:schemeClr w14:val="tx1"/>
            </w14:solidFill>
          </w14:textFill>
        </w:rPr>
      </w:pPr>
      <w:r>
        <w:rPr>
          <w:rFonts w:hint="eastAsia" w:eastAsia="楷体_GB2312"/>
          <w:b/>
          <w:bCs/>
          <w:szCs w:val="32"/>
        </w:rPr>
        <w:t>轨道交通加快推进。</w:t>
      </w:r>
      <w:r>
        <w:rPr>
          <w:rFonts w:hint="eastAsia"/>
          <w:color w:val="000000" w:themeColor="text1"/>
          <w:szCs w:val="32"/>
          <w14:textFill>
            <w14:solidFill>
              <w14:schemeClr w14:val="tx1"/>
            </w14:solidFill>
          </w14:textFill>
        </w:rPr>
        <w:t>轨道交通</w:t>
      </w:r>
      <w:r>
        <w:rPr>
          <w:rFonts w:hint="eastAsia"/>
          <w:szCs w:val="32"/>
        </w:rPr>
        <w:t>运营里程89公里，在建里程123公里。成渝高铁按时速</w:t>
      </w:r>
      <w:r>
        <w:rPr>
          <w:szCs w:val="32"/>
        </w:rPr>
        <w:t>350</w:t>
      </w:r>
      <w:r>
        <w:rPr>
          <w:rFonts w:hint="eastAsia"/>
          <w:color w:val="000000" w:themeColor="text1"/>
          <w:szCs w:val="32"/>
          <w14:textFill>
            <w14:solidFill>
              <w14:schemeClr w14:val="tx1"/>
            </w14:solidFill>
          </w14:textFill>
        </w:rPr>
        <w:t>公里达速运行，</w:t>
      </w:r>
      <w:r>
        <w:rPr>
          <w:color w:val="000000" w:themeColor="text1"/>
          <w:szCs w:val="32"/>
          <w14:textFill>
            <w14:solidFill>
              <w14:schemeClr w14:val="tx1"/>
            </w14:solidFill>
          </w14:textFill>
        </w:rPr>
        <w:t>成自</w:t>
      </w:r>
      <w:r>
        <w:rPr>
          <w:rFonts w:hint="eastAsia"/>
          <w:color w:val="000000" w:themeColor="text1"/>
          <w:szCs w:val="32"/>
          <w14:textFill>
            <w14:solidFill>
              <w14:schemeClr w14:val="tx1"/>
            </w14:solidFill>
          </w14:textFill>
        </w:rPr>
        <w:t>宜高铁、成达万高铁、轨道交通资阳线开工建设，成渝中线高铁（沪渝蓉高铁重庆至成都段）、成都外环铁路、绵遂内铁路（绵泸高铁绵遂内段）及</w:t>
      </w:r>
      <w:r>
        <w:rPr>
          <w:color w:val="000000" w:themeColor="text1"/>
          <w:szCs w:val="32"/>
          <w14:textFill>
            <w14:solidFill>
              <w14:schemeClr w14:val="tx1"/>
            </w14:solidFill>
          </w14:textFill>
        </w:rPr>
        <w:t>成渝铁路扩能改造</w:t>
      </w:r>
      <w:r>
        <w:rPr>
          <w:rFonts w:hint="eastAsia"/>
          <w:color w:val="000000" w:themeColor="text1"/>
          <w:szCs w:val="32"/>
          <w14:textFill>
            <w14:solidFill>
              <w14:schemeClr w14:val="tx1"/>
            </w14:solidFill>
          </w14:textFill>
        </w:rPr>
        <w:t>等</w:t>
      </w:r>
      <w:r>
        <w:rPr>
          <w:color w:val="000000" w:themeColor="text1"/>
          <w:szCs w:val="32"/>
          <w14:textFill>
            <w14:solidFill>
              <w14:schemeClr w14:val="tx1"/>
            </w14:solidFill>
          </w14:textFill>
        </w:rPr>
        <w:t>前期</w:t>
      </w:r>
      <w:r>
        <w:rPr>
          <w:rFonts w:hint="eastAsia"/>
          <w:color w:val="000000" w:themeColor="text1"/>
          <w:szCs w:val="32"/>
          <w14:textFill>
            <w14:solidFill>
              <w14:schemeClr w14:val="tx1"/>
            </w14:solidFill>
          </w14:textFill>
        </w:rPr>
        <w:t>工作</w:t>
      </w:r>
      <w:r>
        <w:rPr>
          <w:color w:val="000000" w:themeColor="text1"/>
          <w:szCs w:val="32"/>
          <w14:textFill>
            <w14:solidFill>
              <w14:schemeClr w14:val="tx1"/>
            </w14:solidFill>
          </w14:textFill>
        </w:rPr>
        <w:t>加快推进。</w:t>
      </w:r>
    </w:p>
    <w:p>
      <w:pPr>
        <w:ind w:firstLine="643"/>
        <w:rPr>
          <w:color w:val="000000" w:themeColor="text1"/>
          <w:szCs w:val="32"/>
          <w14:textFill>
            <w14:solidFill>
              <w14:schemeClr w14:val="tx1"/>
            </w14:solidFill>
          </w14:textFill>
        </w:rPr>
      </w:pPr>
      <w:r>
        <w:rPr>
          <w:rFonts w:hint="eastAsia" w:eastAsia="楷体_GB2312"/>
          <w:b/>
          <w:bCs/>
          <w:szCs w:val="20"/>
        </w:rPr>
        <w:t>高速公路实现倍增。</w:t>
      </w:r>
      <w:r>
        <w:rPr>
          <w:rFonts w:hint="eastAsia"/>
          <w:color w:val="000000" w:themeColor="text1"/>
          <w:szCs w:val="32"/>
          <w14:textFill>
            <w14:solidFill>
              <w14:schemeClr w14:val="tx1"/>
            </w14:solidFill>
          </w14:textFill>
        </w:rPr>
        <w:t>新增高速公路</w:t>
      </w:r>
      <w:r>
        <w:rPr>
          <w:color w:val="000000" w:themeColor="text1"/>
          <w:szCs w:val="32"/>
          <w14:textFill>
            <w14:solidFill>
              <w14:schemeClr w14:val="tx1"/>
            </w14:solidFill>
          </w14:textFill>
        </w:rPr>
        <w:t>203</w:t>
      </w:r>
      <w:r>
        <w:rPr>
          <w:rFonts w:hint="eastAsia"/>
          <w:color w:val="000000" w:themeColor="text1"/>
          <w:szCs w:val="32"/>
          <w14:textFill>
            <w14:solidFill>
              <w14:schemeClr w14:val="tx1"/>
            </w14:solidFill>
          </w14:textFill>
        </w:rPr>
        <w:t>公里，</w:t>
      </w:r>
      <w:r>
        <w:rPr>
          <w:color w:val="000000" w:themeColor="text1"/>
          <w:szCs w:val="32"/>
          <w14:textFill>
            <w14:solidFill>
              <w14:schemeClr w14:val="tx1"/>
            </w14:solidFill>
          </w14:textFill>
        </w:rPr>
        <w:t>通车</w:t>
      </w:r>
      <w:r>
        <w:rPr>
          <w:rFonts w:hint="eastAsia"/>
          <w:color w:val="000000" w:themeColor="text1"/>
          <w:szCs w:val="32"/>
          <w14:textFill>
            <w14:solidFill>
              <w14:schemeClr w14:val="tx1"/>
            </w14:solidFill>
          </w14:textFill>
        </w:rPr>
        <w:t>总</w:t>
      </w:r>
      <w:r>
        <w:rPr>
          <w:color w:val="000000" w:themeColor="text1"/>
          <w:szCs w:val="32"/>
          <w14:textFill>
            <w14:solidFill>
              <w14:schemeClr w14:val="tx1"/>
            </w14:solidFill>
          </w14:textFill>
        </w:rPr>
        <w:t>里程</w:t>
      </w:r>
      <w:r>
        <w:rPr>
          <w:rFonts w:hint="eastAsia"/>
          <w:color w:val="000000" w:themeColor="text1"/>
          <w:szCs w:val="32"/>
          <w14:textFill>
            <w14:solidFill>
              <w14:schemeClr w14:val="tx1"/>
            </w14:solidFill>
          </w14:textFill>
        </w:rPr>
        <w:t>达到</w:t>
      </w:r>
      <w:r>
        <w:rPr>
          <w:color w:val="000000" w:themeColor="text1"/>
          <w:szCs w:val="32"/>
          <w14:textFill>
            <w14:solidFill>
              <w14:schemeClr w14:val="tx1"/>
            </w14:solidFill>
          </w14:textFill>
        </w:rPr>
        <w:t>380公里</w:t>
      </w:r>
      <w:r>
        <w:rPr>
          <w:rFonts w:hint="eastAsia"/>
          <w:color w:val="000000" w:themeColor="text1"/>
          <w:szCs w:val="32"/>
          <w14:textFill>
            <w14:solidFill>
              <w14:schemeClr w14:val="tx1"/>
            </w14:solidFill>
          </w14:textFill>
        </w:rPr>
        <w:t>、为2</w:t>
      </w:r>
      <w:r>
        <w:rPr>
          <w:color w:val="000000" w:themeColor="text1"/>
          <w:szCs w:val="32"/>
          <w14:textFill>
            <w14:solidFill>
              <w14:schemeClr w14:val="tx1"/>
            </w14:solidFill>
          </w14:textFill>
        </w:rPr>
        <w:t>015</w:t>
      </w:r>
      <w:r>
        <w:rPr>
          <w:rFonts w:hint="eastAsia"/>
          <w:color w:val="000000" w:themeColor="text1"/>
          <w:szCs w:val="32"/>
          <w14:textFill>
            <w14:solidFill>
              <w14:schemeClr w14:val="tx1"/>
            </w14:solidFill>
          </w14:textFill>
        </w:rPr>
        <w:t>年的2</w:t>
      </w: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倍。</w:t>
      </w:r>
      <w:r>
        <w:rPr>
          <w:color w:val="000000" w:themeColor="text1"/>
          <w:szCs w:val="32"/>
          <w14:textFill>
            <w14:solidFill>
              <w14:schemeClr w14:val="tx1"/>
            </w14:solidFill>
          </w14:textFill>
        </w:rPr>
        <w:t>成安渝</w:t>
      </w:r>
      <w:r>
        <w:rPr>
          <w:rFonts w:hint="eastAsia"/>
          <w:color w:val="000000" w:themeColor="text1"/>
          <w:szCs w:val="32"/>
          <w14:textFill>
            <w14:solidFill>
              <w14:schemeClr w14:val="tx1"/>
            </w14:solidFill>
          </w14:textFill>
        </w:rPr>
        <w:t>高速</w:t>
      </w:r>
      <w:r>
        <w:rPr>
          <w:color w:val="000000" w:themeColor="text1"/>
          <w:szCs w:val="32"/>
          <w14:textFill>
            <w14:solidFill>
              <w14:schemeClr w14:val="tx1"/>
            </w14:solidFill>
          </w14:textFill>
        </w:rPr>
        <w:t>为</w:t>
      </w:r>
      <w:r>
        <w:rPr>
          <w:rFonts w:hint="eastAsia"/>
          <w:color w:val="000000" w:themeColor="text1"/>
          <w:szCs w:val="32"/>
          <w14:textFill>
            <w14:solidFill>
              <w14:schemeClr w14:val="tx1"/>
            </w14:solidFill>
          </w14:textFill>
        </w:rPr>
        <w:t>川渝两地首</w:t>
      </w:r>
      <w:r>
        <w:rPr>
          <w:color w:val="000000" w:themeColor="text1"/>
          <w:szCs w:val="32"/>
          <w14:textFill>
            <w14:solidFill>
              <w14:schemeClr w14:val="tx1"/>
            </w14:solidFill>
          </w14:textFill>
        </w:rPr>
        <w:t>条全线贯通的</w:t>
      </w:r>
      <w:r>
        <w:rPr>
          <w:rFonts w:hint="eastAsia"/>
          <w:color w:val="000000" w:themeColor="text1"/>
          <w:szCs w:val="32"/>
          <w14:textFill>
            <w14:solidFill>
              <w14:schemeClr w14:val="tx1"/>
            </w14:solidFill>
          </w14:textFill>
        </w:rPr>
        <w:t>双向六</w:t>
      </w:r>
      <w:r>
        <w:rPr>
          <w:color w:val="000000" w:themeColor="text1"/>
          <w:szCs w:val="32"/>
          <w14:textFill>
            <w14:solidFill>
              <w14:schemeClr w14:val="tx1"/>
            </w14:solidFill>
          </w14:textFill>
        </w:rPr>
        <w:t>车道高速公路，成资渝高速建成通车后资阳成为全省首个实现“县县三高速”</w:t>
      </w:r>
      <w:r>
        <w:rPr>
          <w:rFonts w:hint="eastAsia"/>
          <w:color w:val="000000" w:themeColor="text1"/>
          <w:szCs w:val="32"/>
          <w14:textFill>
            <w14:solidFill>
              <w14:schemeClr w14:val="tx1"/>
            </w14:solidFill>
          </w14:textFill>
        </w:rPr>
        <w:t>的</w:t>
      </w:r>
      <w:r>
        <w:rPr>
          <w:color w:val="000000" w:themeColor="text1"/>
          <w:szCs w:val="32"/>
          <w14:textFill>
            <w14:solidFill>
              <w14:schemeClr w14:val="tx1"/>
            </w14:solidFill>
          </w14:textFill>
        </w:rPr>
        <w:t>地级市</w:t>
      </w:r>
      <w:r>
        <w:rPr>
          <w:rFonts w:hint="eastAsia"/>
          <w:color w:val="000000" w:themeColor="text1"/>
          <w:szCs w:val="32"/>
          <w14:textFill>
            <w14:solidFill>
              <w14:schemeClr w14:val="tx1"/>
            </w14:solidFill>
          </w14:textFill>
        </w:rPr>
        <w:t>，各区县均与成渝双核实现六车道高速公路直达。</w:t>
      </w:r>
    </w:p>
    <w:p>
      <w:pPr>
        <w:ind w:firstLine="643"/>
        <w:rPr>
          <w:color w:val="000000" w:themeColor="text1"/>
          <w:szCs w:val="32"/>
          <w14:textFill>
            <w14:solidFill>
              <w14:schemeClr w14:val="tx1"/>
            </w14:solidFill>
          </w14:textFill>
        </w:rPr>
      </w:pPr>
      <w:r>
        <w:rPr>
          <w:rFonts w:hint="eastAsia" w:eastAsia="楷体_GB2312"/>
          <w:b/>
          <w:bCs/>
          <w:szCs w:val="20"/>
        </w:rPr>
        <w:t>快速公路取得突破。</w:t>
      </w:r>
      <w:r>
        <w:rPr>
          <w:rFonts w:hint="eastAsia"/>
          <w:color w:val="000000" w:themeColor="text1"/>
          <w:szCs w:val="32"/>
          <w14:textFill>
            <w14:solidFill>
              <w14:schemeClr w14:val="tx1"/>
            </w14:solidFill>
          </w14:textFill>
        </w:rPr>
        <w:t>开工建设快速公路</w:t>
      </w:r>
      <w:r>
        <w:rPr>
          <w:color w:val="000000" w:themeColor="text1"/>
          <w:szCs w:val="32"/>
          <w14:textFill>
            <w14:solidFill>
              <w14:schemeClr w14:val="tx1"/>
            </w14:solidFill>
          </w14:textFill>
        </w:rPr>
        <w:t>120</w:t>
      </w:r>
      <w:r>
        <w:rPr>
          <w:rFonts w:hint="eastAsia"/>
          <w:color w:val="000000" w:themeColor="text1"/>
          <w:szCs w:val="32"/>
          <w14:textFill>
            <w14:solidFill>
              <w14:schemeClr w14:val="tx1"/>
            </w14:solidFill>
          </w14:textFill>
        </w:rPr>
        <w:t>公里，建成陈毅故居旅游快速通道、中和至花溪谷旅游快速通道，结束全市无快速公路历史；成资大道、成资临空大道、安岳卧佛至大足旅游快速通道加快建设，东西城市轴线东延线资简段及乐简段等前期工作加快推进。</w:t>
      </w:r>
    </w:p>
    <w:p>
      <w:pPr>
        <w:ind w:firstLine="643"/>
        <w:rPr>
          <w:color w:val="000000" w:themeColor="text1"/>
          <w:szCs w:val="32"/>
          <w14:textFill>
            <w14:solidFill>
              <w14:schemeClr w14:val="tx1"/>
            </w14:solidFill>
          </w14:textFill>
        </w:rPr>
      </w:pPr>
      <w:r>
        <w:rPr>
          <w:rFonts w:hint="eastAsia" w:eastAsia="楷体_GB2312"/>
          <w:b/>
          <w:bCs/>
          <w:szCs w:val="20"/>
        </w:rPr>
        <w:t>普通公路加速提档。</w:t>
      </w:r>
      <w:r>
        <w:rPr>
          <w:rFonts w:hint="eastAsia"/>
          <w:color w:val="000000" w:themeColor="text1"/>
          <w:szCs w:val="32"/>
          <w14:textFill>
            <w14:solidFill>
              <w14:schemeClr w14:val="tx1"/>
            </w14:solidFill>
          </w14:textFill>
        </w:rPr>
        <w:t>普通公路路面硬化率达98%、较2</w:t>
      </w:r>
      <w:r>
        <w:rPr>
          <w:color w:val="000000" w:themeColor="text1"/>
          <w:szCs w:val="32"/>
          <w14:textFill>
            <w14:solidFill>
              <w14:schemeClr w14:val="tx1"/>
            </w14:solidFill>
          </w14:textFill>
        </w:rPr>
        <w:t>015</w:t>
      </w:r>
      <w:r>
        <w:rPr>
          <w:rFonts w:hint="eastAsia"/>
          <w:color w:val="000000" w:themeColor="text1"/>
          <w:szCs w:val="32"/>
          <w14:textFill>
            <w14:solidFill>
              <w14:schemeClr w14:val="tx1"/>
            </w14:solidFill>
          </w14:textFill>
        </w:rPr>
        <w:t>年提升</w:t>
      </w:r>
      <w:r>
        <w:rPr>
          <w:color w:val="000000" w:themeColor="text1"/>
          <w:szCs w:val="32"/>
          <w14:textFill>
            <w14:solidFill>
              <w14:schemeClr w14:val="tx1"/>
            </w14:solidFill>
          </w14:textFill>
        </w:rPr>
        <w:t>43</w:t>
      </w:r>
      <w:r>
        <w:rPr>
          <w:rFonts w:hint="eastAsia"/>
          <w:color w:val="000000" w:themeColor="text1"/>
          <w:szCs w:val="32"/>
          <w14:textFill>
            <w14:solidFill>
              <w14:schemeClr w14:val="tx1"/>
            </w14:solidFill>
          </w14:textFill>
        </w:rPr>
        <w:t>个百分点，由全省倒数第五跃居全省第四。完成普通国省道路面改造2</w:t>
      </w:r>
      <w:r>
        <w:rPr>
          <w:color w:val="000000" w:themeColor="text1"/>
          <w:szCs w:val="32"/>
          <w14:textFill>
            <w14:solidFill>
              <w14:schemeClr w14:val="tx1"/>
            </w14:solidFill>
          </w14:textFill>
        </w:rPr>
        <w:t>26</w:t>
      </w:r>
      <w:r>
        <w:rPr>
          <w:rFonts w:hint="eastAsia"/>
          <w:color w:val="000000" w:themeColor="text1"/>
          <w:szCs w:val="32"/>
          <w14:textFill>
            <w14:solidFill>
              <w14:schemeClr w14:val="tx1"/>
            </w14:solidFill>
          </w14:textFill>
        </w:rPr>
        <w:t>公里，普通国道全部达到二级及以上公路标准。</w:t>
      </w:r>
      <w:r>
        <w:rPr>
          <w:color w:val="000000" w:themeColor="text1"/>
          <w:szCs w:val="32"/>
          <w14:textFill>
            <w14:solidFill>
              <w14:schemeClr w14:val="tx1"/>
            </w14:solidFill>
          </w14:textFill>
        </w:rPr>
        <w:t>新改建农村公路</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198公里，</w:t>
      </w:r>
      <w:r>
        <w:rPr>
          <w:rFonts w:hint="eastAsia"/>
          <w:color w:val="000000" w:themeColor="text1"/>
          <w:szCs w:val="32"/>
          <w14:textFill>
            <w14:solidFill>
              <w14:schemeClr w14:val="tx1"/>
            </w14:solidFill>
          </w14:textFill>
        </w:rPr>
        <w:t>安岳成功创建</w:t>
      </w:r>
      <w:r>
        <w:rPr>
          <w:color w:val="000000" w:themeColor="text1"/>
          <w:szCs w:val="32"/>
          <w14:textFill>
            <w14:solidFill>
              <w14:schemeClr w14:val="tx1"/>
            </w14:solidFill>
          </w14:textFill>
        </w:rPr>
        <w:t>省级“四好农村路”示范县</w:t>
      </w:r>
      <w:r>
        <w:rPr>
          <w:rFonts w:hint="eastAsia"/>
          <w:color w:val="000000" w:themeColor="text1"/>
          <w:szCs w:val="32"/>
          <w14:textFill>
            <w14:solidFill>
              <w14:schemeClr w14:val="tx1"/>
            </w14:solidFill>
          </w14:textFill>
        </w:rPr>
        <w:t>，2020年启动农村公路品质提升三年行动方案</w:t>
      </w:r>
      <w:r>
        <w:rPr>
          <w:color w:val="000000" w:themeColor="text1"/>
          <w:szCs w:val="32"/>
          <w14:textFill>
            <w14:solidFill>
              <w14:schemeClr w14:val="tx1"/>
            </w14:solidFill>
          </w14:textFill>
        </w:rPr>
        <w:t>。</w:t>
      </w:r>
    </w:p>
    <w:tbl>
      <w:tblPr>
        <w:tblStyle w:val="22"/>
        <w:tblW w:w="79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3"/>
        <w:gridCol w:w="993"/>
        <w:gridCol w:w="998"/>
        <w:gridCol w:w="992"/>
        <w:gridCol w:w="850"/>
        <w:gridCol w:w="851"/>
        <w:gridCol w:w="850"/>
        <w:gridCol w:w="993"/>
        <w:gridCol w:w="7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jc w:val="center"/>
        </w:trPr>
        <w:tc>
          <w:tcPr>
            <w:tcW w:w="7938" w:type="dxa"/>
            <w:gridSpan w:val="9"/>
            <w:vAlign w:val="center"/>
          </w:tcPr>
          <w:p>
            <w:pPr>
              <w:adjustRightInd w:val="0"/>
              <w:snapToGrid w:val="0"/>
              <w:spacing w:line="240" w:lineRule="auto"/>
              <w:ind w:firstLine="0" w:firstLineChars="0"/>
              <w:jc w:val="center"/>
              <w:rPr>
                <w:rFonts w:eastAsia="黑体"/>
                <w:color w:val="000000"/>
                <w:kern w:val="0"/>
                <w:sz w:val="21"/>
                <w:szCs w:val="21"/>
              </w:rPr>
            </w:pPr>
            <w:r>
              <w:rPr>
                <w:rFonts w:hint="eastAsia" w:eastAsia="黑体"/>
                <w:bCs/>
                <w:color w:val="000000"/>
                <w:kern w:val="0"/>
                <w:sz w:val="24"/>
              </w:rPr>
              <w:t>专栏1</w:t>
            </w:r>
            <w:r>
              <w:rPr>
                <w:rFonts w:eastAsia="黑体"/>
                <w:bCs/>
                <w:color w:val="000000"/>
                <w:kern w:val="0"/>
                <w:sz w:val="24"/>
              </w:rPr>
              <w:t xml:space="preserve">   </w:t>
            </w:r>
            <w:r>
              <w:rPr>
                <w:rFonts w:hint="eastAsia" w:eastAsia="黑体"/>
                <w:bCs/>
                <w:color w:val="000000"/>
                <w:kern w:val="0"/>
                <w:sz w:val="24"/>
              </w:rPr>
              <w:t>资阳市公路现状一览表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703" w:type="dxa"/>
            <w:vMerge w:val="restart"/>
            <w:vAlign w:val="center"/>
          </w:tcPr>
          <w:p>
            <w:pPr>
              <w:widowControl/>
              <w:adjustRightInd w:val="0"/>
              <w:snapToGrid w:val="0"/>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行政等级</w:t>
            </w:r>
          </w:p>
        </w:tc>
        <w:tc>
          <w:tcPr>
            <w:tcW w:w="993" w:type="dxa"/>
            <w:vMerge w:val="restart"/>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总里程</w:t>
            </w:r>
          </w:p>
        </w:tc>
        <w:tc>
          <w:tcPr>
            <w:tcW w:w="6242" w:type="dxa"/>
            <w:gridSpan w:val="7"/>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技术等级（单位：公里）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tblHeader/>
          <w:jc w:val="center"/>
        </w:trPr>
        <w:tc>
          <w:tcPr>
            <w:tcW w:w="703" w:type="dxa"/>
            <w:vMerge w:val="continue"/>
            <w:vAlign w:val="center"/>
          </w:tcPr>
          <w:p>
            <w:pPr>
              <w:widowControl/>
              <w:spacing w:line="240" w:lineRule="auto"/>
              <w:ind w:firstLine="0" w:firstLineChars="0"/>
              <w:jc w:val="center"/>
              <w:rPr>
                <w:rFonts w:eastAsia="黑体"/>
                <w:color w:val="000000"/>
                <w:kern w:val="0"/>
                <w:sz w:val="21"/>
                <w:szCs w:val="21"/>
              </w:rPr>
            </w:pPr>
          </w:p>
        </w:tc>
        <w:tc>
          <w:tcPr>
            <w:tcW w:w="993" w:type="dxa"/>
            <w:vMerge w:val="continue"/>
            <w:vAlign w:val="center"/>
          </w:tcPr>
          <w:p>
            <w:pPr>
              <w:widowControl/>
              <w:spacing w:line="240" w:lineRule="auto"/>
              <w:ind w:firstLine="0" w:firstLineChars="0"/>
              <w:jc w:val="center"/>
              <w:rPr>
                <w:rFonts w:eastAsia="黑体"/>
                <w:color w:val="000000"/>
                <w:kern w:val="0"/>
                <w:sz w:val="21"/>
                <w:szCs w:val="21"/>
              </w:rPr>
            </w:pPr>
          </w:p>
        </w:tc>
        <w:tc>
          <w:tcPr>
            <w:tcW w:w="998"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六车道高速</w:t>
            </w:r>
          </w:p>
        </w:tc>
        <w:tc>
          <w:tcPr>
            <w:tcW w:w="992"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四车道</w:t>
            </w:r>
          </w:p>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高速</w:t>
            </w:r>
          </w:p>
        </w:tc>
        <w:tc>
          <w:tcPr>
            <w:tcW w:w="850"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一级</w:t>
            </w:r>
          </w:p>
        </w:tc>
        <w:tc>
          <w:tcPr>
            <w:tcW w:w="851"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二级</w:t>
            </w:r>
          </w:p>
        </w:tc>
        <w:tc>
          <w:tcPr>
            <w:tcW w:w="850"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三级</w:t>
            </w:r>
          </w:p>
        </w:tc>
        <w:tc>
          <w:tcPr>
            <w:tcW w:w="993"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四级</w:t>
            </w:r>
          </w:p>
        </w:tc>
        <w:tc>
          <w:tcPr>
            <w:tcW w:w="708" w:type="dxa"/>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等外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 w:hRule="atLeast"/>
          <w:tblHeader/>
          <w:jc w:val="center"/>
        </w:trPr>
        <w:tc>
          <w:tcPr>
            <w:tcW w:w="703" w:type="dxa"/>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合计</w:t>
            </w:r>
          </w:p>
        </w:tc>
        <w:tc>
          <w:tcPr>
            <w:tcW w:w="993" w:type="dxa"/>
            <w:vAlign w:val="center"/>
          </w:tcPr>
          <w:p>
            <w:pPr>
              <w:widowControl/>
              <w:spacing w:line="240" w:lineRule="auto"/>
              <w:ind w:firstLine="0" w:firstLineChars="0"/>
              <w:jc w:val="center"/>
              <w:rPr>
                <w:kern w:val="0"/>
                <w:sz w:val="21"/>
                <w:szCs w:val="21"/>
              </w:rPr>
            </w:pPr>
            <w:r>
              <w:rPr>
                <w:kern w:val="0"/>
                <w:sz w:val="21"/>
                <w:szCs w:val="21"/>
              </w:rPr>
              <w:t>12526.8</w:t>
            </w:r>
          </w:p>
        </w:tc>
        <w:tc>
          <w:tcPr>
            <w:tcW w:w="998" w:type="dxa"/>
            <w:vAlign w:val="center"/>
          </w:tcPr>
          <w:p>
            <w:pPr>
              <w:widowControl/>
              <w:spacing w:line="240" w:lineRule="auto"/>
              <w:ind w:firstLine="0" w:firstLineChars="0"/>
              <w:jc w:val="center"/>
              <w:rPr>
                <w:kern w:val="0"/>
                <w:sz w:val="21"/>
                <w:szCs w:val="21"/>
              </w:rPr>
            </w:pPr>
            <w:r>
              <w:rPr>
                <w:kern w:val="0"/>
                <w:sz w:val="21"/>
                <w:szCs w:val="21"/>
              </w:rPr>
              <w:t>161.2</w:t>
            </w:r>
          </w:p>
        </w:tc>
        <w:tc>
          <w:tcPr>
            <w:tcW w:w="992" w:type="dxa"/>
            <w:vAlign w:val="center"/>
          </w:tcPr>
          <w:p>
            <w:pPr>
              <w:widowControl/>
              <w:spacing w:line="240" w:lineRule="auto"/>
              <w:ind w:firstLine="0" w:firstLineChars="0"/>
              <w:jc w:val="center"/>
              <w:rPr>
                <w:kern w:val="0"/>
                <w:sz w:val="21"/>
                <w:szCs w:val="21"/>
              </w:rPr>
            </w:pPr>
            <w:r>
              <w:rPr>
                <w:rFonts w:hint="eastAsia"/>
                <w:kern w:val="0"/>
                <w:sz w:val="21"/>
                <w:szCs w:val="21"/>
              </w:rPr>
              <w:t>2</w:t>
            </w:r>
            <w:r>
              <w:rPr>
                <w:kern w:val="0"/>
                <w:sz w:val="21"/>
                <w:szCs w:val="21"/>
              </w:rPr>
              <w:t>18.8</w:t>
            </w:r>
          </w:p>
        </w:tc>
        <w:tc>
          <w:tcPr>
            <w:tcW w:w="850" w:type="dxa"/>
            <w:vAlign w:val="center"/>
          </w:tcPr>
          <w:p>
            <w:pPr>
              <w:widowControl/>
              <w:spacing w:line="240" w:lineRule="auto"/>
              <w:ind w:firstLine="0" w:firstLineChars="0"/>
              <w:jc w:val="center"/>
              <w:rPr>
                <w:kern w:val="0"/>
                <w:sz w:val="21"/>
                <w:szCs w:val="21"/>
              </w:rPr>
            </w:pPr>
            <w:r>
              <w:rPr>
                <w:kern w:val="0"/>
                <w:sz w:val="21"/>
                <w:szCs w:val="21"/>
              </w:rPr>
              <w:t>36.6</w:t>
            </w:r>
          </w:p>
        </w:tc>
        <w:tc>
          <w:tcPr>
            <w:tcW w:w="851" w:type="dxa"/>
            <w:vAlign w:val="center"/>
          </w:tcPr>
          <w:p>
            <w:pPr>
              <w:widowControl/>
              <w:spacing w:line="240" w:lineRule="auto"/>
              <w:ind w:firstLine="0" w:firstLineChars="0"/>
              <w:jc w:val="center"/>
              <w:rPr>
                <w:kern w:val="0"/>
                <w:sz w:val="21"/>
                <w:szCs w:val="21"/>
              </w:rPr>
            </w:pPr>
            <w:r>
              <w:rPr>
                <w:kern w:val="0"/>
                <w:sz w:val="21"/>
                <w:szCs w:val="21"/>
              </w:rPr>
              <w:t>411.1</w:t>
            </w:r>
          </w:p>
        </w:tc>
        <w:tc>
          <w:tcPr>
            <w:tcW w:w="850" w:type="dxa"/>
            <w:vAlign w:val="center"/>
          </w:tcPr>
          <w:p>
            <w:pPr>
              <w:widowControl/>
              <w:spacing w:line="240" w:lineRule="auto"/>
              <w:ind w:firstLine="0" w:firstLineChars="0"/>
              <w:jc w:val="center"/>
              <w:rPr>
                <w:kern w:val="0"/>
                <w:sz w:val="21"/>
                <w:szCs w:val="21"/>
              </w:rPr>
            </w:pPr>
            <w:r>
              <w:rPr>
                <w:kern w:val="0"/>
                <w:sz w:val="21"/>
                <w:szCs w:val="21"/>
              </w:rPr>
              <w:t>215.9</w:t>
            </w:r>
          </w:p>
        </w:tc>
        <w:tc>
          <w:tcPr>
            <w:tcW w:w="993" w:type="dxa"/>
            <w:vAlign w:val="center"/>
          </w:tcPr>
          <w:p>
            <w:pPr>
              <w:widowControl/>
              <w:spacing w:line="240" w:lineRule="auto"/>
              <w:ind w:firstLine="0" w:firstLineChars="0"/>
              <w:jc w:val="center"/>
              <w:rPr>
                <w:kern w:val="0"/>
                <w:sz w:val="21"/>
                <w:szCs w:val="21"/>
              </w:rPr>
            </w:pPr>
            <w:r>
              <w:rPr>
                <w:kern w:val="0"/>
                <w:sz w:val="21"/>
                <w:szCs w:val="21"/>
              </w:rPr>
              <w:t>11329.4</w:t>
            </w:r>
          </w:p>
        </w:tc>
        <w:tc>
          <w:tcPr>
            <w:tcW w:w="708" w:type="dxa"/>
            <w:vAlign w:val="center"/>
          </w:tcPr>
          <w:p>
            <w:pPr>
              <w:widowControl/>
              <w:spacing w:line="240" w:lineRule="auto"/>
              <w:ind w:firstLine="0" w:firstLineChars="0"/>
              <w:jc w:val="center"/>
              <w:rPr>
                <w:kern w:val="0"/>
                <w:sz w:val="21"/>
                <w:szCs w:val="21"/>
              </w:rPr>
            </w:pPr>
            <w:r>
              <w:rPr>
                <w:kern w:val="0"/>
                <w:sz w:val="21"/>
                <w:szCs w:val="21"/>
              </w:rPr>
              <w:t>153.7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5" w:hRule="atLeast"/>
          <w:jc w:val="center"/>
        </w:trPr>
        <w:tc>
          <w:tcPr>
            <w:tcW w:w="703" w:type="dxa"/>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国道</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434.9</w:t>
            </w:r>
          </w:p>
        </w:tc>
        <w:tc>
          <w:tcPr>
            <w:tcW w:w="998" w:type="dxa"/>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00.6</w:t>
            </w:r>
          </w:p>
        </w:tc>
        <w:tc>
          <w:tcPr>
            <w:tcW w:w="992" w:type="dxa"/>
            <w:vAlign w:val="center"/>
          </w:tcPr>
          <w:p>
            <w:pPr>
              <w:widowControl/>
              <w:spacing w:line="240" w:lineRule="auto"/>
              <w:ind w:firstLine="0" w:firstLineChars="0"/>
              <w:jc w:val="center"/>
              <w:rPr>
                <w:kern w:val="0"/>
                <w:sz w:val="21"/>
                <w:szCs w:val="21"/>
              </w:rPr>
            </w:pPr>
            <w:r>
              <w:rPr>
                <w:rFonts w:hint="eastAsia"/>
                <w:kern w:val="0"/>
                <w:sz w:val="21"/>
                <w:szCs w:val="21"/>
              </w:rPr>
              <w:t>3</w:t>
            </w:r>
            <w:r>
              <w:rPr>
                <w:kern w:val="0"/>
                <w:sz w:val="21"/>
                <w:szCs w:val="21"/>
              </w:rPr>
              <w:t>5.4</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16.3</w:t>
            </w:r>
          </w:p>
        </w:tc>
        <w:tc>
          <w:tcPr>
            <w:tcW w:w="851" w:type="dxa"/>
            <w:vAlign w:val="center"/>
          </w:tcPr>
          <w:p>
            <w:pPr>
              <w:widowControl/>
              <w:spacing w:line="240" w:lineRule="auto"/>
              <w:ind w:firstLine="0" w:firstLineChars="0"/>
              <w:jc w:val="center"/>
              <w:rPr>
                <w:kern w:val="0"/>
                <w:sz w:val="21"/>
                <w:szCs w:val="21"/>
              </w:rPr>
            </w:pPr>
            <w:r>
              <w:rPr>
                <w:rFonts w:hint="eastAsia"/>
                <w:kern w:val="0"/>
                <w:sz w:val="21"/>
                <w:szCs w:val="21"/>
              </w:rPr>
              <w:t>2</w:t>
            </w:r>
            <w:r>
              <w:rPr>
                <w:kern w:val="0"/>
                <w:sz w:val="21"/>
                <w:szCs w:val="21"/>
              </w:rPr>
              <w:t>82.5</w:t>
            </w:r>
          </w:p>
        </w:tc>
        <w:tc>
          <w:tcPr>
            <w:tcW w:w="850" w:type="dxa"/>
            <w:vAlign w:val="center"/>
          </w:tcPr>
          <w:p>
            <w:pPr>
              <w:widowControl/>
              <w:spacing w:line="240" w:lineRule="auto"/>
              <w:ind w:firstLine="0" w:firstLineChars="0"/>
              <w:jc w:val="center"/>
              <w:rPr>
                <w:kern w:val="0"/>
                <w:sz w:val="21"/>
                <w:szCs w:val="21"/>
              </w:rPr>
            </w:pPr>
            <w:r>
              <w:rPr>
                <w:kern w:val="0"/>
                <w:sz w:val="21"/>
                <w:szCs w:val="21"/>
              </w:rPr>
              <w:t>0.0</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708" w:type="dxa"/>
            <w:vAlign w:val="center"/>
          </w:tcPr>
          <w:p>
            <w:pPr>
              <w:widowControl/>
              <w:spacing w:line="240" w:lineRule="auto"/>
              <w:ind w:firstLine="0" w:firstLineChars="0"/>
              <w:jc w:val="center"/>
              <w:rPr>
                <w:kern w:val="0"/>
                <w:sz w:val="21"/>
                <w:szCs w:val="21"/>
              </w:rPr>
            </w:pPr>
            <w:r>
              <w:rPr>
                <w:rFonts w:hint="eastAsia"/>
                <w:kern w:val="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3" w:type="dxa"/>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省道</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641.9</w:t>
            </w:r>
          </w:p>
        </w:tc>
        <w:tc>
          <w:tcPr>
            <w:tcW w:w="998" w:type="dxa"/>
            <w:vAlign w:val="center"/>
          </w:tcPr>
          <w:p>
            <w:pPr>
              <w:widowControl/>
              <w:spacing w:line="240" w:lineRule="auto"/>
              <w:ind w:firstLine="0" w:firstLineChars="0"/>
              <w:jc w:val="center"/>
              <w:rPr>
                <w:kern w:val="0"/>
                <w:sz w:val="21"/>
                <w:szCs w:val="21"/>
              </w:rPr>
            </w:pPr>
            <w:r>
              <w:rPr>
                <w:kern w:val="0"/>
                <w:sz w:val="21"/>
                <w:szCs w:val="21"/>
              </w:rPr>
              <w:t>60.6</w:t>
            </w:r>
          </w:p>
        </w:tc>
        <w:tc>
          <w:tcPr>
            <w:tcW w:w="992" w:type="dxa"/>
            <w:vAlign w:val="center"/>
          </w:tcPr>
          <w:p>
            <w:pPr>
              <w:widowControl/>
              <w:spacing w:line="240" w:lineRule="auto"/>
              <w:ind w:firstLine="0" w:firstLineChars="0"/>
              <w:jc w:val="center"/>
              <w:rPr>
                <w:kern w:val="0"/>
                <w:sz w:val="21"/>
                <w:szCs w:val="21"/>
              </w:rPr>
            </w:pPr>
            <w:r>
              <w:rPr>
                <w:rFonts w:hint="eastAsia"/>
                <w:kern w:val="0"/>
                <w:sz w:val="21"/>
                <w:szCs w:val="21"/>
              </w:rPr>
              <w:t>1</w:t>
            </w:r>
            <w:r>
              <w:rPr>
                <w:kern w:val="0"/>
                <w:sz w:val="21"/>
                <w:szCs w:val="21"/>
              </w:rPr>
              <w:t>83.4</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13.8</w:t>
            </w:r>
          </w:p>
        </w:tc>
        <w:tc>
          <w:tcPr>
            <w:tcW w:w="851" w:type="dxa"/>
            <w:vAlign w:val="center"/>
          </w:tcPr>
          <w:p>
            <w:pPr>
              <w:widowControl/>
              <w:spacing w:line="240" w:lineRule="auto"/>
              <w:ind w:firstLine="0" w:firstLineChars="0"/>
              <w:jc w:val="center"/>
              <w:rPr>
                <w:kern w:val="0"/>
                <w:sz w:val="21"/>
                <w:szCs w:val="21"/>
              </w:rPr>
            </w:pPr>
            <w:r>
              <w:rPr>
                <w:rFonts w:hint="eastAsia"/>
                <w:kern w:val="0"/>
                <w:sz w:val="21"/>
                <w:szCs w:val="21"/>
              </w:rPr>
              <w:t>81.0</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81.7</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221.3</w:t>
            </w:r>
          </w:p>
        </w:tc>
        <w:tc>
          <w:tcPr>
            <w:tcW w:w="708" w:type="dxa"/>
            <w:vAlign w:val="center"/>
          </w:tcPr>
          <w:p>
            <w:pPr>
              <w:widowControl/>
              <w:spacing w:line="240" w:lineRule="auto"/>
              <w:ind w:firstLine="0" w:firstLineChars="0"/>
              <w:jc w:val="center"/>
              <w:rPr>
                <w:kern w:val="0"/>
                <w:sz w:val="21"/>
                <w:szCs w:val="21"/>
              </w:rPr>
            </w:pPr>
            <w:r>
              <w:rPr>
                <w:rFonts w:hint="eastAsia"/>
                <w:kern w:val="0"/>
                <w:sz w:val="21"/>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3" w:type="dxa"/>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县道</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1546.0</w:t>
            </w:r>
          </w:p>
        </w:tc>
        <w:tc>
          <w:tcPr>
            <w:tcW w:w="998"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992" w:type="dxa"/>
            <w:vAlign w:val="center"/>
          </w:tcPr>
          <w:p>
            <w:pPr>
              <w:widowControl/>
              <w:spacing w:line="240" w:lineRule="auto"/>
              <w:ind w:firstLine="0" w:firstLineChars="0"/>
              <w:jc w:val="center"/>
              <w:rPr>
                <w:kern w:val="0"/>
                <w:sz w:val="21"/>
                <w:szCs w:val="21"/>
              </w:rPr>
            </w:pPr>
            <w:r>
              <w:rPr>
                <w:kern w:val="0"/>
                <w:sz w:val="21"/>
                <w:szCs w:val="21"/>
              </w:rPr>
              <w:t>0.0</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851" w:type="dxa"/>
            <w:vAlign w:val="center"/>
          </w:tcPr>
          <w:p>
            <w:pPr>
              <w:widowControl/>
              <w:spacing w:line="240" w:lineRule="auto"/>
              <w:ind w:firstLine="0" w:firstLineChars="0"/>
              <w:jc w:val="center"/>
              <w:rPr>
                <w:kern w:val="0"/>
                <w:sz w:val="21"/>
                <w:szCs w:val="21"/>
              </w:rPr>
            </w:pPr>
            <w:r>
              <w:rPr>
                <w:rFonts w:hint="eastAsia"/>
                <w:kern w:val="0"/>
                <w:sz w:val="21"/>
                <w:szCs w:val="21"/>
              </w:rPr>
              <w:t>35.5</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128.7</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1366.0</w:t>
            </w:r>
          </w:p>
        </w:tc>
        <w:tc>
          <w:tcPr>
            <w:tcW w:w="708" w:type="dxa"/>
            <w:vAlign w:val="center"/>
          </w:tcPr>
          <w:p>
            <w:pPr>
              <w:widowControl/>
              <w:spacing w:line="240" w:lineRule="auto"/>
              <w:ind w:firstLine="0" w:firstLineChars="0"/>
              <w:jc w:val="center"/>
              <w:rPr>
                <w:kern w:val="0"/>
                <w:sz w:val="21"/>
                <w:szCs w:val="21"/>
              </w:rPr>
            </w:pPr>
            <w:r>
              <w:rPr>
                <w:rFonts w:hint="eastAsia"/>
                <w:kern w:val="0"/>
                <w:sz w:val="21"/>
                <w:szCs w:val="21"/>
              </w:rPr>
              <w:t>15.9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3" w:type="dxa"/>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乡道</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2943.3</w:t>
            </w:r>
          </w:p>
        </w:tc>
        <w:tc>
          <w:tcPr>
            <w:tcW w:w="998"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992" w:type="dxa"/>
            <w:vAlign w:val="center"/>
          </w:tcPr>
          <w:p>
            <w:pPr>
              <w:widowControl/>
              <w:spacing w:line="240" w:lineRule="auto"/>
              <w:ind w:firstLine="0" w:firstLineChars="0"/>
              <w:jc w:val="center"/>
              <w:rPr>
                <w:kern w:val="0"/>
                <w:sz w:val="21"/>
                <w:szCs w:val="21"/>
              </w:rPr>
            </w:pPr>
            <w:r>
              <w:rPr>
                <w:kern w:val="0"/>
                <w:sz w:val="21"/>
                <w:szCs w:val="21"/>
              </w:rPr>
              <w:t>0.0</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851" w:type="dxa"/>
            <w:vAlign w:val="center"/>
          </w:tcPr>
          <w:p>
            <w:pPr>
              <w:widowControl/>
              <w:spacing w:line="240" w:lineRule="auto"/>
              <w:ind w:firstLine="0" w:firstLineChars="0"/>
              <w:jc w:val="center"/>
              <w:rPr>
                <w:kern w:val="0"/>
                <w:sz w:val="21"/>
                <w:szCs w:val="21"/>
              </w:rPr>
            </w:pPr>
            <w:r>
              <w:rPr>
                <w:rFonts w:hint="eastAsia"/>
                <w:kern w:val="0"/>
                <w:sz w:val="21"/>
                <w:szCs w:val="21"/>
              </w:rPr>
              <w:t>7.5</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2892.6</w:t>
            </w:r>
          </w:p>
        </w:tc>
        <w:tc>
          <w:tcPr>
            <w:tcW w:w="708" w:type="dxa"/>
            <w:vAlign w:val="center"/>
          </w:tcPr>
          <w:p>
            <w:pPr>
              <w:widowControl/>
              <w:spacing w:line="240" w:lineRule="auto"/>
              <w:ind w:firstLine="0" w:firstLineChars="0"/>
              <w:jc w:val="center"/>
              <w:rPr>
                <w:kern w:val="0"/>
                <w:sz w:val="21"/>
                <w:szCs w:val="21"/>
              </w:rPr>
            </w:pPr>
            <w:r>
              <w:rPr>
                <w:rFonts w:hint="eastAsia"/>
                <w:kern w:val="0"/>
                <w:sz w:val="21"/>
                <w:szCs w:val="21"/>
              </w:rPr>
              <w:t>43.1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0" w:hRule="atLeast"/>
          <w:jc w:val="center"/>
        </w:trPr>
        <w:tc>
          <w:tcPr>
            <w:tcW w:w="703" w:type="dxa"/>
            <w:vAlign w:val="center"/>
          </w:tcPr>
          <w:p>
            <w:pPr>
              <w:widowControl/>
              <w:spacing w:line="240" w:lineRule="auto"/>
              <w:ind w:firstLine="0" w:firstLineChars="0"/>
              <w:jc w:val="center"/>
              <w:rPr>
                <w:color w:val="000000"/>
                <w:kern w:val="0"/>
                <w:sz w:val="21"/>
                <w:szCs w:val="21"/>
              </w:rPr>
            </w:pPr>
            <w:r>
              <w:rPr>
                <w:rFonts w:hint="eastAsia"/>
                <w:color w:val="000000"/>
                <w:kern w:val="0"/>
                <w:sz w:val="21"/>
                <w:szCs w:val="21"/>
              </w:rPr>
              <w:t>村道</w:t>
            </w:r>
          </w:p>
        </w:tc>
        <w:tc>
          <w:tcPr>
            <w:tcW w:w="993" w:type="dxa"/>
            <w:vAlign w:val="center"/>
          </w:tcPr>
          <w:p>
            <w:pPr>
              <w:widowControl/>
              <w:spacing w:line="240" w:lineRule="auto"/>
              <w:ind w:firstLine="0" w:firstLineChars="0"/>
              <w:jc w:val="center"/>
              <w:rPr>
                <w:kern w:val="0"/>
                <w:sz w:val="21"/>
                <w:szCs w:val="21"/>
              </w:rPr>
            </w:pPr>
            <w:r>
              <w:rPr>
                <w:kern w:val="0"/>
                <w:sz w:val="21"/>
                <w:szCs w:val="21"/>
              </w:rPr>
              <w:t>6960.8</w:t>
            </w:r>
          </w:p>
        </w:tc>
        <w:tc>
          <w:tcPr>
            <w:tcW w:w="998" w:type="dxa"/>
            <w:vAlign w:val="center"/>
          </w:tcPr>
          <w:p>
            <w:pPr>
              <w:widowControl/>
              <w:spacing w:line="240" w:lineRule="auto"/>
              <w:ind w:firstLine="0" w:firstLineChars="0"/>
              <w:jc w:val="center"/>
              <w:rPr>
                <w:kern w:val="0"/>
                <w:sz w:val="21"/>
                <w:szCs w:val="21"/>
              </w:rPr>
            </w:pPr>
            <w:r>
              <w:rPr>
                <w:rFonts w:hint="eastAsia"/>
                <w:kern w:val="0"/>
                <w:sz w:val="21"/>
                <w:szCs w:val="21"/>
              </w:rPr>
              <w:t>0.0</w:t>
            </w:r>
          </w:p>
        </w:tc>
        <w:tc>
          <w:tcPr>
            <w:tcW w:w="992" w:type="dxa"/>
            <w:vAlign w:val="center"/>
          </w:tcPr>
          <w:p>
            <w:pPr>
              <w:widowControl/>
              <w:spacing w:line="240" w:lineRule="auto"/>
              <w:ind w:firstLine="0" w:firstLineChars="0"/>
              <w:jc w:val="center"/>
              <w:rPr>
                <w:kern w:val="0"/>
                <w:sz w:val="21"/>
                <w:szCs w:val="21"/>
              </w:rPr>
            </w:pPr>
            <w:r>
              <w:rPr>
                <w:kern w:val="0"/>
                <w:sz w:val="21"/>
                <w:szCs w:val="21"/>
              </w:rPr>
              <w:t>0.0</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6.5</w:t>
            </w:r>
          </w:p>
        </w:tc>
        <w:tc>
          <w:tcPr>
            <w:tcW w:w="851" w:type="dxa"/>
            <w:vAlign w:val="center"/>
          </w:tcPr>
          <w:p>
            <w:pPr>
              <w:widowControl/>
              <w:spacing w:line="240" w:lineRule="auto"/>
              <w:ind w:firstLine="0" w:firstLineChars="0"/>
              <w:jc w:val="center"/>
              <w:rPr>
                <w:kern w:val="0"/>
                <w:sz w:val="21"/>
                <w:szCs w:val="21"/>
              </w:rPr>
            </w:pPr>
            <w:r>
              <w:rPr>
                <w:rFonts w:hint="eastAsia"/>
                <w:kern w:val="0"/>
                <w:sz w:val="21"/>
                <w:szCs w:val="21"/>
              </w:rPr>
              <w:t>4.6</w:t>
            </w:r>
          </w:p>
        </w:tc>
        <w:tc>
          <w:tcPr>
            <w:tcW w:w="850" w:type="dxa"/>
            <w:vAlign w:val="center"/>
          </w:tcPr>
          <w:p>
            <w:pPr>
              <w:widowControl/>
              <w:spacing w:line="240" w:lineRule="auto"/>
              <w:ind w:firstLine="0" w:firstLineChars="0"/>
              <w:jc w:val="center"/>
              <w:rPr>
                <w:kern w:val="0"/>
                <w:sz w:val="21"/>
                <w:szCs w:val="21"/>
              </w:rPr>
            </w:pPr>
            <w:r>
              <w:rPr>
                <w:rFonts w:hint="eastAsia"/>
                <w:kern w:val="0"/>
                <w:sz w:val="21"/>
                <w:szCs w:val="21"/>
              </w:rPr>
              <w:t>5.5</w:t>
            </w:r>
          </w:p>
        </w:tc>
        <w:tc>
          <w:tcPr>
            <w:tcW w:w="993" w:type="dxa"/>
            <w:vAlign w:val="center"/>
          </w:tcPr>
          <w:p>
            <w:pPr>
              <w:widowControl/>
              <w:spacing w:line="240" w:lineRule="auto"/>
              <w:ind w:firstLine="0" w:firstLineChars="0"/>
              <w:jc w:val="center"/>
              <w:rPr>
                <w:kern w:val="0"/>
                <w:sz w:val="21"/>
                <w:szCs w:val="21"/>
              </w:rPr>
            </w:pPr>
            <w:r>
              <w:rPr>
                <w:rFonts w:hint="eastAsia"/>
                <w:kern w:val="0"/>
                <w:sz w:val="21"/>
                <w:szCs w:val="21"/>
              </w:rPr>
              <w:t>6849.5</w:t>
            </w:r>
          </w:p>
        </w:tc>
        <w:tc>
          <w:tcPr>
            <w:tcW w:w="708" w:type="dxa"/>
            <w:vAlign w:val="center"/>
          </w:tcPr>
          <w:p>
            <w:pPr>
              <w:widowControl/>
              <w:spacing w:line="240" w:lineRule="auto"/>
              <w:ind w:firstLine="0" w:firstLineChars="0"/>
              <w:jc w:val="center"/>
              <w:rPr>
                <w:kern w:val="0"/>
                <w:sz w:val="21"/>
                <w:szCs w:val="21"/>
              </w:rPr>
            </w:pPr>
            <w:r>
              <w:rPr>
                <w:rFonts w:hint="eastAsia"/>
                <w:kern w:val="0"/>
                <w:sz w:val="21"/>
                <w:szCs w:val="21"/>
              </w:rPr>
              <w:t>94.7</w:t>
            </w:r>
          </w:p>
        </w:tc>
      </w:tr>
    </w:tbl>
    <w:p>
      <w:pPr>
        <w:pStyle w:val="2"/>
        <w:spacing w:after="0"/>
        <w:ind w:firstLine="643"/>
        <w:rPr>
          <w:color w:val="FF0000"/>
          <w:szCs w:val="32"/>
        </w:rPr>
      </w:pPr>
      <w:r>
        <w:rPr>
          <w:rFonts w:hint="eastAsia" w:eastAsia="楷体_GB2312"/>
          <w:b/>
          <w:bCs/>
          <w:szCs w:val="20"/>
        </w:rPr>
        <w:t>内河</w:t>
      </w:r>
      <w:r>
        <w:rPr>
          <w:rFonts w:eastAsia="楷体_GB2312"/>
          <w:b/>
          <w:bCs/>
          <w:szCs w:val="20"/>
        </w:rPr>
        <w:t>水运</w:t>
      </w:r>
      <w:r>
        <w:rPr>
          <w:rFonts w:hint="eastAsia" w:eastAsia="楷体_GB2312"/>
          <w:b/>
          <w:bCs/>
          <w:szCs w:val="20"/>
        </w:rPr>
        <w:t>稳步推进</w:t>
      </w:r>
      <w:r>
        <w:rPr>
          <w:rFonts w:eastAsia="楷体_GB2312"/>
          <w:b/>
          <w:bCs/>
          <w:szCs w:val="20"/>
        </w:rPr>
        <w:t>。</w:t>
      </w:r>
      <w:r>
        <w:rPr>
          <w:color w:val="000000" w:themeColor="text1"/>
          <w:szCs w:val="32"/>
          <w14:textFill>
            <w14:solidFill>
              <w14:schemeClr w14:val="tx1"/>
            </w14:solidFill>
          </w14:textFill>
        </w:rPr>
        <w:t>主要通航水域有沱江、阳化河、清流河等，</w:t>
      </w:r>
      <w:r>
        <w:rPr>
          <w:rFonts w:hint="eastAsia"/>
          <w:color w:val="000000" w:themeColor="text1"/>
          <w:szCs w:val="32"/>
          <w14:textFill>
            <w14:solidFill>
              <w14:schemeClr w14:val="tx1"/>
            </w14:solidFill>
          </w14:textFill>
        </w:rPr>
        <w:t>全市通航里程351公里，</w:t>
      </w:r>
      <w:r>
        <w:rPr>
          <w:color w:val="000000" w:themeColor="text1"/>
          <w:szCs w:val="32"/>
          <w14:textFill>
            <w14:solidFill>
              <w14:schemeClr w14:val="tx1"/>
            </w14:solidFill>
          </w14:textFill>
        </w:rPr>
        <w:t>其中沱江</w:t>
      </w:r>
      <w:r>
        <w:rPr>
          <w:rFonts w:hint="eastAsia"/>
          <w:color w:val="000000" w:themeColor="text1"/>
          <w:szCs w:val="32"/>
          <w14:textFill>
            <w14:solidFill>
              <w14:schemeClr w14:val="tx1"/>
            </w14:solidFill>
          </w14:textFill>
        </w:rPr>
        <w:t>资阳段7</w:t>
      </w:r>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公里</w:t>
      </w:r>
      <w:r>
        <w:rPr>
          <w:color w:val="000000" w:themeColor="text1"/>
          <w:szCs w:val="32"/>
          <w14:textFill>
            <w14:solidFill>
              <w14:schemeClr w14:val="tx1"/>
            </w14:solidFill>
          </w14:textFill>
        </w:rPr>
        <w:t>为Ⅶ级航道</w:t>
      </w:r>
      <w:r>
        <w:rPr>
          <w:rFonts w:hint="eastAsia"/>
          <w:color w:val="000000" w:themeColor="text1"/>
          <w:szCs w:val="32"/>
          <w14:textFill>
            <w14:solidFill>
              <w14:schemeClr w14:val="tx1"/>
            </w14:solidFill>
          </w14:textFill>
        </w:rPr>
        <w:t>。以航道开发建设为重点，沱江资阳段</w:t>
      </w:r>
      <w:r>
        <w:rPr>
          <w:color w:val="000000" w:themeColor="text1"/>
          <w:szCs w:val="32"/>
          <w14:textFill>
            <w14:solidFill>
              <w14:schemeClr w14:val="tx1"/>
            </w14:solidFill>
          </w14:textFill>
        </w:rPr>
        <w:t>建</w:t>
      </w:r>
      <w:r>
        <w:rPr>
          <w:rFonts w:hint="eastAsia"/>
          <w:color w:val="000000" w:themeColor="text1"/>
          <w:szCs w:val="32"/>
          <w14:textFill>
            <w14:solidFill>
              <w14:schemeClr w14:val="tx1"/>
            </w14:solidFill>
          </w14:textFill>
        </w:rPr>
        <w:t>有</w:t>
      </w:r>
      <w:r>
        <w:rPr>
          <w:color w:val="000000" w:themeColor="text1"/>
          <w:szCs w:val="32"/>
          <w14:textFill>
            <w14:solidFill>
              <w14:schemeClr w14:val="tx1"/>
            </w14:solidFill>
          </w14:textFill>
        </w:rPr>
        <w:t>王二溪、南津驿等2座枢纽</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董家坝和临江寺枢纽进入前期规划方案</w:t>
      </w:r>
      <w:r>
        <w:rPr>
          <w:rFonts w:hint="eastAsia"/>
          <w:color w:val="000000" w:themeColor="text1"/>
          <w:szCs w:val="32"/>
          <w14:textFill>
            <w14:solidFill>
              <w14:schemeClr w14:val="tx1"/>
            </w14:solidFill>
          </w14:textFill>
        </w:rPr>
        <w:t>和初步设计</w:t>
      </w:r>
      <w:r>
        <w:rPr>
          <w:color w:val="000000" w:themeColor="text1"/>
          <w:szCs w:val="32"/>
          <w14:textFill>
            <w14:solidFill>
              <w14:schemeClr w14:val="tx1"/>
            </w14:solidFill>
          </w14:textFill>
        </w:rPr>
        <w:t>阶段</w:t>
      </w:r>
      <w:r>
        <w:rPr>
          <w:rFonts w:hint="eastAsia"/>
          <w:color w:val="000000" w:themeColor="text1"/>
          <w:szCs w:val="32"/>
          <w14:textFill>
            <w14:solidFill>
              <w14:schemeClr w14:val="tx1"/>
            </w14:solidFill>
          </w14:textFill>
        </w:rPr>
        <w:t>，沱江复航工程正加快推进。</w:t>
      </w:r>
    </w:p>
    <w:p>
      <w:pPr>
        <w:pStyle w:val="2"/>
        <w:spacing w:after="0"/>
        <w:ind w:firstLine="643"/>
        <w:rPr>
          <w:color w:val="000000" w:themeColor="text1"/>
          <w:szCs w:val="32"/>
          <w14:textFill>
            <w14:solidFill>
              <w14:schemeClr w14:val="tx1"/>
            </w14:solidFill>
          </w14:textFill>
        </w:rPr>
      </w:pPr>
      <w:r>
        <w:rPr>
          <w:rFonts w:hint="eastAsia" w:eastAsia="楷体_GB2312"/>
          <w:b/>
          <w:bCs/>
          <w:szCs w:val="20"/>
        </w:rPr>
        <w:t>养护能力有效提升</w:t>
      </w:r>
      <w:r>
        <w:rPr>
          <w:rFonts w:eastAsia="楷体_GB2312"/>
          <w:b/>
          <w:bCs/>
          <w:szCs w:val="20"/>
        </w:rPr>
        <w:t>。</w:t>
      </w:r>
      <w:r>
        <w:rPr>
          <w:rFonts w:hint="eastAsia"/>
          <w:color w:val="000000" w:themeColor="text1"/>
          <w:szCs w:val="32"/>
          <w14:textFill>
            <w14:solidFill>
              <w14:schemeClr w14:val="tx1"/>
            </w14:solidFill>
          </w14:textFill>
        </w:rPr>
        <w:t>普通国省道路面使用性能指数（PQI）连续五年保持在90以上、居全省前列。在</w:t>
      </w:r>
      <w:r>
        <w:rPr>
          <w:color w:val="000000" w:themeColor="text1"/>
          <w:szCs w:val="32"/>
          <w14:textFill>
            <w14:solidFill>
              <w14:schemeClr w14:val="tx1"/>
            </w14:solidFill>
          </w14:textFill>
        </w:rPr>
        <w:t>全省</w:t>
      </w:r>
      <w:r>
        <w:rPr>
          <w:rFonts w:hint="eastAsia"/>
          <w:color w:val="000000" w:themeColor="text1"/>
          <w:szCs w:val="32"/>
          <w14:textFill>
            <w14:solidFill>
              <w14:schemeClr w14:val="tx1"/>
            </w14:solidFill>
          </w14:textFill>
        </w:rPr>
        <w:t>率先</w:t>
      </w:r>
      <w:r>
        <w:rPr>
          <w:color w:val="000000" w:themeColor="text1"/>
          <w:szCs w:val="32"/>
          <w14:textFill>
            <w14:solidFill>
              <w14:schemeClr w14:val="tx1"/>
            </w14:solidFill>
          </w14:textFill>
        </w:rPr>
        <w:t>完成国省道桥梁护栏专项整治</w:t>
      </w:r>
      <w:r>
        <w:rPr>
          <w:rFonts w:hint="eastAsia"/>
          <w:color w:val="000000" w:themeColor="text1"/>
          <w:szCs w:val="32"/>
          <w14:textFill>
            <w14:solidFill>
              <w14:schemeClr w14:val="tx1"/>
            </w14:solidFill>
          </w14:textFill>
        </w:rPr>
        <w:t>，桥梁护栏改造工程被交通运输部评选为全国危桥改造工程先进典型案例</w:t>
      </w:r>
      <w:r>
        <w:rPr>
          <w:color w:val="000000" w:themeColor="text1"/>
          <w:szCs w:val="32"/>
          <w14:textFill>
            <w14:solidFill>
              <w14:schemeClr w14:val="tx1"/>
            </w14:solidFill>
          </w14:textFill>
        </w:rPr>
        <w:t>。新建安岳、乐至两座机械化养护与应急保通中心，</w:t>
      </w:r>
      <w:r>
        <w:rPr>
          <w:rFonts w:hint="eastAsia"/>
          <w:color w:val="000000" w:themeColor="text1"/>
          <w:szCs w:val="32"/>
          <w14:textFill>
            <w14:solidFill>
              <w14:schemeClr w14:val="tx1"/>
            </w14:solidFill>
          </w14:textFill>
        </w:rPr>
        <w:t>改扩建乡镇</w:t>
      </w:r>
      <w:r>
        <w:rPr>
          <w:color w:val="000000" w:themeColor="text1"/>
          <w:szCs w:val="32"/>
          <w14:textFill>
            <w14:solidFill>
              <w14:schemeClr w14:val="tx1"/>
            </w14:solidFill>
          </w14:textFill>
        </w:rPr>
        <w:t>养护管理站</w:t>
      </w:r>
      <w:r>
        <w:rPr>
          <w:rFonts w:hint="eastAsia"/>
          <w:color w:val="000000" w:themeColor="text1"/>
          <w:szCs w:val="32"/>
          <w14:textFill>
            <w14:solidFill>
              <w14:schemeClr w14:val="tx1"/>
            </w14:solidFill>
          </w14:textFill>
        </w:rPr>
        <w:t>13</w:t>
      </w:r>
      <w:r>
        <w:rPr>
          <w:color w:val="000000" w:themeColor="text1"/>
          <w:szCs w:val="32"/>
          <w14:textFill>
            <w14:solidFill>
              <w14:schemeClr w14:val="tx1"/>
            </w14:solidFill>
          </w14:textFill>
        </w:rPr>
        <w:t>个，养护</w:t>
      </w:r>
      <w:r>
        <w:rPr>
          <w:rFonts w:hint="eastAsia"/>
          <w:color w:val="000000" w:themeColor="text1"/>
          <w:szCs w:val="32"/>
          <w14:textFill>
            <w14:solidFill>
              <w14:schemeClr w14:val="tx1"/>
            </w14:solidFill>
          </w14:textFill>
        </w:rPr>
        <w:t>站点、</w:t>
      </w:r>
      <w:r>
        <w:rPr>
          <w:color w:val="000000" w:themeColor="text1"/>
          <w:szCs w:val="32"/>
          <w14:textFill>
            <w14:solidFill>
              <w14:schemeClr w14:val="tx1"/>
            </w14:solidFill>
          </w14:textFill>
        </w:rPr>
        <w:t>设施</w:t>
      </w:r>
      <w:r>
        <w:rPr>
          <w:rFonts w:hint="eastAsia"/>
          <w:color w:val="000000" w:themeColor="text1"/>
          <w:szCs w:val="32"/>
          <w14:textFill>
            <w14:solidFill>
              <w14:schemeClr w14:val="tx1"/>
            </w14:solidFill>
          </w14:textFill>
        </w:rPr>
        <w:t>等不</w:t>
      </w:r>
      <w:r>
        <w:rPr>
          <w:color w:val="000000" w:themeColor="text1"/>
          <w:szCs w:val="32"/>
          <w14:textFill>
            <w14:solidFill>
              <w14:schemeClr w14:val="tx1"/>
            </w14:solidFill>
          </w14:textFill>
        </w:rPr>
        <w:t>断完善</w:t>
      </w:r>
      <w:r>
        <w:rPr>
          <w:rFonts w:hint="eastAsia"/>
          <w:color w:val="000000" w:themeColor="text1"/>
          <w:szCs w:val="32"/>
          <w14:textFill>
            <w14:solidFill>
              <w14:schemeClr w14:val="tx1"/>
            </w14:solidFill>
          </w14:textFill>
        </w:rPr>
        <w:t>，农村公路管养机构、人员、列养率实现“三个100%”。</w:t>
      </w:r>
    </w:p>
    <w:p>
      <w:pPr>
        <w:pStyle w:val="6"/>
        <w:spacing w:before="0" w:after="0" w:line="360" w:lineRule="auto"/>
        <w:ind w:firstLine="643"/>
        <w:rPr>
          <w:rFonts w:ascii="Times New Roman" w:hAnsi="Times New Roman" w:eastAsia="楷体_GB2312" w:cs="Times New Roman"/>
          <w:sz w:val="32"/>
          <w:szCs w:val="32"/>
        </w:rPr>
      </w:pPr>
      <w:r>
        <w:rPr>
          <w:rFonts w:ascii="Times New Roman" w:hAnsi="Times New Roman" w:eastAsia="楷体_GB2312" w:cs="Times New Roman"/>
          <w:sz w:val="32"/>
          <w:szCs w:val="32"/>
        </w:rPr>
        <w:t>2. 运输服务</w:t>
      </w:r>
      <w:r>
        <w:rPr>
          <w:rFonts w:hint="eastAsia" w:ascii="Times New Roman" w:hAnsi="Times New Roman" w:eastAsia="楷体_GB2312" w:cs="Times New Roman"/>
          <w:sz w:val="32"/>
          <w:szCs w:val="32"/>
        </w:rPr>
        <w:t>能力</w:t>
      </w:r>
      <w:r>
        <w:rPr>
          <w:rFonts w:ascii="Times New Roman" w:hAnsi="Times New Roman" w:eastAsia="楷体_GB2312" w:cs="Times New Roman"/>
          <w:sz w:val="32"/>
          <w:szCs w:val="32"/>
        </w:rPr>
        <w:t>品质显著提</w:t>
      </w:r>
      <w:r>
        <w:rPr>
          <w:rFonts w:hint="eastAsia" w:ascii="Times New Roman" w:hAnsi="Times New Roman" w:eastAsia="楷体_GB2312" w:cs="Times New Roman"/>
          <w:sz w:val="32"/>
          <w:szCs w:val="32"/>
        </w:rPr>
        <w:t>高</w:t>
      </w:r>
    </w:p>
    <w:p>
      <w:pPr>
        <w:ind w:firstLine="643"/>
        <w:rPr>
          <w:color w:val="000000" w:themeColor="text1"/>
          <w:szCs w:val="32"/>
          <w14:textFill>
            <w14:solidFill>
              <w14:schemeClr w14:val="tx1"/>
            </w14:solidFill>
          </w14:textFill>
        </w:rPr>
      </w:pPr>
      <w:r>
        <w:rPr>
          <w:rFonts w:hint="eastAsia" w:eastAsia="楷体_GB2312"/>
          <w:b/>
          <w:bCs/>
          <w:szCs w:val="20"/>
        </w:rPr>
        <w:t>公交服务不断完善。</w:t>
      </w:r>
      <w:r>
        <w:rPr>
          <w:rFonts w:hint="eastAsia"/>
          <w:color w:val="000000" w:themeColor="text1"/>
          <w:szCs w:val="32"/>
          <w14:textFill>
            <w14:solidFill>
              <w14:schemeClr w14:val="tx1"/>
            </w14:solidFill>
          </w14:textFill>
        </w:rPr>
        <w:t>全市开通公交线路</w:t>
      </w:r>
      <w:r>
        <w:rPr>
          <w:color w:val="000000" w:themeColor="text1"/>
          <w:szCs w:val="32"/>
          <w14:textFill>
            <w14:solidFill>
              <w14:schemeClr w14:val="tx1"/>
            </w14:solidFill>
          </w14:textFill>
        </w:rPr>
        <w:t>40</w:t>
      </w:r>
      <w:r>
        <w:rPr>
          <w:rFonts w:hint="eastAsia"/>
          <w:color w:val="000000" w:themeColor="text1"/>
          <w:szCs w:val="32"/>
          <w14:textFill>
            <w14:solidFill>
              <w14:schemeClr w14:val="tx1"/>
            </w14:solidFill>
          </w14:textFill>
        </w:rPr>
        <w:t>条、运营里程499公里，实现中心城区公交全部国有化运营，开行全市首条川渝毗邻跨省城际公交（安岳双龙街至大足中敖），公交线网覆盖率、车辆电动化率、服务满意率等不断提升。</w:t>
      </w:r>
    </w:p>
    <w:p>
      <w:pPr>
        <w:ind w:firstLine="643"/>
        <w:rPr>
          <w:color w:val="000000" w:themeColor="text1"/>
          <w:szCs w:val="32"/>
          <w14:textFill>
            <w14:solidFill>
              <w14:schemeClr w14:val="tx1"/>
            </w14:solidFill>
          </w14:textFill>
        </w:rPr>
      </w:pPr>
      <w:r>
        <w:rPr>
          <w:rFonts w:hint="eastAsia" w:eastAsia="楷体_GB2312"/>
          <w:b/>
          <w:bCs/>
          <w:szCs w:val="20"/>
        </w:rPr>
        <w:t>乡村运输成效显著。</w:t>
      </w:r>
      <w:r>
        <w:rPr>
          <w:rFonts w:hint="eastAsia"/>
          <w:color w:val="000000" w:themeColor="text1"/>
          <w:szCs w:val="32"/>
          <w14:textFill>
            <w14:solidFill>
              <w14:schemeClr w14:val="tx1"/>
            </w14:solidFill>
          </w14:textFill>
        </w:rPr>
        <w:t>推行定制、预约、响应式客运服务，填补228个乡镇和建制村客运发展空白，提前实现全市所有乡镇和建制村通客车。建有电子商务服务站</w:t>
      </w:r>
      <w:r>
        <w:rPr>
          <w:color w:val="000000" w:themeColor="text1"/>
          <w:szCs w:val="32"/>
          <w14:textFill>
            <w14:solidFill>
              <w14:schemeClr w14:val="tx1"/>
            </w14:solidFill>
          </w14:textFill>
        </w:rPr>
        <w:t>1290</w:t>
      </w:r>
      <w:r>
        <w:rPr>
          <w:rFonts w:hint="eastAsia"/>
          <w:color w:val="000000" w:themeColor="text1"/>
          <w:szCs w:val="32"/>
          <w14:textFill>
            <w14:solidFill>
              <w14:schemeClr w14:val="tx1"/>
            </w14:solidFill>
          </w14:textFill>
        </w:rPr>
        <w:t>个，城乡配送服务站</w:t>
      </w:r>
      <w:r>
        <w:rPr>
          <w:color w:val="000000" w:themeColor="text1"/>
          <w:szCs w:val="32"/>
          <w14:textFill>
            <w14:solidFill>
              <w14:schemeClr w14:val="tx1"/>
            </w14:solidFill>
          </w14:textFill>
        </w:rPr>
        <w:t>843</w:t>
      </w:r>
      <w:r>
        <w:rPr>
          <w:rFonts w:hint="eastAsia"/>
          <w:color w:val="000000" w:themeColor="text1"/>
          <w:szCs w:val="32"/>
          <w14:textFill>
            <w14:solidFill>
              <w14:schemeClr w14:val="tx1"/>
            </w14:solidFill>
          </w14:textFill>
        </w:rPr>
        <w:t>个，资阳获批全省唯一、全国15个“快递进村”市级试点之一。</w:t>
      </w:r>
    </w:p>
    <w:p>
      <w:pPr>
        <w:pStyle w:val="6"/>
        <w:spacing w:before="0" w:after="0" w:line="360" w:lineRule="auto"/>
        <w:ind w:firstLine="643"/>
        <w:rPr>
          <w:rFonts w:ascii="Times New Roman" w:hAnsi="Times New Roman" w:eastAsia="楷体_GB2312" w:cs="Times New Roman"/>
          <w:sz w:val="32"/>
          <w:szCs w:val="32"/>
        </w:rPr>
      </w:pPr>
      <w:r>
        <w:rPr>
          <w:rFonts w:ascii="Times New Roman" w:hAnsi="Times New Roman" w:eastAsia="楷体_GB2312" w:cs="Times New Roman"/>
          <w:sz w:val="32"/>
          <w:szCs w:val="32"/>
        </w:rPr>
        <w:t>3. 交通行业治理能力稳步提升</w:t>
      </w:r>
    </w:p>
    <w:p>
      <w:pPr>
        <w:pStyle w:val="2"/>
        <w:spacing w:after="0"/>
        <w:ind w:firstLine="643"/>
        <w:rPr>
          <w:snapToGrid w:val="0"/>
          <w:kern w:val="0"/>
          <w:szCs w:val="32"/>
        </w:rPr>
      </w:pPr>
      <w:r>
        <w:rPr>
          <w:rFonts w:eastAsia="楷体_GB2312"/>
          <w:b/>
          <w:bCs/>
          <w:szCs w:val="32"/>
        </w:rPr>
        <w:t>智慧交通建设提速。</w:t>
      </w:r>
      <w:r>
        <w:rPr>
          <w:bCs/>
          <w:snapToGrid w:val="0"/>
          <w:kern w:val="0"/>
          <w:szCs w:val="32"/>
        </w:rPr>
        <w:t>建立公交智能调度系统</w:t>
      </w:r>
      <w:r>
        <w:rPr>
          <w:rFonts w:hint="eastAsia"/>
          <w:bCs/>
          <w:snapToGrid w:val="0"/>
          <w:kern w:val="0"/>
          <w:szCs w:val="32"/>
        </w:rPr>
        <w:t>，</w:t>
      </w:r>
      <w:r>
        <w:rPr>
          <w:bCs/>
          <w:snapToGrid w:val="0"/>
          <w:kern w:val="0"/>
          <w:szCs w:val="32"/>
        </w:rPr>
        <w:t>公交准点率</w:t>
      </w:r>
      <w:r>
        <w:rPr>
          <w:rFonts w:hint="eastAsia"/>
          <w:bCs/>
          <w:snapToGrid w:val="0"/>
          <w:kern w:val="0"/>
          <w:szCs w:val="32"/>
        </w:rPr>
        <w:t>稳步提高。投运</w:t>
      </w:r>
      <w:r>
        <w:rPr>
          <w:bCs/>
          <w:snapToGrid w:val="0"/>
          <w:kern w:val="0"/>
          <w:szCs w:val="32"/>
        </w:rPr>
        <w:t>路政信息化平台和交通应急二期项目，执法工作和应急处置信息化</w:t>
      </w:r>
      <w:r>
        <w:rPr>
          <w:rFonts w:hint="eastAsia"/>
          <w:bCs/>
          <w:snapToGrid w:val="0"/>
          <w:kern w:val="0"/>
          <w:szCs w:val="32"/>
        </w:rPr>
        <w:t>有效</w:t>
      </w:r>
      <w:r>
        <w:rPr>
          <w:bCs/>
          <w:snapToGrid w:val="0"/>
          <w:kern w:val="0"/>
          <w:szCs w:val="32"/>
        </w:rPr>
        <w:t>提升。</w:t>
      </w:r>
      <w:r>
        <w:rPr>
          <w:snapToGrid w:val="0"/>
          <w:kern w:val="0"/>
          <w:szCs w:val="32"/>
        </w:rPr>
        <w:t>全市道路危险货物运输企业电子运单系统使用率达100%</w:t>
      </w:r>
      <w:r>
        <w:rPr>
          <w:rFonts w:hint="eastAsia"/>
          <w:snapToGrid w:val="0"/>
          <w:kern w:val="0"/>
          <w:szCs w:val="32"/>
        </w:rPr>
        <w:t>。</w:t>
      </w:r>
      <w:r>
        <w:rPr>
          <w:snapToGrid w:val="0"/>
          <w:kern w:val="0"/>
          <w:szCs w:val="32"/>
        </w:rPr>
        <w:t>三级及以上客运站</w:t>
      </w:r>
      <w:r>
        <w:rPr>
          <w:rFonts w:hint="eastAsia"/>
          <w:snapToGrid w:val="0"/>
          <w:kern w:val="0"/>
          <w:szCs w:val="32"/>
        </w:rPr>
        <w:t>全部实现</w:t>
      </w:r>
      <w:r>
        <w:rPr>
          <w:snapToGrid w:val="0"/>
          <w:kern w:val="0"/>
          <w:szCs w:val="32"/>
        </w:rPr>
        <w:t>联网售票</w:t>
      </w:r>
      <w:r>
        <w:rPr>
          <w:rFonts w:hint="eastAsia"/>
          <w:snapToGrid w:val="0"/>
          <w:kern w:val="0"/>
          <w:szCs w:val="32"/>
        </w:rPr>
        <w:t>。高速公路车道实现ETC全覆盖，成安渝高速省界收费站为全国首批取消的省界收费站之一</w:t>
      </w:r>
      <w:r>
        <w:rPr>
          <w:snapToGrid w:val="0"/>
          <w:kern w:val="0"/>
          <w:szCs w:val="32"/>
        </w:rPr>
        <w:t>。</w:t>
      </w:r>
    </w:p>
    <w:p>
      <w:pPr>
        <w:pStyle w:val="2"/>
        <w:spacing w:after="0"/>
        <w:ind w:firstLine="643"/>
        <w:rPr>
          <w:b/>
          <w:bCs/>
          <w:snapToGrid w:val="0"/>
          <w:kern w:val="0"/>
          <w:szCs w:val="32"/>
        </w:rPr>
      </w:pPr>
      <w:r>
        <w:rPr>
          <w:rFonts w:eastAsia="楷体_GB2312"/>
          <w:b/>
          <w:bCs/>
          <w:szCs w:val="32"/>
        </w:rPr>
        <w:t>应急处置能力增强。</w:t>
      </w:r>
      <w:r>
        <w:rPr>
          <w:snapToGrid w:val="0"/>
          <w:kern w:val="0"/>
          <w:szCs w:val="32"/>
        </w:rPr>
        <w:t>依托超限检测站开展“双超”联合治理行动，实现货车超限</w:t>
      </w:r>
      <w:r>
        <w:rPr>
          <w:rFonts w:hint="eastAsia"/>
          <w:snapToGrid w:val="0"/>
          <w:kern w:val="0"/>
          <w:szCs w:val="32"/>
        </w:rPr>
        <w:t>超载</w:t>
      </w:r>
      <w:r>
        <w:rPr>
          <w:snapToGrid w:val="0"/>
          <w:kern w:val="0"/>
          <w:szCs w:val="32"/>
        </w:rPr>
        <w:t>率</w:t>
      </w:r>
      <w:r>
        <w:rPr>
          <w:rFonts w:hint="eastAsia"/>
          <w:snapToGrid w:val="0"/>
          <w:kern w:val="0"/>
          <w:szCs w:val="32"/>
        </w:rPr>
        <w:t>稳定</w:t>
      </w:r>
      <w:r>
        <w:rPr>
          <w:snapToGrid w:val="0"/>
          <w:kern w:val="0"/>
          <w:szCs w:val="32"/>
        </w:rPr>
        <w:t>控制在2</w:t>
      </w:r>
      <w:r>
        <w:rPr>
          <w:rFonts w:hint="eastAsia"/>
          <w:snapToGrid w:val="0"/>
          <w:kern w:val="0"/>
          <w:szCs w:val="32"/>
        </w:rPr>
        <w:t>%</w:t>
      </w:r>
      <w:r>
        <w:rPr>
          <w:snapToGrid w:val="0"/>
          <w:kern w:val="0"/>
          <w:szCs w:val="32"/>
        </w:rPr>
        <w:t>以下。加强运输资质管理和动态监管，打击违法违规违章行为，整改各项安全</w:t>
      </w:r>
      <w:r>
        <w:rPr>
          <w:rFonts w:hint="eastAsia"/>
          <w:snapToGrid w:val="0"/>
          <w:kern w:val="0"/>
          <w:szCs w:val="32"/>
        </w:rPr>
        <w:t>生产</w:t>
      </w:r>
      <w:r>
        <w:rPr>
          <w:snapToGrid w:val="0"/>
          <w:kern w:val="0"/>
          <w:szCs w:val="32"/>
        </w:rPr>
        <w:t>隐患问题，行业连续</w:t>
      </w:r>
      <w:r>
        <w:rPr>
          <w:rFonts w:hint="eastAsia"/>
          <w:snapToGrid w:val="0"/>
          <w:kern w:val="0"/>
          <w:szCs w:val="32"/>
        </w:rPr>
        <w:t>五</w:t>
      </w:r>
      <w:r>
        <w:rPr>
          <w:snapToGrid w:val="0"/>
          <w:kern w:val="0"/>
          <w:szCs w:val="32"/>
        </w:rPr>
        <w:t>年未发生重特大安全事故。</w:t>
      </w:r>
      <w:r>
        <w:rPr>
          <w:rFonts w:hint="eastAsia"/>
          <w:snapToGrid w:val="0"/>
          <w:kern w:val="0"/>
          <w:szCs w:val="32"/>
        </w:rPr>
        <w:t>严格</w:t>
      </w:r>
      <w:r>
        <w:rPr>
          <w:snapToGrid w:val="0"/>
          <w:kern w:val="0"/>
          <w:szCs w:val="32"/>
        </w:rPr>
        <w:t>落实</w:t>
      </w:r>
      <w:r>
        <w:rPr>
          <w:rFonts w:hint="eastAsia"/>
          <w:snapToGrid w:val="0"/>
          <w:kern w:val="0"/>
          <w:szCs w:val="32"/>
        </w:rPr>
        <w:t>行业应对</w:t>
      </w:r>
      <w:r>
        <w:rPr>
          <w:snapToGrid w:val="0"/>
          <w:kern w:val="0"/>
          <w:szCs w:val="32"/>
        </w:rPr>
        <w:t>疫情</w:t>
      </w:r>
      <w:r>
        <w:rPr>
          <w:rFonts w:hint="eastAsia"/>
          <w:snapToGrid w:val="0"/>
          <w:kern w:val="0"/>
          <w:szCs w:val="32"/>
        </w:rPr>
        <w:t>的</w:t>
      </w:r>
      <w:r>
        <w:rPr>
          <w:snapToGrid w:val="0"/>
          <w:kern w:val="0"/>
          <w:szCs w:val="32"/>
        </w:rPr>
        <w:t>“八项</w:t>
      </w:r>
      <w:r>
        <w:rPr>
          <w:rFonts w:hint="eastAsia"/>
          <w:snapToGrid w:val="0"/>
          <w:kern w:val="0"/>
          <w:szCs w:val="32"/>
        </w:rPr>
        <w:t>举</w:t>
      </w:r>
      <w:r>
        <w:rPr>
          <w:snapToGrid w:val="0"/>
          <w:kern w:val="0"/>
          <w:szCs w:val="32"/>
        </w:rPr>
        <w:t>措”，</w:t>
      </w:r>
      <w:r>
        <w:rPr>
          <w:rFonts w:hint="eastAsia"/>
          <w:snapToGrid w:val="0"/>
          <w:kern w:val="0"/>
          <w:szCs w:val="32"/>
        </w:rPr>
        <w:t>统筹做好疫情防控和交通运输保障工作</w:t>
      </w:r>
      <w:r>
        <w:rPr>
          <w:snapToGrid w:val="0"/>
          <w:kern w:val="0"/>
          <w:szCs w:val="32"/>
        </w:rPr>
        <w:t>。</w:t>
      </w:r>
    </w:p>
    <w:p>
      <w:pPr>
        <w:pStyle w:val="2"/>
        <w:spacing w:after="0"/>
        <w:ind w:firstLine="643"/>
        <w:rPr>
          <w:snapToGrid w:val="0"/>
          <w:kern w:val="0"/>
          <w:szCs w:val="32"/>
        </w:rPr>
      </w:pPr>
      <w:r>
        <w:rPr>
          <w:rFonts w:eastAsia="楷体_GB2312"/>
          <w:b/>
          <w:bCs/>
          <w:szCs w:val="32"/>
        </w:rPr>
        <w:t>绿色发展能力提升。</w:t>
      </w:r>
      <w:r>
        <w:rPr>
          <w:snapToGrid w:val="0"/>
          <w:kern w:val="0"/>
          <w:szCs w:val="32"/>
        </w:rPr>
        <w:t>严格项目环保考核，将环境保护纳入项目信用评价考核</w:t>
      </w:r>
      <w:r>
        <w:rPr>
          <w:rFonts w:hint="eastAsia"/>
          <w:snapToGrid w:val="0"/>
          <w:kern w:val="0"/>
          <w:szCs w:val="32"/>
        </w:rPr>
        <w:t>体系。</w:t>
      </w:r>
      <w:r>
        <w:rPr>
          <w:snapToGrid w:val="0"/>
          <w:kern w:val="0"/>
          <w:szCs w:val="32"/>
        </w:rPr>
        <w:t>实施机动车排放检验与维护（I/M）制度</w:t>
      </w:r>
      <w:r>
        <w:rPr>
          <w:rFonts w:hint="eastAsia"/>
          <w:snapToGrid w:val="0"/>
          <w:kern w:val="0"/>
          <w:szCs w:val="32"/>
        </w:rPr>
        <w:t>，加快淘汰高能耗、高排放老旧交通运输装备</w:t>
      </w:r>
      <w:r>
        <w:rPr>
          <w:snapToGrid w:val="0"/>
          <w:kern w:val="0"/>
          <w:szCs w:val="32"/>
        </w:rPr>
        <w:t>。</w:t>
      </w:r>
      <w:r>
        <w:rPr>
          <w:rFonts w:hint="eastAsia"/>
          <w:snapToGrid w:val="0"/>
          <w:kern w:val="0"/>
          <w:szCs w:val="32"/>
        </w:rPr>
        <w:t>制定《资阳市推进运输结构调整三年行动计划实施方案》，明确改进提升运输组织水平、</w:t>
      </w:r>
      <w:r>
        <w:rPr>
          <w:snapToGrid w:val="0"/>
          <w:kern w:val="0"/>
          <w:szCs w:val="32"/>
        </w:rPr>
        <w:t>深入实施多式联运示范工程</w:t>
      </w:r>
      <w:r>
        <w:rPr>
          <w:rFonts w:hint="eastAsia"/>
          <w:snapToGrid w:val="0"/>
          <w:kern w:val="0"/>
          <w:szCs w:val="32"/>
        </w:rPr>
        <w:t>、</w:t>
      </w:r>
      <w:r>
        <w:rPr>
          <w:snapToGrid w:val="0"/>
          <w:kern w:val="0"/>
          <w:szCs w:val="32"/>
        </w:rPr>
        <w:t>推进城市绿色货运配送示范工程</w:t>
      </w:r>
      <w:r>
        <w:rPr>
          <w:rFonts w:hint="eastAsia"/>
          <w:snapToGrid w:val="0"/>
          <w:kern w:val="0"/>
          <w:szCs w:val="32"/>
        </w:rPr>
        <w:t>等方向</w:t>
      </w:r>
      <w:r>
        <w:rPr>
          <w:snapToGrid w:val="0"/>
          <w:kern w:val="0"/>
          <w:szCs w:val="32"/>
        </w:rPr>
        <w:t>。积极</w:t>
      </w:r>
      <w:r>
        <w:rPr>
          <w:rFonts w:hint="eastAsia"/>
          <w:snapToGrid w:val="0"/>
          <w:kern w:val="0"/>
          <w:szCs w:val="32"/>
        </w:rPr>
        <w:t>落实国土</w:t>
      </w:r>
      <w:r>
        <w:rPr>
          <w:snapToGrid w:val="0"/>
          <w:kern w:val="0"/>
          <w:szCs w:val="32"/>
        </w:rPr>
        <w:t>绿化</w:t>
      </w:r>
      <w:r>
        <w:rPr>
          <w:rFonts w:hint="eastAsia"/>
          <w:snapToGrid w:val="0"/>
          <w:kern w:val="0"/>
          <w:szCs w:val="32"/>
        </w:rPr>
        <w:t>行动，</w:t>
      </w:r>
      <w:r>
        <w:rPr>
          <w:snapToGrid w:val="0"/>
          <w:kern w:val="0"/>
          <w:szCs w:val="32"/>
        </w:rPr>
        <w:t>主要通道绿化率</w:t>
      </w:r>
      <w:r>
        <w:rPr>
          <w:rFonts w:hint="eastAsia"/>
          <w:snapToGrid w:val="0"/>
          <w:kern w:val="0"/>
          <w:szCs w:val="32"/>
        </w:rPr>
        <w:t>超过</w:t>
      </w:r>
      <w:r>
        <w:rPr>
          <w:snapToGrid w:val="0"/>
          <w:kern w:val="0"/>
          <w:szCs w:val="32"/>
        </w:rPr>
        <w:t>90%。</w:t>
      </w:r>
    </w:p>
    <w:p>
      <w:pPr>
        <w:ind w:firstLine="643"/>
        <w:rPr>
          <w:snapToGrid w:val="0"/>
          <w:kern w:val="0"/>
          <w:szCs w:val="32"/>
        </w:rPr>
      </w:pPr>
      <w:r>
        <w:rPr>
          <w:rFonts w:eastAsia="楷体_GB2312"/>
          <w:b/>
          <w:bCs/>
          <w:szCs w:val="32"/>
        </w:rPr>
        <w:t>监管治理不断强化。</w:t>
      </w:r>
      <w:r>
        <w:rPr>
          <w:snapToGrid w:val="0"/>
          <w:kern w:val="0"/>
          <w:szCs w:val="32"/>
        </w:rPr>
        <w:t>加快推进“放管服”改革，</w:t>
      </w:r>
      <w:r>
        <w:rPr>
          <w:rFonts w:hint="eastAsia"/>
          <w:snapToGrid w:val="0"/>
          <w:kern w:val="0"/>
          <w:szCs w:val="32"/>
        </w:rPr>
        <w:t>组织</w:t>
      </w:r>
      <w:r>
        <w:rPr>
          <w:snapToGrid w:val="0"/>
          <w:kern w:val="0"/>
          <w:szCs w:val="32"/>
        </w:rPr>
        <w:t>开展“减证便民”</w:t>
      </w:r>
      <w:r>
        <w:rPr>
          <w:rFonts w:hint="eastAsia"/>
          <w:snapToGrid w:val="0"/>
          <w:kern w:val="0"/>
          <w:szCs w:val="32"/>
        </w:rPr>
        <w:t>专项</w:t>
      </w:r>
      <w:r>
        <w:rPr>
          <w:snapToGrid w:val="0"/>
          <w:kern w:val="0"/>
          <w:szCs w:val="32"/>
        </w:rPr>
        <w:t>行动，取消36项交通行政审批事项</w:t>
      </w:r>
      <w:r>
        <w:rPr>
          <w:rFonts w:hint="eastAsia"/>
          <w:snapToGrid w:val="0"/>
          <w:kern w:val="0"/>
          <w:szCs w:val="32"/>
        </w:rPr>
        <w:t>，</w:t>
      </w:r>
      <w:r>
        <w:rPr>
          <w:snapToGrid w:val="0"/>
          <w:kern w:val="0"/>
          <w:szCs w:val="32"/>
        </w:rPr>
        <w:t>公共服务项目实</w:t>
      </w:r>
      <w:r>
        <w:rPr>
          <w:rFonts w:hint="eastAsia"/>
          <w:snapToGrid w:val="0"/>
          <w:kern w:val="0"/>
          <w:szCs w:val="32"/>
        </w:rPr>
        <w:t>现</w:t>
      </w:r>
      <w:r>
        <w:rPr>
          <w:snapToGrid w:val="0"/>
          <w:kern w:val="0"/>
          <w:szCs w:val="32"/>
        </w:rPr>
        <w:t>“一站式”集中办理。深入开展扫黑除恶专项斗争乱点乱象整治行动和道路运输服务提</w:t>
      </w:r>
      <w:r>
        <w:rPr>
          <w:rFonts w:hint="eastAsia"/>
          <w:snapToGrid w:val="0"/>
          <w:kern w:val="0"/>
          <w:szCs w:val="32"/>
        </w:rPr>
        <w:t>质</w:t>
      </w:r>
      <w:r>
        <w:rPr>
          <w:snapToGrid w:val="0"/>
          <w:kern w:val="0"/>
          <w:szCs w:val="32"/>
        </w:rPr>
        <w:t>活动，重点对道路客运“黑车”及地下班线、驾驶培训、道路货运、工程拆建、出租汽车、客运服务、冲闯超限检测站等七大领域乱象开展专项整治。</w:t>
      </w:r>
    </w:p>
    <w:p>
      <w:pPr>
        <w:pStyle w:val="2"/>
        <w:spacing w:after="0"/>
        <w:ind w:firstLine="643"/>
        <w:rPr>
          <w:rFonts w:eastAsia="楷体_GB2312"/>
          <w:b/>
          <w:bCs/>
          <w:szCs w:val="32"/>
        </w:rPr>
      </w:pPr>
      <w:r>
        <w:rPr>
          <w:rFonts w:hint="eastAsia" w:eastAsia="楷体_GB2312"/>
          <w:b/>
          <w:bCs/>
          <w:szCs w:val="32"/>
        </w:rPr>
        <w:t>4.</w:t>
      </w:r>
      <w:r>
        <w:rPr>
          <w:rFonts w:eastAsia="楷体_GB2312"/>
          <w:b/>
          <w:bCs/>
          <w:szCs w:val="32"/>
        </w:rPr>
        <w:t xml:space="preserve"> </w:t>
      </w:r>
      <w:r>
        <w:rPr>
          <w:rFonts w:hint="eastAsia" w:eastAsia="楷体_GB2312"/>
          <w:b/>
          <w:bCs/>
          <w:szCs w:val="32"/>
        </w:rPr>
        <w:t>成资交通同城同网成效显著</w:t>
      </w:r>
    </w:p>
    <w:p>
      <w:pPr>
        <w:pStyle w:val="2"/>
        <w:spacing w:after="0"/>
        <w:ind w:firstLine="640"/>
        <w:rPr>
          <w:snapToGrid w:val="0"/>
          <w:kern w:val="0"/>
          <w:szCs w:val="32"/>
        </w:rPr>
      </w:pPr>
      <w:r>
        <w:rPr>
          <w:rFonts w:hint="eastAsia"/>
          <w:snapToGrid w:val="0"/>
          <w:kern w:val="0"/>
          <w:szCs w:val="32"/>
        </w:rPr>
        <w:t>成资</w:t>
      </w:r>
      <w:r>
        <w:rPr>
          <w:snapToGrid w:val="0"/>
          <w:kern w:val="0"/>
          <w:szCs w:val="32"/>
        </w:rPr>
        <w:t>两地交通部门建立部门联席会议商讨、重要业务日常承办、重点课题现场调研三大工作机制</w:t>
      </w:r>
      <w:r>
        <w:rPr>
          <w:rFonts w:hint="eastAsia"/>
          <w:snapToGrid w:val="0"/>
          <w:kern w:val="0"/>
          <w:szCs w:val="32"/>
        </w:rPr>
        <w:t>，签订</w:t>
      </w:r>
      <w:r>
        <w:rPr>
          <w:snapToGrid w:val="0"/>
          <w:kern w:val="0"/>
          <w:szCs w:val="32"/>
        </w:rPr>
        <w:t>《成资同城化交通</w:t>
      </w:r>
      <w:r>
        <w:rPr>
          <w:rFonts w:hint="eastAsia"/>
          <w:snapToGrid w:val="0"/>
          <w:kern w:val="0"/>
          <w:szCs w:val="32"/>
        </w:rPr>
        <w:t>建设项目</w:t>
      </w:r>
      <w:r>
        <w:rPr>
          <w:snapToGrid w:val="0"/>
          <w:kern w:val="0"/>
          <w:szCs w:val="32"/>
        </w:rPr>
        <w:t>合作</w:t>
      </w:r>
      <w:r>
        <w:rPr>
          <w:rFonts w:hint="eastAsia"/>
          <w:snapToGrid w:val="0"/>
          <w:kern w:val="0"/>
          <w:szCs w:val="32"/>
        </w:rPr>
        <w:t>框架</w:t>
      </w:r>
      <w:r>
        <w:rPr>
          <w:snapToGrid w:val="0"/>
          <w:kern w:val="0"/>
          <w:szCs w:val="32"/>
        </w:rPr>
        <w:t>协议》等</w:t>
      </w:r>
      <w:r>
        <w:rPr>
          <w:rFonts w:hint="eastAsia"/>
          <w:snapToGrid w:val="0"/>
          <w:kern w:val="0"/>
          <w:szCs w:val="32"/>
        </w:rPr>
        <w:t>合作协议，规划形成成资间“4高9轨9快”的城际快速交通网络，成安渝高速、成资渝高速建成通车，成自宜高铁、轨道交通资阳线、成资大道等一批重大项目开工建设。成渝高铁公交化运营改造率先推进，“天府通</w:t>
      </w:r>
      <w:r>
        <w:rPr>
          <w:rFonts w:hint="cs"/>
          <w:snapToGrid w:val="0"/>
          <w:kern w:val="0"/>
          <w:szCs w:val="32"/>
        </w:rPr>
        <w:t>•</w:t>
      </w:r>
      <w:r>
        <w:rPr>
          <w:rFonts w:hint="eastAsia"/>
          <w:snapToGrid w:val="0"/>
          <w:kern w:val="0"/>
          <w:szCs w:val="32"/>
        </w:rPr>
        <w:t>成资通”率先发行，实现成资两地常规公交、轨道交通“一卡通”互联互惠互通。</w:t>
      </w:r>
    </w:p>
    <w:tbl>
      <w:tblPr>
        <w:tblStyle w:val="21"/>
        <w:tblW w:w="5000"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专栏</w:t>
            </w:r>
            <w:r>
              <w:rPr>
                <w:rFonts w:hint="eastAsia" w:eastAsia="黑体"/>
                <w:bCs/>
                <w:color w:val="000000"/>
                <w:sz w:val="24"/>
              </w:rPr>
              <w:t>2</w:t>
            </w:r>
            <w:r>
              <w:rPr>
                <w:rFonts w:eastAsia="黑体"/>
                <w:bCs/>
                <w:color w:val="000000"/>
                <w:sz w:val="24"/>
              </w:rPr>
              <w:t xml:space="preserve">   </w:t>
            </w:r>
            <w:r>
              <w:rPr>
                <w:rFonts w:hint="eastAsia" w:eastAsia="黑体"/>
                <w:bCs/>
                <w:color w:val="000000"/>
                <w:sz w:val="24"/>
              </w:rPr>
              <w:t>成资两地签署主要交通合作协议及共同参与规划</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354" w:hRule="atLeast"/>
          <w:jc w:val="center"/>
        </w:trPr>
        <w:tc>
          <w:tcPr>
            <w:tcW w:w="5000" w:type="pct"/>
            <w:shd w:val="solid" w:color="FFFFFF" w:fill="auto"/>
            <w:noWrap/>
            <w:vAlign w:val="center"/>
          </w:tcPr>
          <w:p>
            <w:pPr>
              <w:pStyle w:val="2"/>
              <w:spacing w:after="0"/>
              <w:ind w:firstLine="480"/>
              <w:rPr>
                <w:sz w:val="24"/>
              </w:rPr>
            </w:pPr>
            <w:r>
              <w:rPr>
                <w:sz w:val="24"/>
              </w:rPr>
              <w:t>（1）《成资临空大道建设合作协议》共同争取纳入普通国道（G321）局部路线调整规划、推进成资临空大道建设，2018年9月签订</w:t>
            </w:r>
            <w:r>
              <w:rPr>
                <w:rFonts w:hint="eastAsia"/>
                <w:sz w:val="24"/>
              </w:rPr>
              <w:t>。</w:t>
            </w:r>
          </w:p>
          <w:p>
            <w:pPr>
              <w:pStyle w:val="2"/>
              <w:spacing w:after="0"/>
              <w:ind w:firstLine="480"/>
              <w:rPr>
                <w:sz w:val="24"/>
              </w:rPr>
            </w:pPr>
            <w:r>
              <w:rPr>
                <w:sz w:val="24"/>
              </w:rPr>
              <w:t>（2）《蜀都大道东延线资简段、乐简段规划建设合作框架协议》共同推进资简段、乐简段建设，2018年9月签订</w:t>
            </w:r>
            <w:r>
              <w:rPr>
                <w:rFonts w:hint="eastAsia"/>
                <w:sz w:val="24"/>
              </w:rPr>
              <w:t>。</w:t>
            </w:r>
          </w:p>
          <w:p>
            <w:pPr>
              <w:pStyle w:val="2"/>
              <w:spacing w:after="0"/>
              <w:ind w:firstLine="480"/>
              <w:rPr>
                <w:sz w:val="24"/>
              </w:rPr>
            </w:pPr>
            <w:r>
              <w:rPr>
                <w:sz w:val="24"/>
              </w:rPr>
              <w:t>（3）《成资同城化交通运输发展合作协议》协调制定交通运输规划、推进交通项目建设和公交一体化发展，2018年11月签订</w:t>
            </w:r>
            <w:r>
              <w:rPr>
                <w:rFonts w:hint="eastAsia"/>
                <w:sz w:val="24"/>
              </w:rPr>
              <w:t>。</w:t>
            </w:r>
          </w:p>
          <w:p>
            <w:pPr>
              <w:pStyle w:val="2"/>
              <w:spacing w:after="0"/>
              <w:ind w:firstLine="480"/>
              <w:rPr>
                <w:sz w:val="24"/>
              </w:rPr>
            </w:pPr>
            <w:r>
              <w:rPr>
                <w:sz w:val="24"/>
              </w:rPr>
              <w:t>（4）《天府通—资阳公交业务合作协议》推进成资公共交通领域（公交和地铁）互通互惠，2018年11月签订</w:t>
            </w:r>
            <w:r>
              <w:rPr>
                <w:rFonts w:hint="eastAsia"/>
                <w:sz w:val="24"/>
              </w:rPr>
              <w:t>。</w:t>
            </w:r>
          </w:p>
          <w:p>
            <w:pPr>
              <w:pStyle w:val="2"/>
              <w:spacing w:after="0"/>
              <w:ind w:firstLine="480"/>
              <w:rPr>
                <w:sz w:val="24"/>
              </w:rPr>
            </w:pPr>
            <w:r>
              <w:rPr>
                <w:sz w:val="24"/>
              </w:rPr>
              <w:t>（5）《成资大道建设合作协议》共同推进成资大道建设，2019年4月签订</w:t>
            </w:r>
            <w:r>
              <w:rPr>
                <w:rFonts w:hint="eastAsia"/>
                <w:sz w:val="24"/>
              </w:rPr>
              <w:t>。</w:t>
            </w:r>
          </w:p>
          <w:p>
            <w:pPr>
              <w:ind w:firstLine="480"/>
              <w:rPr>
                <w:sz w:val="24"/>
              </w:rPr>
            </w:pPr>
            <w:r>
              <w:rPr>
                <w:sz w:val="24"/>
              </w:rPr>
              <w:t>（6）《成资同城化交通建设项目合作框架协议》涉及交通规划融合发展、快速通道加密工程、农村公路通畅工程、市际公交开行工程，2020年4月签订</w:t>
            </w:r>
            <w:r>
              <w:rPr>
                <w:rFonts w:hint="eastAsia"/>
                <w:sz w:val="24"/>
              </w:rPr>
              <w:t>。</w:t>
            </w:r>
          </w:p>
          <w:p>
            <w:pPr>
              <w:ind w:firstLine="480"/>
              <w:rPr>
                <w:sz w:val="24"/>
              </w:rPr>
            </w:pPr>
            <w:r>
              <w:rPr>
                <w:sz w:val="24"/>
              </w:rPr>
              <w:t>（7）《“绿色资阳”发展战略合作协议》推动“零碳”交通体系建设，2020年4月签订</w:t>
            </w:r>
            <w:r>
              <w:rPr>
                <w:rFonts w:hint="eastAsia"/>
                <w:sz w:val="24"/>
              </w:rPr>
              <w:t>。</w:t>
            </w:r>
          </w:p>
          <w:p>
            <w:pPr>
              <w:adjustRightInd w:val="0"/>
              <w:snapToGrid w:val="0"/>
              <w:ind w:firstLine="480"/>
              <w:rPr>
                <w:sz w:val="24"/>
              </w:rPr>
            </w:pPr>
            <w:r>
              <w:rPr>
                <w:sz w:val="24"/>
              </w:rPr>
              <w:t>（8）《成德眉资打通同城化城际“断头路”行动计划》涉及成资间6条“断头路”打通，2020年5月签订</w:t>
            </w:r>
            <w:r>
              <w:rPr>
                <w:rFonts w:hint="eastAsia"/>
                <w:sz w:val="24"/>
              </w:rPr>
              <w:t>。</w:t>
            </w:r>
          </w:p>
          <w:p>
            <w:pPr>
              <w:pStyle w:val="2"/>
              <w:spacing w:after="0"/>
              <w:ind w:firstLine="480"/>
              <w:rPr>
                <w:sz w:val="24"/>
              </w:rPr>
            </w:pPr>
            <w:r>
              <w:rPr>
                <w:sz w:val="24"/>
              </w:rPr>
              <w:t>（9）《成德眉资同城化暨成都都市圈交通基础设施互联互通三年行动实施方案（2020-2022年）》推动都市圈交通“同城同网”建设，2020年7月审议</w:t>
            </w:r>
            <w:r>
              <w:rPr>
                <w:rFonts w:hint="eastAsia"/>
                <w:sz w:val="24"/>
              </w:rPr>
              <w:t>。</w:t>
            </w:r>
          </w:p>
          <w:p>
            <w:pPr>
              <w:pStyle w:val="2"/>
              <w:spacing w:after="0"/>
              <w:ind w:firstLine="480"/>
              <w:rPr>
                <w:sz w:val="24"/>
              </w:rPr>
            </w:pPr>
            <w:r>
              <w:rPr>
                <w:sz w:val="24"/>
              </w:rPr>
              <w:t>（10）《成德眉资同城化交通基础设施专项规划（2020-2025年）》推动形成都市圈多层次综合交通网络和枢纽体系，2020年8月审议</w:t>
            </w:r>
            <w:r>
              <w:rPr>
                <w:rFonts w:hint="eastAsia"/>
                <w:sz w:val="24"/>
              </w:rPr>
              <w:t>。</w:t>
            </w:r>
          </w:p>
          <w:p>
            <w:pPr>
              <w:pStyle w:val="2"/>
              <w:spacing w:after="0"/>
              <w:ind w:firstLine="480"/>
              <w:rPr>
                <w:sz w:val="24"/>
              </w:rPr>
            </w:pPr>
            <w:r>
              <w:rPr>
                <w:rFonts w:hint="eastAsia"/>
                <w:sz w:val="24"/>
              </w:rPr>
              <w:t>（</w:t>
            </w:r>
            <w:r>
              <w:rPr>
                <w:sz w:val="24"/>
              </w:rPr>
              <w:t>11</w:t>
            </w:r>
            <w:r>
              <w:rPr>
                <w:rFonts w:hint="eastAsia"/>
                <w:sz w:val="24"/>
              </w:rPr>
              <w:t>）《轨道交通资阳线共建共管协议》推进轨道交通资阳线建设，</w:t>
            </w:r>
            <w:r>
              <w:rPr>
                <w:sz w:val="24"/>
              </w:rPr>
              <w:t>2020年7月签订</w:t>
            </w:r>
            <w:r>
              <w:rPr>
                <w:rFonts w:hint="eastAsia"/>
                <w:sz w:val="24"/>
              </w:rPr>
              <w:t>。</w:t>
            </w:r>
          </w:p>
          <w:p>
            <w:pPr>
              <w:pStyle w:val="2"/>
              <w:spacing w:after="0"/>
              <w:ind w:firstLine="480"/>
              <w:rPr>
                <w:sz w:val="24"/>
              </w:rPr>
            </w:pPr>
            <w:r>
              <w:rPr>
                <w:rFonts w:hint="eastAsia"/>
                <w:sz w:val="24"/>
              </w:rPr>
              <w:t>（</w:t>
            </w:r>
            <w:r>
              <w:rPr>
                <w:sz w:val="24"/>
              </w:rPr>
              <w:t>12</w:t>
            </w:r>
            <w:r>
              <w:rPr>
                <w:rFonts w:hint="eastAsia"/>
                <w:sz w:val="24"/>
              </w:rPr>
              <w:t>）《成都外环铁路共建共管框架合作协议》推进成都外环铁路建设，</w:t>
            </w:r>
            <w:r>
              <w:rPr>
                <w:sz w:val="24"/>
              </w:rPr>
              <w:t>2020年7月签订。</w:t>
            </w:r>
          </w:p>
        </w:tc>
      </w:tr>
    </w:tbl>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13" w:name="_Toc72864726"/>
      <w:r>
        <w:rPr>
          <w:rFonts w:ascii="Times New Roman" w:hAnsi="Times New Roman" w:eastAsia="楷体_GB2312" w:cs="Times New Roman"/>
        </w:rPr>
        <w:t>（</w:t>
      </w:r>
      <w:r>
        <w:rPr>
          <w:rFonts w:hint="eastAsia" w:ascii="Times New Roman" w:hAnsi="Times New Roman" w:eastAsia="楷体_GB2312" w:cs="Times New Roman"/>
        </w:rPr>
        <w:t>二</w:t>
      </w:r>
      <w:r>
        <w:rPr>
          <w:rFonts w:ascii="Times New Roman" w:hAnsi="Times New Roman" w:eastAsia="楷体_GB2312" w:cs="Times New Roman"/>
        </w:rPr>
        <w:t>）存在问题</w:t>
      </w:r>
      <w:bookmarkEnd w:id="13"/>
    </w:p>
    <w:p>
      <w:pPr>
        <w:ind w:firstLine="640"/>
      </w:pPr>
      <w:r>
        <w:rPr>
          <w:rFonts w:hint="eastAsia"/>
          <w:snapToGrid w:val="0"/>
          <w:kern w:val="0"/>
          <w:szCs w:val="32"/>
        </w:rPr>
        <w:t>对标建设“成渝门户枢纽、临空新兴城市”的总体要求</w:t>
      </w:r>
      <w:r>
        <w:rPr>
          <w:snapToGrid w:val="0"/>
          <w:kern w:val="0"/>
          <w:szCs w:val="32"/>
        </w:rPr>
        <w:t>，</w:t>
      </w:r>
      <w:r>
        <w:rPr>
          <w:rFonts w:hint="eastAsia"/>
          <w:snapToGrid w:val="0"/>
          <w:kern w:val="0"/>
          <w:szCs w:val="32"/>
        </w:rPr>
        <w:t>全市综合交通运输体系还存在一些发展不平衡不充分的问题</w:t>
      </w:r>
      <w:r>
        <w:rPr>
          <w:snapToGrid w:val="0"/>
          <w:kern w:val="0"/>
          <w:szCs w:val="32"/>
        </w:rPr>
        <w:t>：</w:t>
      </w:r>
    </w:p>
    <w:p>
      <w:pPr>
        <w:pStyle w:val="6"/>
        <w:spacing w:before="0" w:after="0" w:line="360" w:lineRule="auto"/>
        <w:ind w:firstLine="643"/>
        <w:rPr>
          <w:rFonts w:ascii="Times New Roman" w:hAnsi="Times New Roman" w:eastAsia="仿宋_GB2312" w:cs="Times New Roman"/>
        </w:rPr>
      </w:pPr>
      <w:r>
        <w:rPr>
          <w:rFonts w:ascii="Times New Roman" w:hAnsi="Times New Roman" w:eastAsia="楷体_GB2312" w:cs="Times New Roman"/>
          <w:sz w:val="32"/>
          <w:szCs w:val="32"/>
        </w:rPr>
        <w:t>1. 基础设施</w:t>
      </w:r>
      <w:r>
        <w:rPr>
          <w:rFonts w:hint="eastAsia" w:ascii="Times New Roman" w:hAnsi="Times New Roman" w:eastAsia="楷体_GB2312" w:cs="Times New Roman"/>
          <w:sz w:val="32"/>
          <w:szCs w:val="32"/>
        </w:rPr>
        <w:t>有</w:t>
      </w:r>
      <w:r>
        <w:rPr>
          <w:rFonts w:ascii="Times New Roman" w:hAnsi="Times New Roman" w:eastAsia="楷体_GB2312" w:cs="Times New Roman"/>
          <w:sz w:val="32"/>
          <w:szCs w:val="32"/>
        </w:rPr>
        <w:t>待完善</w:t>
      </w:r>
    </w:p>
    <w:p>
      <w:pPr>
        <w:ind w:firstLine="643"/>
        <w:rPr>
          <w:snapToGrid w:val="0"/>
          <w:kern w:val="0"/>
          <w:szCs w:val="32"/>
        </w:rPr>
      </w:pPr>
      <w:r>
        <w:rPr>
          <w:rFonts w:hint="eastAsia" w:eastAsia="楷体_GB2312"/>
          <w:b/>
          <w:bCs/>
          <w:szCs w:val="32"/>
        </w:rPr>
        <w:t>外联</w:t>
      </w:r>
      <w:r>
        <w:rPr>
          <w:rFonts w:eastAsia="楷体_GB2312"/>
          <w:b/>
          <w:bCs/>
          <w:szCs w:val="32"/>
        </w:rPr>
        <w:t>通道仍</w:t>
      </w:r>
      <w:r>
        <w:rPr>
          <w:rFonts w:hint="eastAsia" w:eastAsia="楷体_GB2312"/>
          <w:b/>
          <w:bCs/>
          <w:szCs w:val="32"/>
        </w:rPr>
        <w:t>有短板</w:t>
      </w:r>
      <w:r>
        <w:rPr>
          <w:rFonts w:eastAsia="楷体_GB2312"/>
          <w:b/>
          <w:bCs/>
          <w:szCs w:val="32"/>
        </w:rPr>
        <w:t>。</w:t>
      </w:r>
      <w:r>
        <w:rPr>
          <w:snapToGrid w:val="0"/>
          <w:kern w:val="0"/>
          <w:szCs w:val="32"/>
        </w:rPr>
        <w:t>铁路</w:t>
      </w:r>
      <w:r>
        <w:rPr>
          <w:rFonts w:hint="eastAsia"/>
          <w:snapToGrid w:val="0"/>
          <w:kern w:val="0"/>
          <w:szCs w:val="32"/>
        </w:rPr>
        <w:t>网布局不均衡，</w:t>
      </w:r>
      <w:r>
        <w:rPr>
          <w:snapToGrid w:val="0"/>
          <w:kern w:val="0"/>
          <w:szCs w:val="32"/>
        </w:rPr>
        <w:t>仅在市域西侧</w:t>
      </w:r>
      <w:r>
        <w:rPr>
          <w:rFonts w:hint="eastAsia"/>
          <w:snapToGrid w:val="0"/>
          <w:kern w:val="0"/>
          <w:szCs w:val="32"/>
        </w:rPr>
        <w:t>分布，安岳、乐至尚未通达铁路。快</w:t>
      </w:r>
      <w:r>
        <w:rPr>
          <w:snapToGrid w:val="0"/>
          <w:kern w:val="0"/>
          <w:szCs w:val="32"/>
        </w:rPr>
        <w:t>速公路</w:t>
      </w:r>
      <w:r>
        <w:rPr>
          <w:rFonts w:hint="eastAsia"/>
          <w:snapToGrid w:val="0"/>
          <w:kern w:val="0"/>
          <w:szCs w:val="32"/>
        </w:rPr>
        <w:t>建设滞后，全市尚无一条城际快速通道，与眉山、德阳差距较大（眉山一级公路</w:t>
      </w:r>
      <w:r>
        <w:rPr>
          <w:snapToGrid w:val="0"/>
          <w:kern w:val="0"/>
          <w:szCs w:val="32"/>
        </w:rPr>
        <w:t>256</w:t>
      </w:r>
      <w:r>
        <w:rPr>
          <w:rFonts w:hint="eastAsia"/>
          <w:snapToGrid w:val="0"/>
          <w:kern w:val="0"/>
          <w:szCs w:val="32"/>
        </w:rPr>
        <w:t>公里，成眉间建成</w:t>
      </w:r>
      <w:r>
        <w:rPr>
          <w:snapToGrid w:val="0"/>
          <w:kern w:val="0"/>
          <w:szCs w:val="32"/>
        </w:rPr>
        <w:t>2</w:t>
      </w:r>
      <w:r>
        <w:rPr>
          <w:rFonts w:hint="eastAsia"/>
          <w:snapToGrid w:val="0"/>
          <w:kern w:val="0"/>
          <w:szCs w:val="32"/>
        </w:rPr>
        <w:t>条跨市域快速通道；德阳一级公路</w:t>
      </w:r>
      <w:r>
        <w:rPr>
          <w:snapToGrid w:val="0"/>
          <w:kern w:val="0"/>
          <w:szCs w:val="32"/>
        </w:rPr>
        <w:t>456</w:t>
      </w:r>
      <w:r>
        <w:rPr>
          <w:rFonts w:hint="eastAsia"/>
          <w:snapToGrid w:val="0"/>
          <w:kern w:val="0"/>
          <w:szCs w:val="32"/>
        </w:rPr>
        <w:t>公里，成德间建成</w:t>
      </w:r>
      <w:r>
        <w:rPr>
          <w:snapToGrid w:val="0"/>
          <w:kern w:val="0"/>
          <w:szCs w:val="32"/>
        </w:rPr>
        <w:t>4</w:t>
      </w:r>
      <w:r>
        <w:rPr>
          <w:rFonts w:hint="eastAsia"/>
          <w:snapToGrid w:val="0"/>
          <w:kern w:val="0"/>
          <w:szCs w:val="32"/>
        </w:rPr>
        <w:t>条跨市域快速通道）。</w:t>
      </w:r>
    </w:p>
    <w:p>
      <w:pPr>
        <w:ind w:firstLine="643"/>
        <w:rPr>
          <w:snapToGrid w:val="0"/>
          <w:kern w:val="0"/>
          <w:szCs w:val="32"/>
        </w:rPr>
      </w:pPr>
      <w:r>
        <w:rPr>
          <w:rFonts w:hint="eastAsia" w:eastAsia="楷体_GB2312"/>
          <w:b/>
          <w:bCs/>
          <w:szCs w:val="32"/>
        </w:rPr>
        <w:t>内畅网络仍未形成</w:t>
      </w:r>
      <w:r>
        <w:rPr>
          <w:rFonts w:eastAsia="楷体_GB2312"/>
          <w:b/>
          <w:bCs/>
          <w:szCs w:val="32"/>
        </w:rPr>
        <w:t>。</w:t>
      </w:r>
      <w:r>
        <w:rPr>
          <w:rFonts w:hint="eastAsia"/>
          <w:snapToGrid w:val="0"/>
          <w:kern w:val="0"/>
          <w:szCs w:val="32"/>
        </w:rPr>
        <w:t>普通干线公路技术状况不优，S</w:t>
      </w:r>
      <w:r>
        <w:rPr>
          <w:snapToGrid w:val="0"/>
          <w:kern w:val="0"/>
          <w:szCs w:val="32"/>
        </w:rPr>
        <w:t>102</w:t>
      </w:r>
      <w:r>
        <w:rPr>
          <w:rFonts w:hint="eastAsia"/>
          <w:snapToGrid w:val="0"/>
          <w:kern w:val="0"/>
          <w:szCs w:val="32"/>
        </w:rPr>
        <w:t>、S</w:t>
      </w:r>
      <w:r>
        <w:rPr>
          <w:snapToGrid w:val="0"/>
          <w:kern w:val="0"/>
          <w:szCs w:val="32"/>
        </w:rPr>
        <w:t>422仍未全线贯通</w:t>
      </w:r>
      <w:r>
        <w:rPr>
          <w:rFonts w:hint="eastAsia"/>
          <w:snapToGrid w:val="0"/>
          <w:kern w:val="0"/>
          <w:szCs w:val="32"/>
        </w:rPr>
        <w:t>，5</w:t>
      </w:r>
      <w:r>
        <w:rPr>
          <w:snapToGrid w:val="0"/>
          <w:kern w:val="0"/>
          <w:szCs w:val="32"/>
        </w:rPr>
        <w:t>5%的普通省道</w:t>
      </w:r>
      <w:r>
        <w:rPr>
          <w:rFonts w:hint="eastAsia"/>
          <w:snapToGrid w:val="0"/>
          <w:kern w:val="0"/>
          <w:szCs w:val="32"/>
        </w:rPr>
        <w:t>未达到三级公路</w:t>
      </w:r>
      <w:r>
        <w:rPr>
          <w:snapToGrid w:val="0"/>
          <w:kern w:val="0"/>
          <w:szCs w:val="32"/>
        </w:rPr>
        <w:t>标准</w:t>
      </w:r>
      <w:r>
        <w:rPr>
          <w:rFonts w:hint="eastAsia"/>
          <w:snapToGrid w:val="0"/>
          <w:kern w:val="0"/>
          <w:szCs w:val="32"/>
        </w:rPr>
        <w:t>，部分城镇过境段街道化现象严重</w:t>
      </w:r>
      <w:r>
        <w:rPr>
          <w:snapToGrid w:val="0"/>
          <w:kern w:val="0"/>
          <w:szCs w:val="32"/>
        </w:rPr>
        <w:t>。</w:t>
      </w:r>
      <w:r>
        <w:rPr>
          <w:rFonts w:hint="eastAsia"/>
          <w:snapToGrid w:val="0"/>
          <w:kern w:val="0"/>
          <w:szCs w:val="32"/>
        </w:rPr>
        <w:t>农村公路品质不高</w:t>
      </w:r>
      <w:r>
        <w:rPr>
          <w:snapToGrid w:val="0"/>
          <w:kern w:val="0"/>
          <w:szCs w:val="32"/>
        </w:rPr>
        <w:t>，</w:t>
      </w:r>
      <w:r>
        <w:rPr>
          <w:rFonts w:hint="eastAsia"/>
          <w:snapToGrid w:val="0"/>
          <w:kern w:val="0"/>
          <w:szCs w:val="32"/>
        </w:rPr>
        <w:t>仍有</w:t>
      </w:r>
      <w:r>
        <w:rPr>
          <w:snapToGrid w:val="0"/>
          <w:kern w:val="0"/>
          <w:szCs w:val="32"/>
        </w:rPr>
        <w:t>420</w:t>
      </w:r>
      <w:r>
        <w:rPr>
          <w:rFonts w:hint="eastAsia"/>
          <w:snapToGrid w:val="0"/>
          <w:kern w:val="0"/>
          <w:szCs w:val="32"/>
        </w:rPr>
        <w:t>公里县道、3</w:t>
      </w:r>
      <w:r>
        <w:rPr>
          <w:snapToGrid w:val="0"/>
          <w:kern w:val="0"/>
          <w:szCs w:val="32"/>
        </w:rPr>
        <w:t>057</w:t>
      </w:r>
      <w:r>
        <w:rPr>
          <w:rFonts w:hint="eastAsia"/>
          <w:snapToGrid w:val="0"/>
          <w:kern w:val="0"/>
          <w:szCs w:val="32"/>
        </w:rPr>
        <w:t>公里乡道的路面宽度为3</w:t>
      </w:r>
      <w:r>
        <w:rPr>
          <w:snapToGrid w:val="0"/>
          <w:kern w:val="0"/>
          <w:szCs w:val="32"/>
        </w:rPr>
        <w:t>.5</w:t>
      </w:r>
      <w:r>
        <w:rPr>
          <w:rFonts w:hint="eastAsia"/>
          <w:snapToGrid w:val="0"/>
          <w:kern w:val="0"/>
          <w:szCs w:val="32"/>
        </w:rPr>
        <w:t>米及以下（县道、乡道路面最低宽度分别为6.5、5.5米），</w:t>
      </w:r>
      <w:r>
        <w:rPr>
          <w:snapToGrid w:val="0"/>
          <w:kern w:val="0"/>
          <w:szCs w:val="32"/>
        </w:rPr>
        <w:t>44</w:t>
      </w:r>
      <w:r>
        <w:rPr>
          <w:rFonts w:hint="eastAsia"/>
          <w:snapToGrid w:val="0"/>
          <w:kern w:val="0"/>
          <w:szCs w:val="32"/>
        </w:rPr>
        <w:t>%的乡镇未实现三级公路连通，乐至简阳相连片区、安岳东南片区、市域中部片区的</w:t>
      </w:r>
      <w:r>
        <w:rPr>
          <w:snapToGrid w:val="0"/>
          <w:kern w:val="0"/>
          <w:szCs w:val="32"/>
        </w:rPr>
        <w:t>农村交通条件</w:t>
      </w:r>
      <w:r>
        <w:rPr>
          <w:rFonts w:hint="eastAsia"/>
          <w:snapToGrid w:val="0"/>
          <w:kern w:val="0"/>
          <w:szCs w:val="32"/>
        </w:rPr>
        <w:t>较为落后</w:t>
      </w:r>
      <w:r>
        <w:rPr>
          <w:snapToGrid w:val="0"/>
          <w:kern w:val="0"/>
          <w:szCs w:val="32"/>
        </w:rPr>
        <w:t>。</w:t>
      </w:r>
      <w:r>
        <w:rPr>
          <w:rFonts w:hint="eastAsia"/>
          <w:snapToGrid w:val="0"/>
          <w:kern w:val="0"/>
          <w:szCs w:val="32"/>
        </w:rPr>
        <w:t>服务支撑产业不足，部分产业功能区、旅游景点</w:t>
      </w:r>
      <w:bookmarkStart w:id="14" w:name="_Hlk71394169"/>
      <w:r>
        <w:rPr>
          <w:rFonts w:hint="eastAsia"/>
          <w:snapToGrid w:val="0"/>
          <w:kern w:val="0"/>
          <w:szCs w:val="32"/>
        </w:rPr>
        <w:t>尚存在打通“最后一公里”问题。</w:t>
      </w:r>
      <w:bookmarkEnd w:id="14"/>
    </w:p>
    <w:p>
      <w:pPr>
        <w:pStyle w:val="6"/>
        <w:spacing w:before="0" w:after="0" w:line="360" w:lineRule="auto"/>
        <w:ind w:firstLine="643"/>
        <w:rPr>
          <w:rFonts w:ascii="Times New Roman" w:hAnsi="Times New Roman" w:eastAsia="楷体_GB2312" w:cs="Times New Roman"/>
          <w:sz w:val="32"/>
          <w:szCs w:val="32"/>
        </w:rPr>
      </w:pPr>
      <w:r>
        <w:rPr>
          <w:rFonts w:ascii="Times New Roman" w:hAnsi="Times New Roman" w:eastAsia="楷体_GB2312" w:cs="Times New Roman"/>
          <w:sz w:val="32"/>
          <w:szCs w:val="32"/>
        </w:rPr>
        <w:t>2. 服务品质有待提升</w:t>
      </w:r>
    </w:p>
    <w:p>
      <w:pPr>
        <w:adjustRightInd w:val="0"/>
        <w:snapToGrid w:val="0"/>
        <w:ind w:firstLine="643"/>
        <w:rPr>
          <w:szCs w:val="32"/>
        </w:rPr>
      </w:pPr>
      <w:r>
        <w:rPr>
          <w:rFonts w:eastAsia="楷体_GB2312"/>
          <w:b/>
          <w:bCs/>
          <w:szCs w:val="32"/>
        </w:rPr>
        <w:t>枢纽站点建设滞后。</w:t>
      </w:r>
      <w:r>
        <w:rPr>
          <w:rFonts w:hint="eastAsia"/>
          <w:snapToGrid w:val="0"/>
          <w:kern w:val="0"/>
          <w:szCs w:val="32"/>
        </w:rPr>
        <w:t>尚无一体换乘</w:t>
      </w:r>
      <w:r>
        <w:rPr>
          <w:snapToGrid w:val="0"/>
          <w:kern w:val="0"/>
          <w:szCs w:val="32"/>
        </w:rPr>
        <w:t>的综合客运枢纽，</w:t>
      </w:r>
      <w:r>
        <w:rPr>
          <w:rFonts w:hint="eastAsia"/>
          <w:snapToGrid w:val="0"/>
          <w:kern w:val="0"/>
          <w:szCs w:val="32"/>
        </w:rPr>
        <w:t>县级及</w:t>
      </w:r>
      <w:r>
        <w:rPr>
          <w:szCs w:val="32"/>
        </w:rPr>
        <w:t>乡镇</w:t>
      </w:r>
      <w:r>
        <w:rPr>
          <w:rFonts w:hint="eastAsia"/>
          <w:szCs w:val="32"/>
        </w:rPr>
        <w:t>客运站功能单一</w:t>
      </w:r>
      <w:r>
        <w:rPr>
          <w:szCs w:val="32"/>
        </w:rPr>
        <w:t>，</w:t>
      </w:r>
      <w:r>
        <w:rPr>
          <w:snapToGrid w:val="0"/>
          <w:kern w:val="0"/>
          <w:szCs w:val="32"/>
        </w:rPr>
        <w:t>城市公交首末站、电子站牌等配套保障能力不足，</w:t>
      </w:r>
      <w:r>
        <w:rPr>
          <w:szCs w:val="32"/>
        </w:rPr>
        <w:t>难以支撑品质</w:t>
      </w:r>
      <w:r>
        <w:rPr>
          <w:rFonts w:hint="eastAsia"/>
          <w:szCs w:val="32"/>
        </w:rPr>
        <w:t>出行</w:t>
      </w:r>
      <w:r>
        <w:rPr>
          <w:szCs w:val="32"/>
        </w:rPr>
        <w:t>需要。</w:t>
      </w:r>
      <w:r>
        <w:rPr>
          <w:snapToGrid w:val="0"/>
          <w:kern w:val="0"/>
          <w:szCs w:val="32"/>
        </w:rPr>
        <w:t>货运枢纽</w:t>
      </w:r>
      <w:r>
        <w:rPr>
          <w:rFonts w:hint="eastAsia"/>
          <w:snapToGrid w:val="0"/>
          <w:kern w:val="0"/>
          <w:szCs w:val="32"/>
        </w:rPr>
        <w:t>、物流园区及其集疏运系统</w:t>
      </w:r>
      <w:r>
        <w:rPr>
          <w:snapToGrid w:val="0"/>
          <w:kern w:val="0"/>
          <w:szCs w:val="32"/>
        </w:rPr>
        <w:t>建设</w:t>
      </w:r>
      <w:r>
        <w:rPr>
          <w:rFonts w:hint="eastAsia"/>
          <w:snapToGrid w:val="0"/>
          <w:kern w:val="0"/>
          <w:szCs w:val="32"/>
        </w:rPr>
        <w:t>滞后</w:t>
      </w:r>
      <w:r>
        <w:rPr>
          <w:snapToGrid w:val="0"/>
          <w:kern w:val="0"/>
          <w:szCs w:val="32"/>
        </w:rPr>
        <w:t>，</w:t>
      </w:r>
      <w:r>
        <w:rPr>
          <w:rFonts w:hint="eastAsia"/>
          <w:snapToGrid w:val="0"/>
          <w:kern w:val="0"/>
          <w:szCs w:val="32"/>
        </w:rPr>
        <w:t>尚无大型物流企业在资阳设立仓储物流配送中心，未能发挥成渝门户枢纽的物流集散优势。</w:t>
      </w:r>
    </w:p>
    <w:p>
      <w:pPr>
        <w:adjustRightInd w:val="0"/>
        <w:snapToGrid w:val="0"/>
        <w:ind w:firstLine="643"/>
        <w:rPr>
          <w:snapToGrid w:val="0"/>
          <w:kern w:val="0"/>
          <w:szCs w:val="32"/>
        </w:rPr>
      </w:pPr>
      <w:r>
        <w:rPr>
          <w:rFonts w:eastAsia="楷体_GB2312"/>
          <w:b/>
          <w:bCs/>
          <w:szCs w:val="32"/>
        </w:rPr>
        <w:t>服务能力有待加强。</w:t>
      </w:r>
      <w:r>
        <w:rPr>
          <w:rFonts w:hint="eastAsia"/>
          <w:snapToGrid w:val="0"/>
          <w:kern w:val="0"/>
          <w:szCs w:val="32"/>
        </w:rPr>
        <w:t>通勤化出行体验感不足</w:t>
      </w:r>
      <w:r>
        <w:rPr>
          <w:snapToGrid w:val="0"/>
          <w:kern w:val="0"/>
          <w:szCs w:val="32"/>
        </w:rPr>
        <w:t>，</w:t>
      </w:r>
      <w:r>
        <w:rPr>
          <w:rFonts w:hint="eastAsia"/>
          <w:snapToGrid w:val="0"/>
          <w:kern w:val="0"/>
          <w:szCs w:val="32"/>
        </w:rPr>
        <w:t>城市公交覆盖率偏低，</w:t>
      </w:r>
      <w:r>
        <w:rPr>
          <w:snapToGrid w:val="0"/>
          <w:kern w:val="0"/>
          <w:szCs w:val="32"/>
        </w:rPr>
        <w:t>成资间跨市</w:t>
      </w:r>
      <w:r>
        <w:rPr>
          <w:rFonts w:hint="eastAsia"/>
          <w:snapToGrid w:val="0"/>
          <w:kern w:val="0"/>
          <w:szCs w:val="32"/>
        </w:rPr>
        <w:t>域</w:t>
      </w:r>
      <w:r>
        <w:rPr>
          <w:snapToGrid w:val="0"/>
          <w:kern w:val="0"/>
          <w:szCs w:val="32"/>
        </w:rPr>
        <w:t>公交</w:t>
      </w:r>
      <w:r>
        <w:rPr>
          <w:rFonts w:hint="eastAsia"/>
          <w:snapToGrid w:val="0"/>
          <w:kern w:val="0"/>
          <w:szCs w:val="32"/>
        </w:rPr>
        <w:t>推进</w:t>
      </w:r>
      <w:r>
        <w:rPr>
          <w:snapToGrid w:val="0"/>
          <w:kern w:val="0"/>
          <w:szCs w:val="32"/>
        </w:rPr>
        <w:t>缓慢，铁路公交化运营尚处起步阶段。农村客运发展</w:t>
      </w:r>
      <w:r>
        <w:rPr>
          <w:rFonts w:hint="eastAsia"/>
          <w:snapToGrid w:val="0"/>
          <w:kern w:val="0"/>
          <w:szCs w:val="32"/>
        </w:rPr>
        <w:t>仍</w:t>
      </w:r>
      <w:r>
        <w:rPr>
          <w:snapToGrid w:val="0"/>
          <w:kern w:val="0"/>
          <w:szCs w:val="32"/>
        </w:rPr>
        <w:t>不充分</w:t>
      </w:r>
      <w:r>
        <w:rPr>
          <w:rFonts w:hint="eastAsia"/>
          <w:snapToGrid w:val="0"/>
          <w:kern w:val="0"/>
          <w:szCs w:val="32"/>
        </w:rPr>
        <w:t>，出行的</w:t>
      </w:r>
      <w:r>
        <w:rPr>
          <w:snapToGrid w:val="0"/>
          <w:kern w:val="0"/>
          <w:szCs w:val="32"/>
        </w:rPr>
        <w:t>舒适</w:t>
      </w:r>
      <w:r>
        <w:rPr>
          <w:rFonts w:hint="eastAsia"/>
          <w:snapToGrid w:val="0"/>
          <w:kern w:val="0"/>
          <w:szCs w:val="32"/>
        </w:rPr>
        <w:t>性</w:t>
      </w:r>
      <w:r>
        <w:rPr>
          <w:snapToGrid w:val="0"/>
          <w:kern w:val="0"/>
          <w:szCs w:val="32"/>
        </w:rPr>
        <w:t>和</w:t>
      </w:r>
      <w:r>
        <w:rPr>
          <w:rFonts w:hint="eastAsia"/>
          <w:snapToGrid w:val="0"/>
          <w:kern w:val="0"/>
          <w:szCs w:val="32"/>
        </w:rPr>
        <w:t>安全性</w:t>
      </w:r>
      <w:r>
        <w:rPr>
          <w:snapToGrid w:val="0"/>
          <w:kern w:val="0"/>
          <w:szCs w:val="32"/>
        </w:rPr>
        <w:t>有待提</w:t>
      </w:r>
      <w:r>
        <w:rPr>
          <w:rFonts w:hint="eastAsia"/>
          <w:snapToGrid w:val="0"/>
          <w:kern w:val="0"/>
          <w:szCs w:val="32"/>
        </w:rPr>
        <w:t>升，与</w:t>
      </w:r>
      <w:r>
        <w:rPr>
          <w:snapToGrid w:val="0"/>
          <w:kern w:val="0"/>
          <w:szCs w:val="32"/>
        </w:rPr>
        <w:t>毗邻地区</w:t>
      </w:r>
      <w:r>
        <w:rPr>
          <w:rFonts w:hint="eastAsia"/>
          <w:snapToGrid w:val="0"/>
          <w:kern w:val="0"/>
          <w:szCs w:val="32"/>
        </w:rPr>
        <w:t>的</w:t>
      </w:r>
      <w:r>
        <w:rPr>
          <w:snapToGrid w:val="0"/>
          <w:kern w:val="0"/>
          <w:szCs w:val="32"/>
        </w:rPr>
        <w:t>农村客运网络尚需</w:t>
      </w:r>
      <w:r>
        <w:rPr>
          <w:rFonts w:hint="eastAsia"/>
          <w:snapToGrid w:val="0"/>
          <w:kern w:val="0"/>
          <w:szCs w:val="32"/>
        </w:rPr>
        <w:t>完善</w:t>
      </w:r>
      <w:r>
        <w:rPr>
          <w:snapToGrid w:val="0"/>
          <w:kern w:val="0"/>
          <w:szCs w:val="32"/>
        </w:rPr>
        <w:t>。运输市场培育不足</w:t>
      </w:r>
      <w:r>
        <w:rPr>
          <w:rFonts w:hint="eastAsia"/>
          <w:snapToGrid w:val="0"/>
          <w:kern w:val="0"/>
          <w:szCs w:val="32"/>
        </w:rPr>
        <w:t>，</w:t>
      </w:r>
      <w:r>
        <w:rPr>
          <w:szCs w:val="32"/>
        </w:rPr>
        <w:t>运输企业规模小、组织化程度不高，</w:t>
      </w:r>
      <w:r>
        <w:rPr>
          <w:rFonts w:hint="eastAsia"/>
          <w:szCs w:val="32"/>
        </w:rPr>
        <w:t>缺乏</w:t>
      </w:r>
      <w:r>
        <w:rPr>
          <w:rFonts w:hint="eastAsia"/>
          <w:snapToGrid w:val="0"/>
          <w:kern w:val="0"/>
          <w:szCs w:val="32"/>
        </w:rPr>
        <w:t>信息化应用平台实现资源整合、流程优化</w:t>
      </w:r>
      <w:r>
        <w:rPr>
          <w:snapToGrid w:val="0"/>
          <w:kern w:val="0"/>
          <w:szCs w:val="32"/>
        </w:rPr>
        <w:t>。</w:t>
      </w:r>
    </w:p>
    <w:p>
      <w:pPr>
        <w:pStyle w:val="6"/>
        <w:spacing w:before="0" w:after="0" w:line="360" w:lineRule="auto"/>
        <w:ind w:firstLine="643"/>
        <w:rPr>
          <w:rFonts w:ascii="Times New Roman" w:hAnsi="Times New Roman" w:eastAsia="楷体_GB2312" w:cs="Times New Roman"/>
          <w:sz w:val="32"/>
          <w:szCs w:val="32"/>
        </w:rPr>
      </w:pPr>
      <w:r>
        <w:rPr>
          <w:rFonts w:ascii="Times New Roman" w:hAnsi="Times New Roman" w:eastAsia="楷体_GB2312" w:cs="Times New Roman"/>
          <w:sz w:val="32"/>
          <w:szCs w:val="32"/>
        </w:rPr>
        <w:t>3. 支撑保障体系有待健全</w:t>
      </w:r>
    </w:p>
    <w:p>
      <w:pPr>
        <w:ind w:firstLine="643"/>
        <w:rPr>
          <w:snapToGrid w:val="0"/>
          <w:kern w:val="0"/>
          <w:szCs w:val="32"/>
        </w:rPr>
      </w:pPr>
      <w:bookmarkStart w:id="15" w:name="_Hlk66698070"/>
      <w:r>
        <w:rPr>
          <w:rFonts w:eastAsia="楷体_GB2312"/>
          <w:b/>
          <w:bCs/>
          <w:szCs w:val="32"/>
        </w:rPr>
        <w:t>交通</w:t>
      </w:r>
      <w:r>
        <w:rPr>
          <w:rFonts w:hint="eastAsia" w:eastAsia="楷体_GB2312"/>
          <w:b/>
          <w:bCs/>
          <w:szCs w:val="32"/>
        </w:rPr>
        <w:t>项目</w:t>
      </w:r>
      <w:r>
        <w:rPr>
          <w:rFonts w:eastAsia="楷体_GB2312"/>
          <w:b/>
          <w:bCs/>
          <w:szCs w:val="32"/>
        </w:rPr>
        <w:t>要素保障不足</w:t>
      </w:r>
      <w:r>
        <w:rPr>
          <w:rFonts w:hint="eastAsia" w:eastAsia="楷体_GB2312"/>
          <w:b/>
          <w:bCs/>
          <w:szCs w:val="32"/>
        </w:rPr>
        <w:t>。</w:t>
      </w:r>
      <w:r>
        <w:rPr>
          <w:rFonts w:hint="eastAsia"/>
          <w:snapToGrid w:val="0"/>
          <w:kern w:val="0"/>
          <w:szCs w:val="32"/>
        </w:rPr>
        <w:t>“三区三线”划定后，空间资源管控愈发严格，项目环评、用地审批等刚性约束进一步增强。国家金融政策收紧、征拆费用和原材料价格等不断攀升，公益性交通建设项目</w:t>
      </w:r>
      <w:bookmarkStart w:id="16" w:name="_Hlk66954570"/>
      <w:r>
        <w:rPr>
          <w:snapToGrid w:val="0"/>
          <w:kern w:val="0"/>
          <w:szCs w:val="32"/>
        </w:rPr>
        <w:t>对社会资本吸引力弱，</w:t>
      </w:r>
      <w:bookmarkEnd w:id="16"/>
      <w:r>
        <w:rPr>
          <w:rFonts w:hint="eastAsia"/>
          <w:snapToGrid w:val="0"/>
          <w:kern w:val="0"/>
          <w:szCs w:val="32"/>
        </w:rPr>
        <w:t>市县</w:t>
      </w:r>
      <w:r>
        <w:rPr>
          <w:snapToGrid w:val="0"/>
          <w:kern w:val="0"/>
          <w:szCs w:val="32"/>
        </w:rPr>
        <w:t>财</w:t>
      </w:r>
      <w:r>
        <w:rPr>
          <w:rFonts w:hint="eastAsia"/>
          <w:snapToGrid w:val="0"/>
          <w:kern w:val="0"/>
          <w:szCs w:val="32"/>
        </w:rPr>
        <w:t>政</w:t>
      </w:r>
      <w:r>
        <w:rPr>
          <w:snapToGrid w:val="0"/>
          <w:kern w:val="0"/>
          <w:szCs w:val="32"/>
        </w:rPr>
        <w:t>难以</w:t>
      </w:r>
      <w:r>
        <w:rPr>
          <w:rFonts w:hint="eastAsia"/>
          <w:snapToGrid w:val="0"/>
          <w:kern w:val="0"/>
          <w:szCs w:val="32"/>
        </w:rPr>
        <w:t>保障建设</w:t>
      </w:r>
      <w:r>
        <w:rPr>
          <w:snapToGrid w:val="0"/>
          <w:kern w:val="0"/>
          <w:szCs w:val="32"/>
        </w:rPr>
        <w:t>资金需求。</w:t>
      </w:r>
    </w:p>
    <w:p>
      <w:pPr>
        <w:pStyle w:val="2"/>
        <w:spacing w:after="0"/>
        <w:ind w:firstLine="643"/>
        <w:rPr>
          <w:snapToGrid w:val="0"/>
          <w:kern w:val="0"/>
          <w:szCs w:val="32"/>
        </w:rPr>
      </w:pPr>
      <w:r>
        <w:rPr>
          <w:rFonts w:eastAsia="楷体_GB2312"/>
          <w:b/>
          <w:bCs/>
          <w:szCs w:val="32"/>
        </w:rPr>
        <w:t>统筹协调机制仍不完善。</w:t>
      </w:r>
      <w:r>
        <w:rPr>
          <w:snapToGrid w:val="0"/>
          <w:kern w:val="0"/>
          <w:szCs w:val="32"/>
        </w:rPr>
        <w:t>养护管理、交通</w:t>
      </w:r>
      <w:r>
        <w:rPr>
          <w:rFonts w:hint="eastAsia"/>
          <w:snapToGrid w:val="0"/>
          <w:kern w:val="0"/>
          <w:szCs w:val="32"/>
        </w:rPr>
        <w:t>执法</w:t>
      </w:r>
      <w:r>
        <w:rPr>
          <w:snapToGrid w:val="0"/>
          <w:kern w:val="0"/>
          <w:szCs w:val="32"/>
        </w:rPr>
        <w:t>、安全应急等领域</w:t>
      </w:r>
      <w:r>
        <w:rPr>
          <w:rFonts w:hint="eastAsia"/>
          <w:snapToGrid w:val="0"/>
          <w:kern w:val="0"/>
          <w:szCs w:val="32"/>
        </w:rPr>
        <w:t>条块</w:t>
      </w:r>
      <w:r>
        <w:rPr>
          <w:snapToGrid w:val="0"/>
          <w:kern w:val="0"/>
          <w:szCs w:val="32"/>
        </w:rPr>
        <w:t>分割，部门</w:t>
      </w:r>
      <w:r>
        <w:rPr>
          <w:rFonts w:hint="eastAsia"/>
          <w:snapToGrid w:val="0"/>
          <w:kern w:val="0"/>
          <w:szCs w:val="32"/>
        </w:rPr>
        <w:t>间协同</w:t>
      </w:r>
      <w:r>
        <w:rPr>
          <w:snapToGrid w:val="0"/>
          <w:kern w:val="0"/>
          <w:szCs w:val="32"/>
        </w:rPr>
        <w:t>深度不够、联动不足。跨区域</w:t>
      </w:r>
      <w:r>
        <w:rPr>
          <w:rFonts w:hint="eastAsia"/>
          <w:snapToGrid w:val="0"/>
          <w:kern w:val="0"/>
          <w:szCs w:val="32"/>
        </w:rPr>
        <w:t>综合交通规划建设运营统筹力度不够</w:t>
      </w:r>
      <w:r>
        <w:rPr>
          <w:snapToGrid w:val="0"/>
          <w:kern w:val="0"/>
          <w:szCs w:val="32"/>
        </w:rPr>
        <w:t>，</w:t>
      </w:r>
      <w:r>
        <w:rPr>
          <w:rFonts w:hint="eastAsia"/>
          <w:snapToGrid w:val="0"/>
          <w:kern w:val="0"/>
          <w:szCs w:val="32"/>
        </w:rPr>
        <w:t>存在政策标准、</w:t>
      </w:r>
      <w:r>
        <w:rPr>
          <w:snapToGrid w:val="0"/>
          <w:kern w:val="0"/>
          <w:szCs w:val="32"/>
        </w:rPr>
        <w:t>建设时序、</w:t>
      </w:r>
      <w:r>
        <w:rPr>
          <w:rFonts w:hint="eastAsia"/>
          <w:snapToGrid w:val="0"/>
          <w:kern w:val="0"/>
          <w:szCs w:val="32"/>
        </w:rPr>
        <w:t>路线走向、</w:t>
      </w:r>
      <w:r>
        <w:rPr>
          <w:snapToGrid w:val="0"/>
          <w:kern w:val="0"/>
          <w:szCs w:val="32"/>
        </w:rPr>
        <w:t>技术</w:t>
      </w:r>
      <w:r>
        <w:rPr>
          <w:rFonts w:hint="eastAsia"/>
          <w:snapToGrid w:val="0"/>
          <w:kern w:val="0"/>
          <w:szCs w:val="32"/>
        </w:rPr>
        <w:t>等级</w:t>
      </w:r>
      <w:r>
        <w:rPr>
          <w:snapToGrid w:val="0"/>
          <w:kern w:val="0"/>
          <w:szCs w:val="32"/>
        </w:rPr>
        <w:t>不统一</w:t>
      </w:r>
      <w:r>
        <w:rPr>
          <w:rFonts w:hint="eastAsia"/>
          <w:snapToGrid w:val="0"/>
          <w:kern w:val="0"/>
          <w:szCs w:val="32"/>
        </w:rPr>
        <w:t>等问题</w:t>
      </w:r>
      <w:r>
        <w:rPr>
          <w:snapToGrid w:val="0"/>
          <w:kern w:val="0"/>
          <w:szCs w:val="32"/>
        </w:rPr>
        <w:t>。</w:t>
      </w:r>
    </w:p>
    <w:bookmarkEnd w:id="15"/>
    <w:p>
      <w:pPr>
        <w:pStyle w:val="2"/>
        <w:spacing w:after="0"/>
        <w:ind w:firstLine="643"/>
        <w:rPr>
          <w:snapToGrid w:val="0"/>
          <w:kern w:val="0"/>
          <w:szCs w:val="32"/>
        </w:rPr>
      </w:pPr>
      <w:r>
        <w:rPr>
          <w:rFonts w:eastAsia="楷体_GB2312"/>
          <w:b/>
          <w:bCs/>
          <w:szCs w:val="32"/>
        </w:rPr>
        <w:t>可持续发展能力偏弱。</w:t>
      </w:r>
      <w:r>
        <w:rPr>
          <w:rFonts w:hint="eastAsia"/>
          <w:snapToGrid w:val="0"/>
          <w:kern w:val="0"/>
          <w:szCs w:val="32"/>
        </w:rPr>
        <w:t>对新技术、新业态、新模式的快速发展仍不适应，在智慧交通、绿色交通等方面仍处起步阶段，交通跨产业融合发展仍需强化。</w:t>
      </w:r>
      <w:r>
        <w:rPr>
          <w:snapToGrid w:val="0"/>
          <w:kern w:val="0"/>
          <w:szCs w:val="32"/>
        </w:rPr>
        <w:br w:type="page"/>
      </w:r>
    </w:p>
    <w:p>
      <w:pPr>
        <w:pStyle w:val="4"/>
        <w:keepNext w:val="0"/>
        <w:keepLines w:val="0"/>
        <w:adjustRightInd w:val="0"/>
        <w:snapToGrid w:val="0"/>
        <w:spacing w:before="0" w:after="0" w:line="360" w:lineRule="auto"/>
        <w:ind w:firstLine="643"/>
        <w:rPr>
          <w:rFonts w:eastAsia="黑体" w:cs="Times New Roman"/>
          <w:bCs w:val="0"/>
        </w:rPr>
      </w:pPr>
      <w:bookmarkStart w:id="17" w:name="_Toc72864727"/>
      <w:r>
        <w:rPr>
          <w:rFonts w:eastAsia="黑体" w:cs="Times New Roman"/>
          <w:bCs w:val="0"/>
        </w:rPr>
        <w:t>二、形势</w:t>
      </w:r>
      <w:r>
        <w:rPr>
          <w:rFonts w:hint="eastAsia" w:eastAsia="黑体" w:cs="Times New Roman"/>
          <w:bCs w:val="0"/>
        </w:rPr>
        <w:t>要求</w:t>
      </w:r>
      <w:bookmarkEnd w:id="17"/>
    </w:p>
    <w:p>
      <w:pPr>
        <w:ind w:firstLine="643"/>
        <w:outlineLvl w:val="2"/>
        <w:rPr>
          <w:rFonts w:eastAsia="楷体_GB2312"/>
          <w:b/>
          <w:bCs/>
          <w:szCs w:val="32"/>
        </w:rPr>
      </w:pPr>
      <w:bookmarkStart w:id="18" w:name="_Toc72864728"/>
      <w:r>
        <w:rPr>
          <w:rFonts w:hint="eastAsia" w:eastAsia="楷体_GB2312"/>
          <w:b/>
          <w:bCs/>
          <w:szCs w:val="32"/>
        </w:rPr>
        <w:t>（一）发展要求</w:t>
      </w:r>
      <w:bookmarkEnd w:id="18"/>
    </w:p>
    <w:p>
      <w:pPr>
        <w:ind w:firstLine="643"/>
        <w:rPr>
          <w:snapToGrid w:val="0"/>
          <w:kern w:val="0"/>
          <w:szCs w:val="32"/>
        </w:rPr>
      </w:pPr>
      <w:r>
        <w:rPr>
          <w:rFonts w:hint="eastAsia" w:eastAsia="楷体_GB2312"/>
          <w:b/>
          <w:bCs/>
          <w:szCs w:val="32"/>
        </w:rPr>
        <w:t>从国内看，</w:t>
      </w:r>
      <w:r>
        <w:rPr>
          <w:rFonts w:hint="eastAsia"/>
          <w:snapToGrid w:val="0"/>
          <w:kern w:val="0"/>
          <w:szCs w:val="32"/>
        </w:rPr>
        <w:t>党中央部署加快构建以国内大循环为主体、国内国际双循环相互促进的新发展格局，推动成渝地区双城经济圈建设成为构建“双循环”新发展格局的重要举措之一。</w:t>
      </w:r>
    </w:p>
    <w:p>
      <w:pPr>
        <w:ind w:firstLine="643"/>
        <w:rPr>
          <w:snapToGrid w:val="0"/>
          <w:kern w:val="0"/>
          <w:szCs w:val="32"/>
        </w:rPr>
      </w:pPr>
      <w:r>
        <w:rPr>
          <w:rFonts w:hint="eastAsia" w:eastAsia="楷体_GB2312"/>
          <w:b/>
          <w:bCs/>
          <w:szCs w:val="32"/>
        </w:rPr>
        <w:t>从省内看，</w:t>
      </w:r>
      <w:r>
        <w:rPr>
          <w:rFonts w:hint="eastAsia"/>
          <w:snapToGrid w:val="0"/>
          <w:kern w:val="0"/>
          <w:szCs w:val="32"/>
        </w:rPr>
        <w:t>省委将成德眉资同城化发展作为推动成渝地区双城经济圈建设的支撑性工程，</w:t>
      </w:r>
      <w:r>
        <w:rPr>
          <w:snapToGrid w:val="0"/>
          <w:kern w:val="0"/>
          <w:szCs w:val="32"/>
        </w:rPr>
        <w:t>明确“支持资阳建设成渝门户枢纽型临空新兴城市，</w:t>
      </w:r>
      <w:r>
        <w:rPr>
          <w:rFonts w:hint="eastAsia"/>
          <w:snapToGrid w:val="0"/>
          <w:kern w:val="0"/>
          <w:szCs w:val="32"/>
        </w:rPr>
        <w:t>支持</w:t>
      </w:r>
      <w:r>
        <w:rPr>
          <w:snapToGrid w:val="0"/>
          <w:kern w:val="0"/>
          <w:szCs w:val="32"/>
        </w:rPr>
        <w:t>成渝主轴节点城市融合发展</w:t>
      </w:r>
      <w:r>
        <w:rPr>
          <w:rFonts w:hint="eastAsia"/>
          <w:snapToGrid w:val="0"/>
          <w:kern w:val="0"/>
          <w:szCs w:val="32"/>
        </w:rPr>
        <w:t>、</w:t>
      </w:r>
      <w:r>
        <w:rPr>
          <w:snapToGrid w:val="0"/>
          <w:kern w:val="0"/>
          <w:szCs w:val="32"/>
        </w:rPr>
        <w:t>共建成渝中部地区一体化发展示范区，支持资阳与大足共建文旅融合发展示范区”。</w:t>
      </w:r>
    </w:p>
    <w:p>
      <w:pPr>
        <w:ind w:firstLine="643"/>
        <w:rPr>
          <w:snapToGrid w:val="0"/>
          <w:kern w:val="0"/>
          <w:szCs w:val="32"/>
        </w:rPr>
      </w:pPr>
      <w:r>
        <w:rPr>
          <w:rFonts w:hint="eastAsia" w:eastAsia="楷体_GB2312"/>
          <w:b/>
          <w:bCs/>
          <w:szCs w:val="32"/>
        </w:rPr>
        <w:t>从市域看，</w:t>
      </w:r>
      <w:r>
        <w:rPr>
          <w:rFonts w:hint="eastAsia"/>
          <w:snapToGrid w:val="0"/>
          <w:kern w:val="0"/>
          <w:szCs w:val="32"/>
        </w:rPr>
        <w:t>市委围绕“成渝门户枢纽、临空新兴城市”总体定位，将加快建设“以门户枢纽为核心，以临空经济、公园城市为特色，引领成渝地区中部崛起的同城化率先突破区”。</w:t>
      </w:r>
    </w:p>
    <w:p>
      <w:pPr>
        <w:ind w:firstLine="643"/>
        <w:rPr>
          <w:snapToGrid w:val="0"/>
          <w:kern w:val="0"/>
          <w:szCs w:val="32"/>
        </w:rPr>
      </w:pPr>
      <w:r>
        <w:rPr>
          <w:rFonts w:hint="eastAsia" w:eastAsia="楷体_GB2312"/>
          <w:b/>
          <w:bCs/>
          <w:szCs w:val="32"/>
        </w:rPr>
        <w:t>从行业</w:t>
      </w:r>
      <w:r>
        <w:rPr>
          <w:rFonts w:eastAsia="楷体_GB2312"/>
          <w:b/>
          <w:bCs/>
          <w:szCs w:val="32"/>
        </w:rPr>
        <w:t>看</w:t>
      </w:r>
      <w:bookmarkStart w:id="19" w:name="_Hlk54600980"/>
      <w:bookmarkStart w:id="20" w:name="_Hlk56158126"/>
      <w:r>
        <w:rPr>
          <w:rFonts w:hint="eastAsia" w:eastAsia="楷体_GB2312"/>
          <w:b/>
          <w:bCs/>
          <w:szCs w:val="32"/>
        </w:rPr>
        <w:t>，</w:t>
      </w:r>
      <w:r>
        <w:rPr>
          <w:rFonts w:hint="eastAsia"/>
          <w:snapToGrid w:val="0"/>
          <w:kern w:val="0"/>
          <w:szCs w:val="32"/>
        </w:rPr>
        <w:t>中共中央、国务院印发《交通强国建设纲要》《国家综合立体交通网规划纲要》，为新时代交通运输发展绘就蓝图、指明方向；省委、省政府出台《关于贯彻落实〈交通强国建设纲要〉加快建设交通强省的实施意见》，并</w:t>
      </w:r>
      <w:bookmarkEnd w:id="19"/>
      <w:r>
        <w:rPr>
          <w:rFonts w:hint="eastAsia"/>
          <w:snapToGrid w:val="0"/>
          <w:kern w:val="0"/>
          <w:szCs w:val="32"/>
        </w:rPr>
        <w:t>将打造一批交通强省建设样板区；资阳将“交通强市”建设作为建设成渝门户枢纽、临空新兴城市的重要抓手，对交通运输发展提出新的更高的要求。</w:t>
      </w:r>
    </w:p>
    <w:bookmarkEnd w:id="20"/>
    <w:p>
      <w:pPr>
        <w:adjustRightInd w:val="0"/>
        <w:snapToGrid w:val="0"/>
        <w:ind w:firstLine="643"/>
        <w:rPr>
          <w:rFonts w:eastAsia="楷体_GB2312"/>
          <w:b/>
          <w:bCs/>
          <w:szCs w:val="32"/>
        </w:rPr>
      </w:pPr>
      <w:r>
        <w:rPr>
          <w:rFonts w:eastAsia="楷体_GB2312"/>
          <w:b/>
          <w:bCs/>
          <w:szCs w:val="32"/>
        </w:rPr>
        <w:t xml:space="preserve">1. </w:t>
      </w:r>
      <w:r>
        <w:rPr>
          <w:rFonts w:hint="eastAsia" w:eastAsia="楷体_GB2312"/>
          <w:b/>
          <w:bCs/>
          <w:szCs w:val="32"/>
        </w:rPr>
        <w:t>融入成渝地区双城经济圈，建设“成渝联动门户”，</w:t>
      </w:r>
      <w:r>
        <w:rPr>
          <w:rFonts w:eastAsia="楷体_GB2312"/>
          <w:b/>
          <w:bCs/>
          <w:szCs w:val="32"/>
        </w:rPr>
        <w:t>要求</w:t>
      </w:r>
      <w:r>
        <w:rPr>
          <w:rFonts w:hint="eastAsia" w:eastAsia="楷体_GB2312"/>
          <w:b/>
          <w:bCs/>
          <w:szCs w:val="32"/>
        </w:rPr>
        <w:t>持续</w:t>
      </w:r>
      <w:r>
        <w:rPr>
          <w:rFonts w:eastAsia="楷体_GB2312"/>
          <w:b/>
          <w:bCs/>
          <w:szCs w:val="32"/>
        </w:rPr>
        <w:t>完善</w:t>
      </w:r>
      <w:r>
        <w:rPr>
          <w:rFonts w:hint="eastAsia" w:eastAsia="楷体_GB2312"/>
          <w:b/>
          <w:bCs/>
          <w:szCs w:val="32"/>
        </w:rPr>
        <w:t>对外综合运输大通道</w:t>
      </w:r>
      <w:r>
        <w:rPr>
          <w:rFonts w:eastAsia="楷体_GB2312"/>
          <w:b/>
          <w:bCs/>
          <w:szCs w:val="32"/>
        </w:rPr>
        <w:t>。</w:t>
      </w:r>
    </w:p>
    <w:p>
      <w:pPr>
        <w:pStyle w:val="2"/>
        <w:spacing w:after="0"/>
        <w:ind w:firstLine="640"/>
        <w:rPr>
          <w:highlight w:val="yellow"/>
        </w:rPr>
      </w:pPr>
      <w:r>
        <w:rPr>
          <w:rFonts w:hint="eastAsia"/>
        </w:rPr>
        <w:t>“十四五”是资阳抢抓成渝门户枢纽开放合作优势以及成渝中部腹地空间优势，加快融入新发展格局的机遇期。发挥成渝“双门户”优势，构建具有区域竞争力和带动力的成渝直线发展主轴，要求以成渝双核为“极点”、成都经资阳至重庆为轴线，积极完善连接“双城、两区、两场”的通道网络，强化与川南、川东北两翼的快速联系，提升资阳综合交通在成渝地区的发展能级，助推成渝相向发展和成渝中部地区一体化发展。</w:t>
      </w:r>
    </w:p>
    <w:p>
      <w:pPr>
        <w:adjustRightInd w:val="0"/>
        <w:snapToGrid w:val="0"/>
        <w:ind w:firstLine="643"/>
        <w:rPr>
          <w:rFonts w:eastAsia="楷体_GB2312"/>
          <w:b/>
          <w:bCs/>
          <w:szCs w:val="32"/>
        </w:rPr>
      </w:pPr>
      <w:r>
        <w:rPr>
          <w:rFonts w:eastAsia="楷体_GB2312"/>
          <w:b/>
          <w:bCs/>
          <w:szCs w:val="32"/>
        </w:rPr>
        <w:t xml:space="preserve">2. </w:t>
      </w:r>
      <w:r>
        <w:rPr>
          <w:rFonts w:hint="eastAsia" w:eastAsia="楷体_GB2312"/>
          <w:b/>
          <w:bCs/>
          <w:szCs w:val="32"/>
        </w:rPr>
        <w:t>共建现代化成都都市圈，建设“成都东部枢纽”，要求构建成资同城化的综合交通运输体系。</w:t>
      </w:r>
    </w:p>
    <w:p>
      <w:pPr>
        <w:pStyle w:val="2"/>
        <w:spacing w:after="0"/>
        <w:ind w:firstLine="640"/>
      </w:pPr>
      <w:r>
        <w:rPr>
          <w:rFonts w:hint="eastAsia"/>
        </w:rPr>
        <w:t>“十四五”是资阳共享成都东进势能，建设成都东部新区资阳协同区，促进成都都市圈内部耦合发展的关键期。发挥成都枢纽优势和资阳本地优势，共建国际门户枢纽，要求以都市圈交通同城同网为导向，织密织优以成都为中心的空港物流、轨道交通和高快速公路“三张网”，全面融入成都国际综合交通枢纽建设，加快形成1小时“门到门”通勤圈和配套物流圈，促进都市圈发展要素、创新资源等沿主要交通廊道分布。</w:t>
      </w:r>
    </w:p>
    <w:p>
      <w:pPr>
        <w:adjustRightInd w:val="0"/>
        <w:snapToGrid w:val="0"/>
        <w:ind w:firstLine="643"/>
        <w:rPr>
          <w:rFonts w:eastAsia="楷体_GB2312"/>
          <w:b/>
          <w:bCs/>
          <w:szCs w:val="32"/>
        </w:rPr>
      </w:pPr>
      <w:r>
        <w:rPr>
          <w:rFonts w:eastAsia="楷体_GB2312"/>
          <w:b/>
          <w:bCs/>
          <w:szCs w:val="32"/>
        </w:rPr>
        <w:t>3</w:t>
      </w:r>
      <w:r>
        <w:rPr>
          <w:rFonts w:hint="eastAsia" w:eastAsia="楷体_GB2312"/>
          <w:b/>
          <w:bCs/>
          <w:szCs w:val="32"/>
        </w:rPr>
        <w:t>.</w:t>
      </w:r>
      <w:r>
        <w:rPr>
          <w:rFonts w:eastAsia="楷体_GB2312"/>
          <w:b/>
          <w:bCs/>
          <w:szCs w:val="32"/>
        </w:rPr>
        <w:t xml:space="preserve"> </w:t>
      </w:r>
      <w:r>
        <w:rPr>
          <w:rFonts w:hint="eastAsia" w:eastAsia="楷体_GB2312"/>
          <w:b/>
          <w:bCs/>
          <w:szCs w:val="32"/>
        </w:rPr>
        <w:t>推进新型城镇化和乡村振兴，建设“山水魅力之城”，要求提升城乡交通运输发展基础。</w:t>
      </w:r>
    </w:p>
    <w:p>
      <w:pPr>
        <w:pStyle w:val="2"/>
        <w:spacing w:after="0"/>
        <w:ind w:firstLine="640"/>
      </w:pPr>
      <w:r>
        <w:rPr>
          <w:rFonts w:hint="eastAsia"/>
        </w:rPr>
        <w:t>“十四五”是资阳完善配套服务功能、提升城镇建设品质、促进城乡融合发展，做优社会和民生事业的提升期。构建市域一体共建共兴空间格局，做好乡镇和村级改革“后半篇”文章，要求关注全域城乡生产生活生态空间变化，全面强化市到县、县与县之间干线公路的便捷联系，着力推进县域城乡交通运输一体化、均等化发展，加快补齐城乡间运输服务结构性短板，积极营造安全智慧绿色的交通运行环境，加快实现“人享其行、物优其流”。</w:t>
      </w:r>
    </w:p>
    <w:p>
      <w:pPr>
        <w:adjustRightInd w:val="0"/>
        <w:snapToGrid w:val="0"/>
        <w:ind w:firstLine="643"/>
        <w:rPr>
          <w:rFonts w:eastAsia="楷体_GB2312"/>
          <w:b/>
          <w:bCs/>
          <w:szCs w:val="32"/>
        </w:rPr>
      </w:pPr>
      <w:r>
        <w:rPr>
          <w:rFonts w:eastAsia="楷体_GB2312"/>
          <w:b/>
          <w:bCs/>
          <w:szCs w:val="32"/>
        </w:rPr>
        <w:t xml:space="preserve">4. </w:t>
      </w:r>
      <w:r>
        <w:rPr>
          <w:rFonts w:hint="eastAsia" w:eastAsia="楷体_GB2312"/>
          <w:b/>
          <w:bCs/>
          <w:szCs w:val="32"/>
        </w:rPr>
        <w:t>构建现代产业体系，建设“临空经济高地”，要求大力推动交通跨界跨业融合发展。</w:t>
      </w:r>
    </w:p>
    <w:p>
      <w:pPr>
        <w:pStyle w:val="2"/>
        <w:spacing w:after="0"/>
        <w:ind w:firstLine="640"/>
      </w:pPr>
      <w:r>
        <w:rPr>
          <w:rFonts w:hint="eastAsia"/>
        </w:rPr>
        <w:t>“十四五”是资阳发挥全域临空优势，以产业生态圈和产业功能区建设重塑产业经济地理的黄金期。加快构建服务和配套成渝的现代产业体系，建设以临空经济为特色的现代产业新城，要求依托“一轴两区三带”特色优势，促进交通运输与装备制造、生态农业、文化旅游等产业融合发展，探索交通设施与周边土地、景区园区等协同开发，打造生态、文态、形态、业态“四态”合一交通体系，推动经济发展质量变革、效率变革和动力变革。</w:t>
      </w:r>
    </w:p>
    <w:p>
      <w:pPr>
        <w:adjustRightInd w:val="0"/>
        <w:snapToGrid w:val="0"/>
        <w:ind w:firstLine="643"/>
        <w:rPr>
          <w:rFonts w:eastAsia="楷体_GB2312"/>
          <w:b/>
          <w:bCs/>
          <w:szCs w:val="32"/>
        </w:rPr>
      </w:pPr>
      <w:r>
        <w:rPr>
          <w:rFonts w:hint="eastAsia" w:eastAsia="楷体_GB2312"/>
          <w:b/>
          <w:bCs/>
          <w:szCs w:val="32"/>
        </w:rPr>
        <w:t>5</w:t>
      </w:r>
      <w:r>
        <w:rPr>
          <w:rFonts w:eastAsia="楷体_GB2312"/>
          <w:b/>
          <w:bCs/>
          <w:szCs w:val="32"/>
        </w:rPr>
        <w:t xml:space="preserve">. </w:t>
      </w:r>
      <w:r>
        <w:rPr>
          <w:rFonts w:hint="eastAsia" w:eastAsia="楷体_GB2312"/>
          <w:b/>
          <w:bCs/>
          <w:szCs w:val="32"/>
        </w:rPr>
        <w:t>深化改革创新驱动，建设“协同改革先行区”，要求不断增强交通运输发展动能和治理效能。</w:t>
      </w:r>
    </w:p>
    <w:p>
      <w:pPr>
        <w:adjustRightInd w:val="0"/>
        <w:snapToGrid w:val="0"/>
        <w:ind w:firstLine="640"/>
        <w:rPr>
          <w:szCs w:val="32"/>
        </w:rPr>
      </w:pPr>
      <w:r>
        <w:rPr>
          <w:rFonts w:hint="eastAsia"/>
          <w:szCs w:val="32"/>
        </w:rPr>
        <w:t>“十四五”是资阳全面推动改革开放的攻坚期和创新驱动高质量发展的加速期。打造新型智慧城市、构建社会治理格局，要求持续深化交通运输供给侧结构性改革，注重科技创新赋能交通发展，推动模式、业态、产品、服务等联动创新，加快完善政府、市场、社会等多方协作的现代交通运输治理体系，构建跨区域、跨部门综合交通发展协调机制，探索包容性监管体系创新，进一步解放和发展交通运输生产力。</w:t>
      </w:r>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21" w:name="_Toc72864729"/>
      <w:r>
        <w:rPr>
          <w:rFonts w:ascii="Times New Roman" w:hAnsi="Times New Roman" w:eastAsia="楷体_GB2312" w:cs="Times New Roman"/>
        </w:rPr>
        <w:t>（</w:t>
      </w:r>
      <w:r>
        <w:rPr>
          <w:rFonts w:hint="eastAsia" w:ascii="Times New Roman" w:hAnsi="Times New Roman" w:eastAsia="楷体_GB2312" w:cs="Times New Roman"/>
        </w:rPr>
        <w:t>二</w:t>
      </w:r>
      <w:r>
        <w:rPr>
          <w:rFonts w:ascii="Times New Roman" w:hAnsi="Times New Roman" w:eastAsia="楷体_GB2312" w:cs="Times New Roman"/>
        </w:rPr>
        <w:t>）阶段特征</w:t>
      </w:r>
      <w:bookmarkEnd w:id="21"/>
    </w:p>
    <w:p>
      <w:pPr>
        <w:ind w:firstLine="640"/>
        <w:rPr>
          <w:snapToGrid w:val="0"/>
          <w:kern w:val="0"/>
          <w:szCs w:val="32"/>
        </w:rPr>
      </w:pPr>
      <w:r>
        <w:rPr>
          <w:snapToGrid w:val="0"/>
          <w:kern w:val="0"/>
          <w:szCs w:val="32"/>
        </w:rPr>
        <w:t>总体上，“十三五”资阳交通</w:t>
      </w:r>
      <w:r>
        <w:rPr>
          <w:rFonts w:hint="eastAsia"/>
          <w:snapToGrid w:val="0"/>
          <w:kern w:val="0"/>
          <w:szCs w:val="32"/>
        </w:rPr>
        <w:t>实现</w:t>
      </w:r>
      <w:r>
        <w:rPr>
          <w:szCs w:val="32"/>
        </w:rPr>
        <w:t>由“奋力追赶”向“基本适应”转变</w:t>
      </w:r>
      <w:r>
        <w:rPr>
          <w:snapToGrid w:val="0"/>
          <w:kern w:val="0"/>
          <w:szCs w:val="32"/>
        </w:rPr>
        <w:t>。基于发展基础和发展形势判断，“十四五”资阳交通</w:t>
      </w:r>
      <w:r>
        <w:rPr>
          <w:rFonts w:hint="eastAsia"/>
          <w:snapToGrid w:val="0"/>
          <w:kern w:val="0"/>
          <w:szCs w:val="32"/>
        </w:rPr>
        <w:t>将</w:t>
      </w:r>
      <w:r>
        <w:rPr>
          <w:snapToGrid w:val="0"/>
          <w:kern w:val="0"/>
          <w:szCs w:val="32"/>
        </w:rPr>
        <w:t>处于由“基本适应”向“适度超前”转变的发展阶段，呈现出新的趋势与特征。</w:t>
      </w:r>
    </w:p>
    <w:p>
      <w:pPr>
        <w:ind w:firstLine="643"/>
        <w:rPr>
          <w:snapToGrid w:val="0"/>
          <w:kern w:val="0"/>
          <w:szCs w:val="32"/>
        </w:rPr>
      </w:pPr>
      <w:r>
        <w:rPr>
          <w:rFonts w:eastAsia="楷体_GB2312"/>
          <w:b/>
          <w:bCs/>
          <w:szCs w:val="32"/>
        </w:rPr>
        <w:t>成渝主轴建设关键期。</w:t>
      </w:r>
      <w:r>
        <w:rPr>
          <w:snapToGrid w:val="0"/>
          <w:kern w:val="0"/>
          <w:szCs w:val="32"/>
        </w:rPr>
        <w:t>交通是当前制约成渝地区</w:t>
      </w:r>
      <w:r>
        <w:rPr>
          <w:rFonts w:hint="eastAsia"/>
          <w:snapToGrid w:val="0"/>
          <w:kern w:val="0"/>
          <w:szCs w:val="32"/>
        </w:rPr>
        <w:t>发展</w:t>
      </w:r>
      <w:r>
        <w:rPr>
          <w:snapToGrid w:val="0"/>
          <w:kern w:val="0"/>
          <w:szCs w:val="32"/>
        </w:rPr>
        <w:t>的最大瓶颈，加强交通基础设施建设已被列为成渝地区双城经济圈建设的首要任务</w:t>
      </w:r>
      <w:r>
        <w:rPr>
          <w:rFonts w:hint="eastAsia"/>
          <w:snapToGrid w:val="0"/>
          <w:kern w:val="0"/>
          <w:szCs w:val="32"/>
        </w:rPr>
        <w:t>，构建成渝地区双城经济圈一体化交通网是四川6大交通强国试点任务之一</w:t>
      </w:r>
      <w:r>
        <w:rPr>
          <w:snapToGrid w:val="0"/>
          <w:kern w:val="0"/>
          <w:szCs w:val="32"/>
        </w:rPr>
        <w:t>。</w:t>
      </w:r>
      <w:r>
        <w:rPr>
          <w:rFonts w:hint="eastAsia"/>
          <w:snapToGrid w:val="0"/>
          <w:kern w:val="0"/>
          <w:szCs w:val="32"/>
        </w:rPr>
        <w:t>国家综合立体网主骨架的2条主轴（长三角—成渝主轴、粤港澳—成渝主轴）、2条走廊（西部陆海走廊、成渝昆走廊）、1条通道（厦蓉通道）在资阳交汇，一大批交通重大项目落地实施，将</w:t>
      </w:r>
      <w:r>
        <w:rPr>
          <w:snapToGrid w:val="0"/>
          <w:kern w:val="0"/>
          <w:szCs w:val="32"/>
        </w:rPr>
        <w:t>进一步提升</w:t>
      </w:r>
      <w:r>
        <w:rPr>
          <w:rFonts w:hint="eastAsia"/>
          <w:snapToGrid w:val="0"/>
          <w:kern w:val="0"/>
          <w:szCs w:val="32"/>
        </w:rPr>
        <w:t>资阳</w:t>
      </w:r>
      <w:r>
        <w:rPr>
          <w:snapToGrid w:val="0"/>
          <w:kern w:val="0"/>
          <w:szCs w:val="32"/>
        </w:rPr>
        <w:t>在成渝综合交通运输体系中的中转枢纽功能</w:t>
      </w:r>
      <w:r>
        <w:rPr>
          <w:rFonts w:hint="eastAsia"/>
          <w:snapToGrid w:val="0"/>
          <w:kern w:val="0"/>
          <w:szCs w:val="32"/>
        </w:rPr>
        <w:t>。</w:t>
      </w:r>
    </w:p>
    <w:p>
      <w:pPr>
        <w:ind w:firstLine="643"/>
        <w:rPr>
          <w:snapToGrid w:val="0"/>
          <w:kern w:val="0"/>
          <w:szCs w:val="32"/>
        </w:rPr>
      </w:pPr>
      <w:r>
        <w:rPr>
          <w:rFonts w:eastAsia="楷体_GB2312"/>
          <w:b/>
          <w:bCs/>
          <w:szCs w:val="32"/>
        </w:rPr>
        <w:t>交通同城</w:t>
      </w:r>
      <w:r>
        <w:rPr>
          <w:rFonts w:hint="eastAsia" w:eastAsia="楷体_GB2312"/>
          <w:b/>
          <w:bCs/>
          <w:szCs w:val="32"/>
        </w:rPr>
        <w:t>同网</w:t>
      </w:r>
      <w:r>
        <w:rPr>
          <w:rFonts w:eastAsia="楷体_GB2312"/>
          <w:b/>
          <w:bCs/>
          <w:szCs w:val="32"/>
        </w:rPr>
        <w:t>加速期。</w:t>
      </w:r>
      <w:r>
        <w:rPr>
          <w:snapToGrid w:val="0"/>
          <w:kern w:val="0"/>
          <w:szCs w:val="32"/>
        </w:rPr>
        <w:t>成资同城化是引领新时代资阳高质量发展的“头号工程”，交通是推动成资同城化率先突破的“重头戏”。“十四五”围绕融入全省主干极核共建成都都市圈的要求及资阳全域纳入成都东部新</w:t>
      </w:r>
      <w:r>
        <w:rPr>
          <w:rFonts w:hint="eastAsia"/>
          <w:snapToGrid w:val="0"/>
          <w:kern w:val="0"/>
          <w:szCs w:val="32"/>
        </w:rPr>
        <w:t>区</w:t>
      </w:r>
      <w:r>
        <w:rPr>
          <w:snapToGrid w:val="0"/>
          <w:kern w:val="0"/>
          <w:szCs w:val="32"/>
        </w:rPr>
        <w:t>统筹规划的形势，成资间</w:t>
      </w:r>
      <w:r>
        <w:rPr>
          <w:rFonts w:hint="eastAsia"/>
          <w:snapToGrid w:val="0"/>
          <w:kern w:val="0"/>
          <w:szCs w:val="32"/>
        </w:rPr>
        <w:t>将在打</w:t>
      </w:r>
      <w:r>
        <w:rPr>
          <w:snapToGrid w:val="0"/>
          <w:kern w:val="0"/>
          <w:szCs w:val="32"/>
        </w:rPr>
        <w:t>通交界地带断头路</w:t>
      </w:r>
      <w:r>
        <w:rPr>
          <w:rFonts w:hint="eastAsia"/>
          <w:snapToGrid w:val="0"/>
          <w:kern w:val="0"/>
          <w:szCs w:val="32"/>
        </w:rPr>
        <w:t>，构建空港物流、轨道交通、高快速公路“三张网”，</w:t>
      </w:r>
      <w:r>
        <w:rPr>
          <w:snapToGrid w:val="0"/>
          <w:kern w:val="0"/>
          <w:szCs w:val="32"/>
        </w:rPr>
        <w:t>共建都市圈东部枢纽</w:t>
      </w:r>
      <w:r>
        <w:rPr>
          <w:rFonts w:hint="eastAsia"/>
          <w:snapToGrid w:val="0"/>
          <w:kern w:val="0"/>
          <w:szCs w:val="32"/>
        </w:rPr>
        <w:t>和国家向西向南新门户</w:t>
      </w:r>
      <w:r>
        <w:rPr>
          <w:snapToGrid w:val="0"/>
          <w:kern w:val="0"/>
          <w:szCs w:val="32"/>
        </w:rPr>
        <w:t>等方面展开紧密协作</w:t>
      </w:r>
      <w:r>
        <w:rPr>
          <w:rFonts w:hint="eastAsia"/>
          <w:snapToGrid w:val="0"/>
          <w:kern w:val="0"/>
          <w:szCs w:val="32"/>
        </w:rPr>
        <w:t>，</w:t>
      </w:r>
      <w:r>
        <w:rPr>
          <w:snapToGrid w:val="0"/>
          <w:kern w:val="0"/>
          <w:szCs w:val="32"/>
        </w:rPr>
        <w:t>形成基础设施互联互通、运输服务共建共享、行业管理协同高效</w:t>
      </w:r>
      <w:r>
        <w:rPr>
          <w:color w:val="191919"/>
          <w:shd w:val="clear" w:color="auto" w:fill="FFFFFF"/>
        </w:rPr>
        <w:t>的</w:t>
      </w:r>
      <w:r>
        <w:rPr>
          <w:rFonts w:hint="eastAsia"/>
          <w:color w:val="191919"/>
          <w:shd w:val="clear" w:color="auto" w:fill="FFFFFF"/>
        </w:rPr>
        <w:t>同城化立体</w:t>
      </w:r>
      <w:r>
        <w:rPr>
          <w:color w:val="191919"/>
          <w:shd w:val="clear" w:color="auto" w:fill="FFFFFF"/>
        </w:rPr>
        <w:t>交通体系。</w:t>
      </w:r>
    </w:p>
    <w:p>
      <w:pPr>
        <w:ind w:firstLine="643"/>
        <w:rPr>
          <w:snapToGrid w:val="0"/>
          <w:kern w:val="0"/>
          <w:szCs w:val="32"/>
        </w:rPr>
      </w:pPr>
      <w:r>
        <w:rPr>
          <w:rFonts w:eastAsia="楷体_GB2312"/>
          <w:b/>
          <w:bCs/>
          <w:szCs w:val="32"/>
        </w:rPr>
        <w:t>转型发展巩固提升期。</w:t>
      </w:r>
      <w:r>
        <w:rPr>
          <w:rFonts w:eastAsia="楷体_GB2312"/>
          <w:szCs w:val="32"/>
        </w:rPr>
        <w:t>“</w:t>
      </w:r>
      <w:r>
        <w:rPr>
          <w:snapToGrid w:val="0"/>
          <w:kern w:val="0"/>
          <w:szCs w:val="32"/>
        </w:rPr>
        <w:t>十四五”是践行新发展理念、推动高质量发展的关键五年。资阳交通发展将由大规模基础设施</w:t>
      </w:r>
      <w:r>
        <w:rPr>
          <w:rFonts w:hint="eastAsia"/>
          <w:snapToGrid w:val="0"/>
          <w:kern w:val="0"/>
          <w:szCs w:val="32"/>
        </w:rPr>
        <w:t>建设</w:t>
      </w:r>
      <w:r>
        <w:rPr>
          <w:snapToGrid w:val="0"/>
          <w:kern w:val="0"/>
          <w:szCs w:val="32"/>
        </w:rPr>
        <w:t>转向以“优供、强需、重治”为抓手的交通综合</w:t>
      </w:r>
      <w:r>
        <w:rPr>
          <w:rFonts w:hint="eastAsia"/>
          <w:snapToGrid w:val="0"/>
          <w:kern w:val="0"/>
          <w:szCs w:val="32"/>
        </w:rPr>
        <w:t>管</w:t>
      </w:r>
      <w:r>
        <w:rPr>
          <w:snapToGrid w:val="0"/>
          <w:kern w:val="0"/>
          <w:szCs w:val="32"/>
        </w:rPr>
        <w:t>理。交通建设的目的不再局限于在机动性和可达性间取舍，更加顾及需求体验</w:t>
      </w:r>
      <w:r>
        <w:rPr>
          <w:rFonts w:hint="eastAsia"/>
          <w:snapToGrid w:val="0"/>
          <w:kern w:val="0"/>
          <w:szCs w:val="32"/>
        </w:rPr>
        <w:t>和跨界融合</w:t>
      </w:r>
      <w:r>
        <w:rPr>
          <w:snapToGrid w:val="0"/>
          <w:kern w:val="0"/>
          <w:szCs w:val="32"/>
        </w:rPr>
        <w:t>，需要注重</w:t>
      </w:r>
      <w:r>
        <w:rPr>
          <w:rFonts w:hint="eastAsia"/>
          <w:snapToGrid w:val="0"/>
          <w:kern w:val="0"/>
          <w:szCs w:val="32"/>
        </w:rPr>
        <w:t>资源整合、</w:t>
      </w:r>
      <w:r>
        <w:rPr>
          <w:snapToGrid w:val="0"/>
          <w:kern w:val="0"/>
          <w:szCs w:val="32"/>
        </w:rPr>
        <w:t>创新驱动、转型升级，</w:t>
      </w:r>
      <w:r>
        <w:rPr>
          <w:rFonts w:hint="eastAsia"/>
          <w:snapToGrid w:val="0"/>
          <w:kern w:val="0"/>
          <w:szCs w:val="32"/>
        </w:rPr>
        <w:t>需要加快建立全方式、跨边界的协同发展机制和功能平台，</w:t>
      </w:r>
      <w:r>
        <w:rPr>
          <w:snapToGrid w:val="0"/>
          <w:kern w:val="0"/>
          <w:szCs w:val="32"/>
        </w:rPr>
        <w:t>积极培育行业发展新技术</w:t>
      </w:r>
      <w:r>
        <w:rPr>
          <w:rFonts w:hint="eastAsia"/>
          <w:snapToGrid w:val="0"/>
          <w:kern w:val="0"/>
          <w:szCs w:val="32"/>
        </w:rPr>
        <w:t>、</w:t>
      </w:r>
      <w:r>
        <w:rPr>
          <w:snapToGrid w:val="0"/>
          <w:kern w:val="0"/>
          <w:szCs w:val="32"/>
        </w:rPr>
        <w:t>新</w:t>
      </w:r>
      <w:r>
        <w:rPr>
          <w:rFonts w:hint="eastAsia"/>
          <w:snapToGrid w:val="0"/>
          <w:kern w:val="0"/>
          <w:szCs w:val="32"/>
        </w:rPr>
        <w:t>业态、新</w:t>
      </w:r>
      <w:r>
        <w:rPr>
          <w:snapToGrid w:val="0"/>
          <w:kern w:val="0"/>
          <w:szCs w:val="32"/>
        </w:rPr>
        <w:t>模式，实现</w:t>
      </w:r>
      <w:r>
        <w:rPr>
          <w:rFonts w:hint="eastAsia"/>
          <w:snapToGrid w:val="0"/>
          <w:kern w:val="0"/>
          <w:szCs w:val="32"/>
        </w:rPr>
        <w:t>更高质量</w:t>
      </w:r>
      <w:r>
        <w:rPr>
          <w:snapToGrid w:val="0"/>
          <w:kern w:val="0"/>
          <w:szCs w:val="32"/>
        </w:rPr>
        <w:t>发展。</w:t>
      </w:r>
      <w:r>
        <w:rPr>
          <w:snapToGrid w:val="0"/>
          <w:kern w:val="0"/>
          <w:szCs w:val="32"/>
        </w:rPr>
        <w:br w:type="page"/>
      </w:r>
    </w:p>
    <w:p>
      <w:pPr>
        <w:adjustRightInd w:val="0"/>
        <w:snapToGrid w:val="0"/>
        <w:ind w:firstLine="640"/>
        <w:outlineLvl w:val="1"/>
        <w:rPr>
          <w:rFonts w:eastAsia="黑体"/>
          <w:bCs/>
          <w:szCs w:val="32"/>
        </w:rPr>
      </w:pPr>
      <w:bookmarkStart w:id="22" w:name="_Toc72864730"/>
      <w:r>
        <w:rPr>
          <w:rFonts w:eastAsia="黑体"/>
          <w:bCs/>
          <w:szCs w:val="32"/>
        </w:rPr>
        <w:t>三、总体</w:t>
      </w:r>
      <w:r>
        <w:rPr>
          <w:rFonts w:hint="eastAsia" w:eastAsia="黑体"/>
          <w:bCs/>
          <w:szCs w:val="32"/>
        </w:rPr>
        <w:t>思路</w:t>
      </w:r>
      <w:bookmarkEnd w:id="22"/>
    </w:p>
    <w:p>
      <w:pPr>
        <w:adjustRightInd w:val="0"/>
        <w:snapToGrid w:val="0"/>
        <w:ind w:firstLine="643"/>
        <w:outlineLvl w:val="2"/>
        <w:rPr>
          <w:rFonts w:eastAsia="楷体_GB2312"/>
          <w:b/>
          <w:bCs/>
          <w:szCs w:val="32"/>
        </w:rPr>
      </w:pPr>
      <w:bookmarkStart w:id="23" w:name="_Toc72864731"/>
      <w:r>
        <w:rPr>
          <w:rFonts w:eastAsia="楷体_GB2312"/>
          <w:b/>
          <w:bCs/>
          <w:szCs w:val="32"/>
        </w:rPr>
        <w:t>（一）指导思想</w:t>
      </w:r>
      <w:bookmarkEnd w:id="23"/>
    </w:p>
    <w:p>
      <w:pPr>
        <w:ind w:firstLine="640"/>
        <w:rPr>
          <w:rFonts w:ascii="仿宋_GB2312"/>
          <w:snapToGrid w:val="0"/>
          <w:kern w:val="0"/>
          <w:szCs w:val="32"/>
        </w:rPr>
      </w:pPr>
      <w:bookmarkStart w:id="24" w:name="_Hlk47193239"/>
      <w:r>
        <w:rPr>
          <w:rFonts w:hint="eastAsia" w:ascii="仿宋_GB2312"/>
          <w:snapToGrid w:val="0"/>
          <w:kern w:val="0"/>
          <w:szCs w:val="32"/>
        </w:rPr>
        <w:t>以习近平新时代中国特色社会主义思想为指导，深入贯彻党的十九大及十九届四次、五次全会精神，认真落实省委十一届七次及八次全会、市委四届十次及十一次全会部署，以推动高质量发展为主题，以深化供给侧结构性改革为主线，以改革创新为根本动力，以满足人民日益增长的美好生活需要为根本目的，落实交通强国、交通强省总体要求，按照“成资引领、渝资突破、周边畅联、市域提升”的建设原则，全面推进高水平交通强市建设，加快构建安全、便捷、高效、绿色、经济的现代化综合交通体系，为建设成渝门户枢纽和临空新兴城市提供交通运输支撑和保障。</w:t>
      </w:r>
    </w:p>
    <w:p>
      <w:pPr>
        <w:adjustRightInd w:val="0"/>
        <w:snapToGrid w:val="0"/>
        <w:ind w:firstLine="643"/>
        <w:outlineLvl w:val="2"/>
        <w:rPr>
          <w:rFonts w:eastAsia="楷体_GB2312"/>
          <w:b/>
          <w:bCs/>
          <w:szCs w:val="32"/>
        </w:rPr>
      </w:pPr>
      <w:bookmarkStart w:id="25" w:name="_Toc72864732"/>
      <w:r>
        <w:rPr>
          <w:rFonts w:eastAsia="楷体_GB2312"/>
          <w:b/>
          <w:bCs/>
          <w:szCs w:val="32"/>
        </w:rPr>
        <w:t>（二）基本原则</w:t>
      </w:r>
      <w:bookmarkEnd w:id="25"/>
    </w:p>
    <w:p>
      <w:pPr>
        <w:ind w:firstLine="643"/>
        <w:rPr>
          <w:rFonts w:ascii="仿宋_GB2312"/>
          <w:snapToGrid w:val="0"/>
          <w:kern w:val="0"/>
          <w:szCs w:val="32"/>
        </w:rPr>
      </w:pPr>
      <w:r>
        <w:rPr>
          <w:rFonts w:eastAsia="楷体_GB2312"/>
          <w:b/>
          <w:bCs/>
          <w:szCs w:val="32"/>
        </w:rPr>
        <w:t>1. 坚持服务为本，先行发展。</w:t>
      </w:r>
      <w:r>
        <w:rPr>
          <w:rFonts w:hint="eastAsia" w:ascii="仿宋_GB2312"/>
          <w:snapToGrid w:val="0"/>
          <w:kern w:val="0"/>
          <w:szCs w:val="32"/>
        </w:rPr>
        <w:t>以项目为中心组织经济工作，围绕交通强市建设目标，发挥交通先行引领作用，适度超前谋划实施一批互联互通、惠及城乡、服务产业的交通项目，支撑资阳经济社会高质量发展。</w:t>
      </w:r>
    </w:p>
    <w:p>
      <w:pPr>
        <w:ind w:firstLine="643"/>
        <w:rPr>
          <w:snapToGrid w:val="0"/>
          <w:kern w:val="0"/>
          <w:szCs w:val="32"/>
        </w:rPr>
      </w:pPr>
      <w:r>
        <w:rPr>
          <w:rFonts w:eastAsia="楷体_GB2312"/>
          <w:b/>
          <w:bCs/>
          <w:szCs w:val="32"/>
        </w:rPr>
        <w:t>2. 坚持突出重点，全面发展。</w:t>
      </w:r>
      <w:r>
        <w:rPr>
          <w:rFonts w:hint="eastAsia" w:ascii="仿宋_GB2312"/>
          <w:snapToGrid w:val="0"/>
          <w:kern w:val="0"/>
          <w:szCs w:val="32"/>
        </w:rPr>
        <w:t>突出成资</w:t>
      </w:r>
      <w:r>
        <w:rPr>
          <w:rFonts w:hint="eastAsia"/>
          <w:snapToGrid w:val="0"/>
          <w:kern w:val="0"/>
          <w:szCs w:val="32"/>
        </w:rPr>
        <w:t>同城化和成渝主轴</w:t>
      </w:r>
      <w:r>
        <w:rPr>
          <w:snapToGrid w:val="0"/>
          <w:kern w:val="0"/>
          <w:szCs w:val="32"/>
        </w:rPr>
        <w:t>综合交通体系建设，加快</w:t>
      </w:r>
      <w:r>
        <w:rPr>
          <w:rFonts w:hint="eastAsia"/>
          <w:snapToGrid w:val="0"/>
          <w:kern w:val="0"/>
          <w:szCs w:val="32"/>
        </w:rPr>
        <w:t>构筑</w:t>
      </w:r>
      <w:r>
        <w:rPr>
          <w:snapToGrid w:val="0"/>
          <w:kern w:val="0"/>
          <w:szCs w:val="32"/>
        </w:rPr>
        <w:t>多方向、大容量</w:t>
      </w:r>
      <w:r>
        <w:rPr>
          <w:rFonts w:hint="eastAsia"/>
          <w:snapToGrid w:val="0"/>
          <w:kern w:val="0"/>
          <w:szCs w:val="32"/>
        </w:rPr>
        <w:t>、快速度的</w:t>
      </w:r>
      <w:r>
        <w:rPr>
          <w:snapToGrid w:val="0"/>
          <w:kern w:val="0"/>
          <w:szCs w:val="32"/>
        </w:rPr>
        <w:t>对外通道</w:t>
      </w:r>
      <w:r>
        <w:rPr>
          <w:rFonts w:hint="eastAsia"/>
          <w:snapToGrid w:val="0"/>
          <w:kern w:val="0"/>
          <w:szCs w:val="32"/>
        </w:rPr>
        <w:t>，</w:t>
      </w:r>
      <w:r>
        <w:rPr>
          <w:snapToGrid w:val="0"/>
          <w:kern w:val="0"/>
          <w:szCs w:val="32"/>
        </w:rPr>
        <w:t>加强综合交通枢纽建设，积极发展</w:t>
      </w:r>
      <w:r>
        <w:rPr>
          <w:rFonts w:hint="eastAsia"/>
          <w:snapToGrid w:val="0"/>
          <w:kern w:val="0"/>
          <w:szCs w:val="32"/>
        </w:rPr>
        <w:t>“路衍经济”</w:t>
      </w:r>
      <w:r>
        <w:rPr>
          <w:snapToGrid w:val="0"/>
          <w:kern w:val="0"/>
          <w:szCs w:val="32"/>
        </w:rPr>
        <w:t>。</w:t>
      </w:r>
      <w:r>
        <w:rPr>
          <w:rFonts w:hint="eastAsia"/>
          <w:snapToGrid w:val="0"/>
          <w:kern w:val="0"/>
          <w:szCs w:val="32"/>
        </w:rPr>
        <w:t>着力提升普通公路品质，畅通市域交通网络。</w:t>
      </w:r>
    </w:p>
    <w:p>
      <w:pPr>
        <w:ind w:firstLine="643"/>
        <w:rPr>
          <w:snapToGrid w:val="0"/>
          <w:kern w:val="0"/>
          <w:szCs w:val="32"/>
        </w:rPr>
      </w:pPr>
      <w:r>
        <w:rPr>
          <w:rFonts w:eastAsia="楷体_GB2312"/>
          <w:b/>
          <w:bCs/>
          <w:szCs w:val="32"/>
        </w:rPr>
        <w:t>3. 坚持系统思维，协调发展。</w:t>
      </w:r>
      <w:r>
        <w:rPr>
          <w:rFonts w:hint="eastAsia"/>
          <w:snapToGrid w:val="0"/>
          <w:kern w:val="0"/>
          <w:szCs w:val="32"/>
        </w:rPr>
        <w:t>强化与国土空间、产业发展等规划衔接协同，</w:t>
      </w:r>
      <w:r>
        <w:rPr>
          <w:rFonts w:hint="eastAsia"/>
        </w:rPr>
        <w:t>统筹存量与增量、传统与新兴基础设施建设，推动城乡交通协调发展。加快实现交通“建管养运”协调发展，强化交通跨界跨业等融合发展。</w:t>
      </w:r>
    </w:p>
    <w:p>
      <w:pPr>
        <w:ind w:firstLine="643"/>
        <w:rPr>
          <w:szCs w:val="32"/>
        </w:rPr>
      </w:pPr>
      <w:r>
        <w:rPr>
          <w:rFonts w:eastAsia="楷体_GB2312"/>
          <w:b/>
          <w:bCs/>
          <w:szCs w:val="32"/>
        </w:rPr>
        <w:t>4. 坚持深化改革，创新发展。</w:t>
      </w:r>
      <w:r>
        <w:rPr>
          <w:rFonts w:hint="eastAsia"/>
        </w:rPr>
        <w:t>有效落实交通重点领域和关键环节改革，推进行业治理体系和治理能力现代化。突出创新核心地位，推动基础设施数字转型、智能升级，以现代信息技术赋能交通发展</w:t>
      </w:r>
      <w:r>
        <w:rPr>
          <w:rFonts w:hint="eastAsia"/>
          <w:szCs w:val="32"/>
        </w:rPr>
        <w:t>。</w:t>
      </w:r>
    </w:p>
    <w:bookmarkEnd w:id="24"/>
    <w:p>
      <w:pPr>
        <w:adjustRightInd w:val="0"/>
        <w:snapToGrid w:val="0"/>
        <w:ind w:firstLine="643"/>
        <w:outlineLvl w:val="2"/>
        <w:rPr>
          <w:rFonts w:eastAsia="楷体_GB2312"/>
          <w:b/>
          <w:bCs/>
          <w:szCs w:val="32"/>
        </w:rPr>
      </w:pPr>
      <w:bookmarkStart w:id="26" w:name="_Toc72864733"/>
      <w:r>
        <w:rPr>
          <w:rFonts w:eastAsia="楷体_GB2312"/>
          <w:b/>
          <w:bCs/>
          <w:szCs w:val="32"/>
        </w:rPr>
        <w:t>（三）发展定位</w:t>
      </w:r>
      <w:bookmarkEnd w:id="26"/>
    </w:p>
    <w:p>
      <w:pPr>
        <w:pStyle w:val="2"/>
        <w:spacing w:after="0"/>
        <w:ind w:firstLine="640"/>
        <w:rPr>
          <w:szCs w:val="32"/>
        </w:rPr>
      </w:pPr>
      <w:r>
        <w:rPr>
          <w:rFonts w:hint="eastAsia"/>
          <w:szCs w:val="32"/>
        </w:rPr>
        <w:t>“双城带动”是成渝地区双城经济圈建设的最大特征，资阳有基础、有条件打造成为</w:t>
      </w:r>
      <w:bookmarkStart w:id="27" w:name="_Hlk55051913"/>
      <w:r>
        <w:rPr>
          <w:rFonts w:hint="eastAsia" w:eastAsia="楷体_GB2312"/>
          <w:b/>
          <w:bCs/>
          <w:szCs w:val="32"/>
        </w:rPr>
        <w:t>成渝主轴双门户交通枢纽</w:t>
      </w:r>
      <w:bookmarkEnd w:id="27"/>
      <w:r>
        <w:rPr>
          <w:rFonts w:hint="eastAsia"/>
          <w:szCs w:val="32"/>
        </w:rPr>
        <w:t>：</w:t>
      </w:r>
      <w:r>
        <w:rPr>
          <w:rFonts w:hint="eastAsia" w:eastAsia="楷体_GB2312"/>
          <w:b/>
          <w:bCs/>
          <w:szCs w:val="32"/>
        </w:rPr>
        <w:t>交通区位上，</w:t>
      </w:r>
      <w:r>
        <w:rPr>
          <w:rFonts w:hint="eastAsia"/>
          <w:szCs w:val="32"/>
        </w:rPr>
        <w:t>资阳是全省唯一直线连接成渝两大国家中心城市的地级市，是联动川南、川东北两翼的纽带，中心城区距双核主城区的距离之和为</w:t>
      </w:r>
      <w:r>
        <w:rPr>
          <w:szCs w:val="32"/>
        </w:rPr>
        <w:t>260</w:t>
      </w:r>
      <w:r>
        <w:rPr>
          <w:rFonts w:hint="eastAsia"/>
          <w:szCs w:val="32"/>
        </w:rPr>
        <w:t>公里，低于内江（2</w:t>
      </w:r>
      <w:r>
        <w:rPr>
          <w:szCs w:val="32"/>
        </w:rPr>
        <w:t>91</w:t>
      </w:r>
      <w:r>
        <w:rPr>
          <w:rFonts w:hint="eastAsia"/>
          <w:szCs w:val="32"/>
        </w:rPr>
        <w:t>公里）、遂宁（2</w:t>
      </w:r>
      <w:r>
        <w:rPr>
          <w:szCs w:val="32"/>
        </w:rPr>
        <w:t>87</w:t>
      </w:r>
      <w:r>
        <w:rPr>
          <w:rFonts w:hint="eastAsia"/>
          <w:szCs w:val="32"/>
        </w:rPr>
        <w:t>公里）等成渝发展主轴沿线城市，资阳是成渝直连通道几何中心。</w:t>
      </w:r>
      <w:r>
        <w:rPr>
          <w:rFonts w:hint="eastAsia" w:eastAsia="楷体_GB2312"/>
          <w:b/>
          <w:bCs/>
          <w:szCs w:val="32"/>
        </w:rPr>
        <w:t>战略机遇上，</w:t>
      </w:r>
      <w:r>
        <w:rPr>
          <w:rFonts w:hint="eastAsia"/>
          <w:szCs w:val="32"/>
        </w:rPr>
        <w:t>资阳是全省唯一</w:t>
      </w:r>
      <w:r>
        <w:rPr>
          <w:szCs w:val="32"/>
        </w:rPr>
        <w:t>既属</w:t>
      </w:r>
      <w:r>
        <w:rPr>
          <w:rFonts w:hint="eastAsia"/>
          <w:szCs w:val="32"/>
        </w:rPr>
        <w:t>成德眉资</w:t>
      </w:r>
      <w:r>
        <w:rPr>
          <w:szCs w:val="32"/>
        </w:rPr>
        <w:t>同城化区域又</w:t>
      </w:r>
      <w:r>
        <w:rPr>
          <w:rFonts w:hint="eastAsia"/>
          <w:szCs w:val="32"/>
        </w:rPr>
        <w:t>紧邻重庆都市圈</w:t>
      </w:r>
      <w:r>
        <w:rPr>
          <w:szCs w:val="32"/>
        </w:rPr>
        <w:t>的地级市，</w:t>
      </w:r>
      <w:r>
        <w:rPr>
          <w:rFonts w:hint="eastAsia"/>
          <w:szCs w:val="32"/>
        </w:rPr>
        <w:t>承担着做强</w:t>
      </w:r>
      <w:r>
        <w:rPr>
          <w:szCs w:val="32"/>
        </w:rPr>
        <w:t>成都</w:t>
      </w:r>
      <w:r>
        <w:rPr>
          <w:rFonts w:hint="eastAsia"/>
          <w:szCs w:val="32"/>
        </w:rPr>
        <w:t>都市圈主干极核东向南向门户、深化成渝相向发展的双重责任。</w:t>
      </w:r>
      <w:r>
        <w:rPr>
          <w:szCs w:val="32"/>
        </w:rPr>
        <w:t>在</w:t>
      </w:r>
      <w:r>
        <w:rPr>
          <w:rFonts w:hint="eastAsia"/>
          <w:szCs w:val="32"/>
        </w:rPr>
        <w:t>下好</w:t>
      </w:r>
      <w:r>
        <w:rPr>
          <w:snapToGrid w:val="0"/>
          <w:kern w:val="0"/>
          <w:szCs w:val="32"/>
        </w:rPr>
        <w:t>成德眉资同城化发展“先手棋”</w:t>
      </w:r>
      <w:r>
        <w:rPr>
          <w:rFonts w:hint="eastAsia"/>
          <w:snapToGrid w:val="0"/>
          <w:kern w:val="0"/>
          <w:szCs w:val="32"/>
        </w:rPr>
        <w:t>引领</w:t>
      </w:r>
      <w:r>
        <w:rPr>
          <w:szCs w:val="32"/>
        </w:rPr>
        <w:t>下</w:t>
      </w:r>
      <w:r>
        <w:rPr>
          <w:rFonts w:hint="eastAsia"/>
          <w:szCs w:val="32"/>
        </w:rPr>
        <w:t>，资阳全域将纳入成都东部新区统筹规划，协同建设成资临空经济产业带、沱江绿色发展经济带，整体打造成渝相向发展先行示范区。</w:t>
      </w:r>
      <w:r>
        <w:rPr>
          <w:rFonts w:hint="eastAsia" w:eastAsia="楷体_GB2312"/>
          <w:b/>
          <w:bCs/>
          <w:szCs w:val="32"/>
        </w:rPr>
        <w:t>枢纽布局上，</w:t>
      </w:r>
      <w:r>
        <w:rPr>
          <w:rFonts w:hint="eastAsia"/>
          <w:szCs w:val="32"/>
        </w:rPr>
        <w:t>资阳是距离天府国际机场航空枢纽最近的地级市（直线距离1</w:t>
      </w:r>
      <w:r>
        <w:rPr>
          <w:szCs w:val="32"/>
        </w:rPr>
        <w:t>8</w:t>
      </w:r>
      <w:r>
        <w:rPr>
          <w:rFonts w:hint="eastAsia"/>
          <w:szCs w:val="32"/>
        </w:rPr>
        <w:t>公里），周边枢纽港站集聚，可依托全域临空及临港优势构建成渝中部最大的客运中转换乘和物流集散中心，</w:t>
      </w:r>
      <w:r>
        <w:rPr>
          <w:szCs w:val="32"/>
        </w:rPr>
        <w:t>加快</w:t>
      </w:r>
      <w:r>
        <w:rPr>
          <w:rFonts w:hint="eastAsia"/>
          <w:szCs w:val="32"/>
        </w:rPr>
        <w:t>打造</w:t>
      </w:r>
      <w:r>
        <w:rPr>
          <w:szCs w:val="32"/>
        </w:rPr>
        <w:t>成都东部“空铁公”综合交通枢纽</w:t>
      </w:r>
      <w:r>
        <w:rPr>
          <w:rFonts w:hint="eastAsia"/>
          <w:szCs w:val="32"/>
        </w:rPr>
        <w:t>。</w:t>
      </w:r>
    </w:p>
    <w:tbl>
      <w:tblPr>
        <w:tblStyle w:val="21"/>
        <w:tblW w:w="4952"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440"/>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专栏</w:t>
            </w:r>
            <w:r>
              <w:rPr>
                <w:rFonts w:hint="eastAsia" w:eastAsia="黑体"/>
                <w:bCs/>
                <w:color w:val="000000"/>
                <w:sz w:val="24"/>
              </w:rPr>
              <w:t>3</w:t>
            </w:r>
            <w:r>
              <w:rPr>
                <w:rFonts w:eastAsia="黑体"/>
                <w:bCs/>
                <w:color w:val="000000"/>
                <w:sz w:val="24"/>
              </w:rPr>
              <w:t xml:space="preserve">   </w:t>
            </w:r>
            <w:r>
              <w:rPr>
                <w:rFonts w:hint="eastAsia" w:eastAsia="黑体"/>
                <w:bCs/>
                <w:color w:val="000000"/>
                <w:sz w:val="24"/>
              </w:rPr>
              <w:t>资阳市周边主要枢纽港站</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5000" w:type="pct"/>
            <w:shd w:val="solid" w:color="FFFFFF" w:fill="auto"/>
            <w:noWrap/>
            <w:vAlign w:val="center"/>
          </w:tcPr>
          <w:p>
            <w:pPr>
              <w:pStyle w:val="2"/>
              <w:spacing w:after="0"/>
              <w:ind w:firstLine="480"/>
              <w:rPr>
                <w:sz w:val="24"/>
              </w:rPr>
            </w:pPr>
            <w:r>
              <w:rPr>
                <w:rFonts w:hint="eastAsia"/>
                <w:sz w:val="24"/>
              </w:rPr>
              <w:t>（1）成都天府国际机场，距离资阳中心城区（下同）1</w:t>
            </w:r>
            <w:r>
              <w:rPr>
                <w:sz w:val="24"/>
              </w:rPr>
              <w:t>8</w:t>
            </w:r>
            <w:r>
              <w:rPr>
                <w:rFonts w:hint="eastAsia"/>
                <w:sz w:val="24"/>
              </w:rPr>
              <w:t>公里。</w:t>
            </w:r>
          </w:p>
          <w:p>
            <w:pPr>
              <w:pStyle w:val="2"/>
              <w:spacing w:after="0"/>
              <w:ind w:firstLine="480"/>
              <w:rPr>
                <w:sz w:val="24"/>
              </w:rPr>
            </w:pPr>
            <w:r>
              <w:rPr>
                <w:rFonts w:hint="eastAsia"/>
                <w:sz w:val="24"/>
              </w:rPr>
              <w:t>（2）成都双流国际机场，距离9</w:t>
            </w:r>
            <w:r>
              <w:rPr>
                <w:sz w:val="24"/>
              </w:rPr>
              <w:t>5</w:t>
            </w:r>
            <w:r>
              <w:rPr>
                <w:rFonts w:hint="eastAsia"/>
                <w:sz w:val="24"/>
              </w:rPr>
              <w:t>公里。</w:t>
            </w:r>
          </w:p>
          <w:p>
            <w:pPr>
              <w:pStyle w:val="2"/>
              <w:spacing w:after="0"/>
              <w:ind w:firstLine="480"/>
              <w:rPr>
                <w:sz w:val="24"/>
              </w:rPr>
            </w:pPr>
            <w:r>
              <w:rPr>
                <w:rFonts w:hint="eastAsia"/>
                <w:sz w:val="24"/>
              </w:rPr>
              <w:t>（3）成都青白江国际铁路港，距离9</w:t>
            </w:r>
            <w:r>
              <w:rPr>
                <w:sz w:val="24"/>
              </w:rPr>
              <w:t>5</w:t>
            </w:r>
            <w:r>
              <w:rPr>
                <w:rFonts w:hint="eastAsia"/>
                <w:sz w:val="24"/>
              </w:rPr>
              <w:t>公里。</w:t>
            </w:r>
          </w:p>
          <w:p>
            <w:pPr>
              <w:pStyle w:val="2"/>
              <w:spacing w:after="0"/>
              <w:ind w:firstLine="480"/>
              <w:rPr>
                <w:sz w:val="24"/>
              </w:rPr>
            </w:pPr>
            <w:r>
              <w:rPr>
                <w:rFonts w:hint="eastAsia"/>
                <w:sz w:val="24"/>
              </w:rPr>
              <w:t>（4）重庆江北国际机场，距离2</w:t>
            </w:r>
            <w:r>
              <w:rPr>
                <w:sz w:val="24"/>
              </w:rPr>
              <w:t>20</w:t>
            </w:r>
            <w:r>
              <w:rPr>
                <w:rFonts w:hint="eastAsia"/>
                <w:sz w:val="24"/>
              </w:rPr>
              <w:t>公里。</w:t>
            </w:r>
          </w:p>
          <w:p>
            <w:pPr>
              <w:pStyle w:val="2"/>
              <w:spacing w:after="0"/>
              <w:ind w:firstLine="480"/>
              <w:rPr>
                <w:sz w:val="24"/>
              </w:rPr>
            </w:pPr>
            <w:r>
              <w:rPr>
                <w:rFonts w:hint="eastAsia"/>
                <w:sz w:val="24"/>
              </w:rPr>
              <w:t>（5）重庆第二国际机场（璧山正兴），距离1</w:t>
            </w:r>
            <w:r>
              <w:rPr>
                <w:sz w:val="24"/>
              </w:rPr>
              <w:t>70</w:t>
            </w:r>
            <w:r>
              <w:rPr>
                <w:rFonts w:hint="eastAsia"/>
                <w:sz w:val="24"/>
              </w:rPr>
              <w:t>公里。</w:t>
            </w:r>
          </w:p>
          <w:p>
            <w:pPr>
              <w:pStyle w:val="2"/>
              <w:spacing w:after="0"/>
              <w:ind w:firstLine="480"/>
              <w:rPr>
                <w:sz w:val="24"/>
              </w:rPr>
            </w:pPr>
            <w:r>
              <w:rPr>
                <w:rFonts w:hint="eastAsia"/>
                <w:sz w:val="24"/>
              </w:rPr>
              <w:t>（6）重庆货运机场（荣昌），距离120公里。</w:t>
            </w:r>
          </w:p>
          <w:p>
            <w:pPr>
              <w:pStyle w:val="2"/>
              <w:spacing w:after="0"/>
              <w:ind w:firstLine="480"/>
              <w:rPr>
                <w:sz w:val="24"/>
              </w:rPr>
            </w:pPr>
            <w:r>
              <w:rPr>
                <w:rFonts w:hint="eastAsia"/>
                <w:sz w:val="24"/>
              </w:rPr>
              <w:t>（7）宜宾港，距离1</w:t>
            </w:r>
            <w:r>
              <w:rPr>
                <w:sz w:val="24"/>
              </w:rPr>
              <w:t>45</w:t>
            </w:r>
            <w:r>
              <w:rPr>
                <w:rFonts w:hint="eastAsia"/>
                <w:sz w:val="24"/>
              </w:rPr>
              <w:t>公里。</w:t>
            </w:r>
          </w:p>
          <w:p>
            <w:pPr>
              <w:pStyle w:val="2"/>
              <w:spacing w:after="0"/>
              <w:ind w:firstLine="480"/>
              <w:rPr>
                <w:sz w:val="21"/>
                <w:szCs w:val="21"/>
              </w:rPr>
            </w:pPr>
            <w:r>
              <w:rPr>
                <w:rFonts w:hint="eastAsia"/>
                <w:sz w:val="24"/>
              </w:rPr>
              <w:t>（8）泸州港，距离1</w:t>
            </w:r>
            <w:r>
              <w:rPr>
                <w:sz w:val="24"/>
              </w:rPr>
              <w:t>90</w:t>
            </w:r>
            <w:r>
              <w:rPr>
                <w:rFonts w:hint="eastAsia"/>
                <w:sz w:val="24"/>
              </w:rPr>
              <w:t>公里。</w:t>
            </w:r>
          </w:p>
        </w:tc>
      </w:tr>
    </w:tbl>
    <w:p>
      <w:pPr>
        <w:adjustRightInd w:val="0"/>
        <w:snapToGrid w:val="0"/>
        <w:ind w:firstLine="643"/>
        <w:outlineLvl w:val="2"/>
        <w:rPr>
          <w:rFonts w:eastAsia="楷体_GB2312"/>
          <w:b/>
          <w:bCs/>
          <w:szCs w:val="32"/>
        </w:rPr>
      </w:pPr>
      <w:bookmarkStart w:id="28" w:name="_Toc72864734"/>
      <w:r>
        <w:rPr>
          <w:rFonts w:eastAsia="楷体_GB2312"/>
          <w:b/>
          <w:bCs/>
          <w:szCs w:val="32"/>
        </w:rPr>
        <w:t>（四）发展目标</w:t>
      </w:r>
      <w:bookmarkEnd w:id="28"/>
    </w:p>
    <w:p>
      <w:pPr>
        <w:pStyle w:val="2"/>
        <w:spacing w:after="0"/>
        <w:ind w:firstLine="640"/>
      </w:pPr>
      <w:r>
        <w:rPr>
          <w:rFonts w:hint="eastAsia"/>
        </w:rPr>
        <w:t>到2</w:t>
      </w:r>
      <w:r>
        <w:t>025</w:t>
      </w:r>
      <w:r>
        <w:rPr>
          <w:rFonts w:hint="eastAsia"/>
        </w:rPr>
        <w:t>年，高质量完成“构建成渝地区双城经济圈一体化交通网”试点任务，高水平交通强市建设取得突破性进展，“一枢纽两区两中心”地位加快确立，行业总体发展水平居全省前列。</w:t>
      </w:r>
    </w:p>
    <w:p>
      <w:pPr>
        <w:pStyle w:val="2"/>
        <w:spacing w:after="0"/>
        <w:ind w:firstLine="643"/>
      </w:pPr>
      <w:r>
        <w:rPr>
          <w:rFonts w:eastAsia="楷体_GB2312"/>
          <w:b/>
          <w:bCs/>
          <w:szCs w:val="32"/>
        </w:rPr>
        <w:t>设施</w:t>
      </w:r>
      <w:r>
        <w:rPr>
          <w:rFonts w:hint="eastAsia" w:eastAsia="楷体_GB2312"/>
          <w:b/>
          <w:bCs/>
          <w:szCs w:val="32"/>
        </w:rPr>
        <w:t>网络更加便捷顺畅</w:t>
      </w:r>
      <w:r>
        <w:rPr>
          <w:rFonts w:eastAsia="楷体_GB2312"/>
          <w:b/>
          <w:bCs/>
          <w:szCs w:val="32"/>
        </w:rPr>
        <w:t>。</w:t>
      </w:r>
      <w:r>
        <w:rPr>
          <w:rFonts w:hint="eastAsia"/>
        </w:rPr>
        <w:t>铁路新增覆盖安岳、乐至两县，高快速公路网络进一步完善，率先迈入县县“双高铁+四高速”时代，成资间“4高7轨6快”、资渝间“4高4轨1快”综合交通走廊加快形成。普通省道三级以上占比超过70%，市辖区县间均互通一级公路。乡镇三级及以上公路连通率超过70%，30户以上自然村（组）通硬化路率超过70%，农村公路等外路段基本消除，“四好农村路”全域示范市成功创建。路网优化工程基本完成，全域通达能力有效提升，成渝主轴双门户交通枢纽基本建成。</w:t>
      </w:r>
    </w:p>
    <w:p>
      <w:pPr>
        <w:adjustRightInd w:val="0"/>
        <w:snapToGrid w:val="0"/>
        <w:ind w:firstLine="643"/>
      </w:pPr>
      <w:r>
        <w:rPr>
          <w:rFonts w:eastAsia="楷体_GB2312"/>
          <w:b/>
          <w:bCs/>
          <w:szCs w:val="32"/>
        </w:rPr>
        <w:t>服务</w:t>
      </w:r>
      <w:r>
        <w:rPr>
          <w:rFonts w:hint="eastAsia" w:eastAsia="楷体_GB2312"/>
          <w:b/>
          <w:bCs/>
          <w:szCs w:val="32"/>
        </w:rPr>
        <w:t>网络更加品质宜行</w:t>
      </w:r>
      <w:r>
        <w:rPr>
          <w:rFonts w:eastAsia="楷体_GB2312"/>
          <w:b/>
          <w:bCs/>
          <w:szCs w:val="32"/>
        </w:rPr>
        <w:t>。</w:t>
      </w:r>
      <w:r>
        <w:rPr>
          <w:rFonts w:hint="eastAsia"/>
        </w:rPr>
        <w:t>实现县县拥有铁路主导型综合客运枢纽，中心镇建有“一站多能”型综合运输服务站。定制客运、旅客联程运输水平明显提高，铁路公交化、城市公交、跨市域（省域）公交快速发展，所有区县城乡客运一体化均达AAAA及以上水平。“一港、四园、多服务站”的现代物流节点体系基本建立，枢纽场站配套集疏运设施加快完善，物流专业化程度明显提高。“快递进村”示范全面推进，“交快邮电”合作继续走在全省前列。零距离换乘畅行工程和高效率货运畅流工程基本完成，成渝中部最大中转换乘和物流集散中心基本确立。</w:t>
      </w:r>
    </w:p>
    <w:p>
      <w:pPr>
        <w:pStyle w:val="2"/>
        <w:spacing w:after="0"/>
        <w:ind w:firstLine="643"/>
      </w:pPr>
      <w:r>
        <w:rPr>
          <w:rFonts w:hint="eastAsia" w:eastAsia="楷体_GB2312"/>
          <w:b/>
          <w:bCs/>
          <w:szCs w:val="32"/>
        </w:rPr>
        <w:t>交通运维更加数字智能。</w:t>
      </w:r>
      <w:r>
        <w:rPr>
          <w:rFonts w:hint="eastAsia"/>
        </w:rPr>
        <w:t>智慧高速公路建设取得阶段性成果，高速公路（城际）快速充电网络全面建成，重要节点交通感知网络实现全覆盖，交通基础设施数字化、智能化水平显著提升。载运工具、作业设备智能化水平明显提高，北斗兼容车载终端实现重点领域全覆盖</w:t>
      </w:r>
      <w:bookmarkStart w:id="29" w:name="_Hlk70618428"/>
      <w:r>
        <w:rPr>
          <w:rFonts w:hint="eastAsia"/>
        </w:rPr>
        <w:t>。</w:t>
      </w:r>
      <w:bookmarkEnd w:id="29"/>
      <w:r>
        <w:rPr>
          <w:rFonts w:hint="eastAsia"/>
        </w:rPr>
        <w:t>电子客票、出行助手、共享平台等得到广泛应用，全程电子化出行服务体系基本形成。养护管理、监管执法、安全应急、政务服务等领域信息服务能力持续提升。</w:t>
      </w:r>
    </w:p>
    <w:p>
      <w:pPr>
        <w:pStyle w:val="2"/>
        <w:spacing w:after="0"/>
        <w:ind w:firstLine="643"/>
        <w:rPr>
          <w:rFonts w:eastAsia="楷体_GB2312"/>
          <w:b/>
          <w:bCs/>
          <w:sz w:val="36"/>
          <w:szCs w:val="28"/>
        </w:rPr>
      </w:pPr>
      <w:r>
        <w:rPr>
          <w:rFonts w:hint="eastAsia" w:eastAsia="楷体_GB2312"/>
          <w:b/>
          <w:bCs/>
          <w:szCs w:val="32"/>
        </w:rPr>
        <w:t>出行环境更加安全绿色。</w:t>
      </w:r>
      <w:r>
        <w:rPr>
          <w:rFonts w:hint="eastAsia"/>
        </w:rPr>
        <w:t>绿色交通发展成效显著，沱江资阳段、铁路及公路沿线绿化美化进一步提升，运营车船交通碳排放强度持续下降，城市公交新增和更新车辆全部实现新能源化，货运车辆标准化、厢式化、轻量化有效推进。</w:t>
      </w:r>
      <w:bookmarkStart w:id="30" w:name="_Hlk70617665"/>
      <w:r>
        <w:rPr>
          <w:rFonts w:hint="eastAsia"/>
        </w:rPr>
        <w:t>设施防护水平有效提升，实现所有新增县乡道及通客车村道安防设施全覆盖，全面消除</w:t>
      </w:r>
      <w:r>
        <w:t>2020</w:t>
      </w:r>
      <w:r>
        <w:rPr>
          <w:rFonts w:hint="eastAsia"/>
        </w:rPr>
        <w:t>年底存量四、五类桥梁和处治当年国省干线公路新发现四、五类桥梁。跨方式、跨部门安全风险防控体系、应急救援体系进一步健全，交通运输安全多方共治格局基本形成，重特大事故发生率进一步降低。</w:t>
      </w:r>
    </w:p>
    <w:bookmarkEnd w:id="30"/>
    <w:p>
      <w:pPr>
        <w:pStyle w:val="2"/>
        <w:spacing w:after="0"/>
        <w:ind w:firstLine="643"/>
      </w:pPr>
      <w:r>
        <w:rPr>
          <w:rFonts w:hint="eastAsia" w:eastAsia="楷体_GB2312"/>
          <w:b/>
          <w:bCs/>
          <w:szCs w:val="32"/>
        </w:rPr>
        <w:t>行业治理更加规范完善。</w:t>
      </w:r>
      <w:r>
        <w:rPr>
          <w:rFonts w:hint="eastAsia"/>
        </w:rPr>
        <w:t>行业改革有效落实、机制创新探索有力，有效指导区县开展各级各类示范创建，交通运输部门绩效评估在全省交通运输行业及市属部门间保持“双领先”。交通融合发展形成新业态，创响“交旅融合”“交邮融合”“交产融合”等资阳交通名片。成资交通协同共建机制更加健全，政策、标准等充分对接，全面形成同城一体、共建共享的交通发展格局。经济产业提质工程和体制改革工程基本完成，“交通+”产业集群先行区和同城化交通管理创新区基本确立。</w:t>
      </w:r>
    </w:p>
    <w:p>
      <w:pPr>
        <w:pStyle w:val="2"/>
        <w:spacing w:after="0"/>
        <w:ind w:firstLine="640"/>
      </w:pPr>
      <w:r>
        <w:rPr>
          <w:rFonts w:hint="eastAsia"/>
        </w:rPr>
        <w:t>展望2035年，基本建成“人民满意、保障有力、全省前列”的交通强市，全面建成资源集约高效利用的综合交通网络和供需能力精准匹配的运输服务网络，交通安全水平、创新能力、治理能力、可持续发展能力全面提升，基本实现交通治理体系和治理能力现代化。</w:t>
      </w:r>
      <w:bookmarkStart w:id="31" w:name="_Hlk65241545"/>
    </w:p>
    <w:tbl>
      <w:tblPr>
        <w:tblStyle w:val="21"/>
        <w:tblW w:w="877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67"/>
        <w:gridCol w:w="549"/>
        <w:gridCol w:w="3387"/>
        <w:gridCol w:w="1026"/>
        <w:gridCol w:w="992"/>
        <w:gridCol w:w="1134"/>
        <w:gridCol w:w="11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trPr>
        <w:tc>
          <w:tcPr>
            <w:tcW w:w="8779" w:type="dxa"/>
            <w:gridSpan w:val="7"/>
            <w:shd w:val="clear" w:color="auto" w:fill="FFFFFF" w:themeFill="background1"/>
            <w:vAlign w:val="center"/>
          </w:tcPr>
          <w:p>
            <w:pPr>
              <w:adjustRightInd w:val="0"/>
              <w:snapToGrid w:val="0"/>
              <w:spacing w:line="240" w:lineRule="auto"/>
              <w:ind w:firstLine="0" w:firstLineChars="0"/>
              <w:jc w:val="center"/>
              <w:rPr>
                <w:rFonts w:eastAsia="黑体"/>
                <w:bCs/>
                <w:color w:val="000000"/>
                <w:kern w:val="0"/>
                <w:sz w:val="24"/>
              </w:rPr>
            </w:pPr>
            <w:r>
              <w:rPr>
                <w:rFonts w:hint="eastAsia" w:eastAsia="黑体"/>
                <w:bCs/>
                <w:color w:val="000000"/>
                <w:kern w:val="0"/>
                <w:sz w:val="24"/>
              </w:rPr>
              <w:t>专栏4</w:t>
            </w:r>
            <w:r>
              <w:rPr>
                <w:rFonts w:eastAsia="黑体"/>
                <w:bCs/>
                <w:color w:val="000000"/>
                <w:kern w:val="0"/>
                <w:sz w:val="24"/>
              </w:rPr>
              <w:t xml:space="preserve">   </w:t>
            </w:r>
            <w:r>
              <w:rPr>
                <w:rFonts w:hint="eastAsia" w:eastAsia="黑体"/>
                <w:bCs/>
                <w:color w:val="000000"/>
                <w:kern w:val="0"/>
                <w:sz w:val="24"/>
              </w:rPr>
              <w:t>资阳市“十四五”综合交通运输发展主要指标表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blHeader/>
        </w:trPr>
        <w:tc>
          <w:tcPr>
            <w:tcW w:w="1116" w:type="dxa"/>
            <w:gridSpan w:val="2"/>
            <w:shd w:val="clear" w:color="auto" w:fill="FFFFFF" w:themeFill="background1"/>
            <w:vAlign w:val="center"/>
          </w:tcPr>
          <w:p>
            <w:pPr>
              <w:widowControl/>
              <w:spacing w:line="240" w:lineRule="auto"/>
              <w:ind w:firstLine="0" w:firstLineChars="0"/>
              <w:jc w:val="center"/>
              <w:rPr>
                <w:rFonts w:eastAsia="黑体"/>
                <w:kern w:val="0"/>
                <w:sz w:val="21"/>
                <w:szCs w:val="21"/>
              </w:rPr>
            </w:pPr>
            <w:bookmarkStart w:id="32" w:name="_Hlk66463061"/>
            <w:r>
              <w:rPr>
                <w:rFonts w:eastAsia="黑体"/>
                <w:kern w:val="0"/>
                <w:sz w:val="21"/>
                <w:szCs w:val="21"/>
              </w:rPr>
              <w:t>类别</w:t>
            </w:r>
          </w:p>
        </w:tc>
        <w:tc>
          <w:tcPr>
            <w:tcW w:w="3387" w:type="dxa"/>
            <w:shd w:val="clear" w:color="auto" w:fill="FFFFFF" w:themeFill="background1"/>
            <w:vAlign w:val="center"/>
          </w:tcPr>
          <w:p>
            <w:pPr>
              <w:widowControl/>
              <w:spacing w:line="240" w:lineRule="auto"/>
              <w:ind w:firstLine="0" w:firstLineChars="0"/>
              <w:jc w:val="center"/>
              <w:rPr>
                <w:rFonts w:eastAsia="黑体"/>
                <w:kern w:val="0"/>
                <w:sz w:val="21"/>
                <w:szCs w:val="21"/>
              </w:rPr>
            </w:pPr>
            <w:r>
              <w:rPr>
                <w:rFonts w:eastAsia="黑体"/>
                <w:kern w:val="0"/>
                <w:sz w:val="21"/>
                <w:szCs w:val="21"/>
              </w:rPr>
              <w:t>指标</w:t>
            </w:r>
          </w:p>
        </w:tc>
        <w:tc>
          <w:tcPr>
            <w:tcW w:w="1026" w:type="dxa"/>
            <w:shd w:val="clear" w:color="auto" w:fill="FFFFFF" w:themeFill="background1"/>
            <w:vAlign w:val="center"/>
          </w:tcPr>
          <w:p>
            <w:pPr>
              <w:widowControl/>
              <w:spacing w:line="240" w:lineRule="auto"/>
              <w:ind w:firstLine="0" w:firstLineChars="0"/>
              <w:jc w:val="center"/>
              <w:rPr>
                <w:rFonts w:eastAsia="黑体"/>
                <w:kern w:val="0"/>
                <w:sz w:val="21"/>
                <w:szCs w:val="21"/>
              </w:rPr>
            </w:pPr>
            <w:r>
              <w:rPr>
                <w:rFonts w:eastAsia="黑体"/>
                <w:kern w:val="0"/>
                <w:sz w:val="21"/>
                <w:szCs w:val="21"/>
              </w:rPr>
              <w:t>2020年</w:t>
            </w:r>
          </w:p>
        </w:tc>
        <w:tc>
          <w:tcPr>
            <w:tcW w:w="992" w:type="dxa"/>
            <w:shd w:val="clear" w:color="auto" w:fill="FFFFFF" w:themeFill="background1"/>
            <w:vAlign w:val="center"/>
          </w:tcPr>
          <w:p>
            <w:pPr>
              <w:widowControl/>
              <w:spacing w:line="240" w:lineRule="auto"/>
              <w:ind w:firstLine="0" w:firstLineChars="0"/>
              <w:jc w:val="center"/>
              <w:rPr>
                <w:rFonts w:eastAsia="黑体"/>
                <w:kern w:val="0"/>
                <w:sz w:val="21"/>
                <w:szCs w:val="21"/>
              </w:rPr>
            </w:pPr>
            <w:r>
              <w:rPr>
                <w:rFonts w:eastAsia="黑体"/>
                <w:kern w:val="0"/>
                <w:sz w:val="21"/>
                <w:szCs w:val="21"/>
              </w:rPr>
              <w:t>2025年</w:t>
            </w:r>
          </w:p>
        </w:tc>
        <w:tc>
          <w:tcPr>
            <w:tcW w:w="1134" w:type="dxa"/>
            <w:shd w:val="clear" w:color="auto" w:fill="FFFFFF" w:themeFill="background1"/>
            <w:vAlign w:val="center"/>
          </w:tcPr>
          <w:p>
            <w:pPr>
              <w:widowControl/>
              <w:spacing w:line="240" w:lineRule="auto"/>
              <w:ind w:firstLine="0" w:firstLineChars="0"/>
              <w:jc w:val="center"/>
              <w:rPr>
                <w:rFonts w:eastAsia="黑体"/>
                <w:kern w:val="0"/>
                <w:sz w:val="21"/>
                <w:szCs w:val="21"/>
              </w:rPr>
            </w:pPr>
            <w:r>
              <w:rPr>
                <w:rFonts w:hint="eastAsia" w:eastAsia="黑体"/>
                <w:kern w:val="0"/>
                <w:sz w:val="21"/>
                <w:szCs w:val="21"/>
              </w:rPr>
              <w:t>四川省</w:t>
            </w:r>
          </w:p>
        </w:tc>
        <w:tc>
          <w:tcPr>
            <w:tcW w:w="1124" w:type="dxa"/>
            <w:shd w:val="clear" w:color="auto" w:fill="FFFFFF" w:themeFill="background1"/>
            <w:vAlign w:val="center"/>
          </w:tcPr>
          <w:p>
            <w:pPr>
              <w:widowControl/>
              <w:spacing w:line="240" w:lineRule="auto"/>
              <w:ind w:firstLine="0" w:firstLineChars="0"/>
              <w:jc w:val="center"/>
              <w:rPr>
                <w:rFonts w:eastAsia="黑体"/>
                <w:kern w:val="0"/>
                <w:sz w:val="21"/>
                <w:szCs w:val="21"/>
              </w:rPr>
            </w:pPr>
            <w:r>
              <w:rPr>
                <w:rFonts w:hint="eastAsia" w:eastAsia="黑体"/>
                <w:kern w:val="0"/>
                <w:sz w:val="21"/>
                <w:szCs w:val="21"/>
              </w:rPr>
              <w:t>指标类型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restart"/>
            <w:shd w:val="clear" w:color="auto" w:fill="auto"/>
            <w:vAlign w:val="center"/>
          </w:tcPr>
          <w:p>
            <w:pPr>
              <w:widowControl/>
              <w:spacing w:line="240" w:lineRule="auto"/>
              <w:ind w:firstLine="0" w:firstLineChars="0"/>
              <w:jc w:val="center"/>
              <w:rPr>
                <w:kern w:val="0"/>
                <w:sz w:val="21"/>
                <w:szCs w:val="21"/>
              </w:rPr>
            </w:pPr>
            <w:r>
              <w:rPr>
                <w:kern w:val="0"/>
                <w:sz w:val="21"/>
                <w:szCs w:val="21"/>
              </w:rPr>
              <w:t>设</w:t>
            </w:r>
          </w:p>
          <w:p>
            <w:pPr>
              <w:widowControl/>
              <w:spacing w:line="240" w:lineRule="auto"/>
              <w:ind w:firstLine="0" w:firstLineChars="0"/>
              <w:jc w:val="center"/>
              <w:rPr>
                <w:kern w:val="0"/>
                <w:sz w:val="21"/>
                <w:szCs w:val="21"/>
              </w:rPr>
            </w:pPr>
            <w:r>
              <w:rPr>
                <w:kern w:val="0"/>
                <w:sz w:val="21"/>
                <w:szCs w:val="21"/>
              </w:rPr>
              <w:t>施</w:t>
            </w:r>
          </w:p>
          <w:p>
            <w:pPr>
              <w:pStyle w:val="2"/>
              <w:spacing w:after="0" w:line="240" w:lineRule="auto"/>
              <w:ind w:firstLine="0" w:firstLineChars="0"/>
              <w:jc w:val="center"/>
              <w:rPr>
                <w:kern w:val="0"/>
                <w:sz w:val="21"/>
                <w:szCs w:val="21"/>
              </w:rPr>
            </w:pPr>
            <w:r>
              <w:rPr>
                <w:rFonts w:hint="eastAsia"/>
                <w:kern w:val="0"/>
                <w:sz w:val="21"/>
                <w:szCs w:val="21"/>
              </w:rPr>
              <w:t>网络</w:t>
            </w:r>
          </w:p>
          <w:p>
            <w:pPr>
              <w:pStyle w:val="2"/>
              <w:spacing w:after="0"/>
              <w:ind w:firstLine="420"/>
              <w:jc w:val="center"/>
              <w:rPr>
                <w:kern w:val="0"/>
                <w:sz w:val="21"/>
                <w:szCs w:val="21"/>
              </w:rPr>
            </w:pPr>
          </w:p>
        </w:tc>
        <w:tc>
          <w:tcPr>
            <w:tcW w:w="549" w:type="dxa"/>
            <w:vMerge w:val="restart"/>
            <w:vAlign w:val="center"/>
          </w:tcPr>
          <w:p>
            <w:pPr>
              <w:widowControl/>
              <w:spacing w:line="240" w:lineRule="auto"/>
              <w:ind w:firstLine="0" w:firstLineChars="0"/>
              <w:jc w:val="center"/>
              <w:rPr>
                <w:kern w:val="0"/>
                <w:sz w:val="21"/>
                <w:szCs w:val="21"/>
              </w:rPr>
            </w:pPr>
            <w:r>
              <w:rPr>
                <w:kern w:val="0"/>
                <w:sz w:val="21"/>
                <w:szCs w:val="21"/>
              </w:rPr>
              <w:t>路网规模</w:t>
            </w:r>
          </w:p>
        </w:tc>
        <w:tc>
          <w:tcPr>
            <w:tcW w:w="3387" w:type="dxa"/>
            <w:shd w:val="clear" w:color="auto" w:fill="auto"/>
            <w:vAlign w:val="center"/>
          </w:tcPr>
          <w:p>
            <w:pPr>
              <w:widowControl/>
              <w:adjustRightInd w:val="0"/>
              <w:snapToGrid w:val="0"/>
              <w:spacing w:line="240" w:lineRule="auto"/>
              <w:ind w:firstLine="0" w:firstLineChars="0"/>
              <w:jc w:val="center"/>
              <w:rPr>
                <w:kern w:val="0"/>
                <w:sz w:val="21"/>
                <w:szCs w:val="21"/>
              </w:rPr>
            </w:pPr>
            <w:r>
              <w:rPr>
                <w:kern w:val="0"/>
                <w:sz w:val="21"/>
                <w:szCs w:val="21"/>
              </w:rPr>
              <w:t>公路网总里程（公里）</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2527</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4</w:t>
            </w:r>
            <w:r>
              <w:rPr>
                <w:kern w:val="0"/>
                <w:sz w:val="21"/>
                <w:szCs w:val="21"/>
              </w:rPr>
              <w:t>34000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jc w:val="center"/>
              <w:rPr>
                <w:kern w:val="0"/>
                <w:sz w:val="21"/>
                <w:szCs w:val="21"/>
              </w:rPr>
            </w:pPr>
            <w:r>
              <w:rPr>
                <w:kern w:val="0"/>
                <w:sz w:val="21"/>
                <w:szCs w:val="21"/>
              </w:rPr>
              <w:t>高速公路</w:t>
            </w:r>
            <w:r>
              <w:rPr>
                <w:rFonts w:hint="eastAsia"/>
                <w:kern w:val="0"/>
                <w:sz w:val="21"/>
                <w:szCs w:val="21"/>
              </w:rPr>
              <w:t>通车</w:t>
            </w:r>
            <w:r>
              <w:rPr>
                <w:kern w:val="0"/>
                <w:sz w:val="21"/>
                <w:szCs w:val="21"/>
              </w:rPr>
              <w:t>里程（公里）</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380</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5</w:t>
            </w:r>
            <w:r>
              <w:rPr>
                <w:kern w:val="0"/>
                <w:sz w:val="21"/>
                <w:szCs w:val="21"/>
              </w:rPr>
              <w:t>70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1000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铁路营业</w:t>
            </w:r>
            <w:r>
              <w:rPr>
                <w:kern w:val="0"/>
                <w:sz w:val="21"/>
                <w:szCs w:val="21"/>
              </w:rPr>
              <w:t>里程（公里）</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89</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306</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8</w:t>
            </w:r>
            <w:r>
              <w:rPr>
                <w:kern w:val="0"/>
                <w:sz w:val="21"/>
                <w:szCs w:val="21"/>
              </w:rPr>
              <w:t>100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shd w:val="clear" w:color="auto" w:fill="FFFFFF" w:themeFill="background1"/>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FFFFFF" w:themeFill="background1"/>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高速铁路营业里程（公里）</w:t>
            </w:r>
          </w:p>
        </w:tc>
        <w:tc>
          <w:tcPr>
            <w:tcW w:w="1026" w:type="dxa"/>
            <w:shd w:val="clear" w:color="auto" w:fill="FFFFFF" w:themeFill="background1"/>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44.3</w:t>
            </w:r>
          </w:p>
        </w:tc>
        <w:tc>
          <w:tcPr>
            <w:tcW w:w="992" w:type="dxa"/>
            <w:shd w:val="clear" w:color="auto" w:fill="FFFFFF" w:themeFill="background1"/>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242</w:t>
            </w:r>
          </w:p>
        </w:tc>
        <w:tc>
          <w:tcPr>
            <w:tcW w:w="1134" w:type="dxa"/>
            <w:shd w:val="clear" w:color="auto" w:fill="FFFFFF" w:themeFill="background1"/>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800</w:t>
            </w:r>
          </w:p>
        </w:tc>
        <w:tc>
          <w:tcPr>
            <w:tcW w:w="1124" w:type="dxa"/>
            <w:shd w:val="clear" w:color="auto" w:fill="FFFFFF" w:themeFill="background1"/>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等级结构</w:t>
            </w:r>
          </w:p>
        </w:tc>
        <w:tc>
          <w:tcPr>
            <w:tcW w:w="3387" w:type="dxa"/>
            <w:shd w:val="clear" w:color="auto" w:fill="auto"/>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二</w:t>
            </w:r>
            <w:r>
              <w:rPr>
                <w:kern w:val="0"/>
                <w:sz w:val="21"/>
                <w:szCs w:val="21"/>
              </w:rPr>
              <w:t>级</w:t>
            </w:r>
            <w:r>
              <w:rPr>
                <w:rFonts w:hint="eastAsia"/>
                <w:kern w:val="0"/>
                <w:sz w:val="21"/>
                <w:szCs w:val="21"/>
              </w:rPr>
              <w:t>及以上公路</w:t>
            </w:r>
            <w:r>
              <w:rPr>
                <w:kern w:val="0"/>
                <w:sz w:val="21"/>
                <w:szCs w:val="21"/>
              </w:rPr>
              <w:t>比</w:t>
            </w:r>
            <w:r>
              <w:rPr>
                <w:rFonts w:hint="eastAsia"/>
                <w:kern w:val="0"/>
                <w:sz w:val="21"/>
                <w:szCs w:val="21"/>
              </w:rPr>
              <w:t>重</w:t>
            </w:r>
            <w:r>
              <w:rPr>
                <w:kern w:val="0"/>
                <w:sz w:val="21"/>
                <w:szCs w:val="21"/>
              </w:rPr>
              <w:t>（%）</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6</w:t>
            </w:r>
            <w:r>
              <w:rPr>
                <w:kern w:val="0"/>
                <w:sz w:val="21"/>
                <w:szCs w:val="21"/>
              </w:rPr>
              <w:t>.5</w:t>
            </w:r>
          </w:p>
        </w:tc>
        <w:tc>
          <w:tcPr>
            <w:tcW w:w="992" w:type="dxa"/>
            <w:shd w:val="clear" w:color="auto" w:fill="auto"/>
            <w:noWrap/>
            <w:vAlign w:val="center"/>
          </w:tcPr>
          <w:p>
            <w:pPr>
              <w:widowControl/>
              <w:adjustRightInd w:val="0"/>
              <w:snapToGrid w:val="0"/>
              <w:spacing w:line="240" w:lineRule="auto"/>
              <w:ind w:firstLine="0" w:firstLineChars="0"/>
              <w:jc w:val="center"/>
              <w:rPr>
                <w:rFonts w:hint="eastAsia"/>
                <w:kern w:val="0"/>
                <w:sz w:val="21"/>
                <w:szCs w:val="21"/>
              </w:rPr>
            </w:pPr>
            <w:r>
              <w:rPr>
                <w:rFonts w:hint="eastAsia"/>
                <w:kern w:val="0"/>
                <w:sz w:val="21"/>
                <w:szCs w:val="21"/>
              </w:rPr>
              <w:t>＞1</w:t>
            </w:r>
            <w:r>
              <w:rPr>
                <w:kern w:val="0"/>
                <w:sz w:val="21"/>
                <w:szCs w:val="21"/>
              </w:rPr>
              <w:t>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未设定</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普通省道三级及以上比重（%）</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4</w:t>
            </w:r>
            <w:r>
              <w:rPr>
                <w:kern w:val="0"/>
                <w:sz w:val="21"/>
                <w:szCs w:val="21"/>
              </w:rPr>
              <w:t>5</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7</w:t>
            </w:r>
            <w:r>
              <w:rPr>
                <w:kern w:val="0"/>
                <w:sz w:val="21"/>
                <w:szCs w:val="21"/>
              </w:rPr>
              <w:t>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6</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路网覆盖</w:t>
            </w:r>
          </w:p>
        </w:tc>
        <w:tc>
          <w:tcPr>
            <w:tcW w:w="3387" w:type="dxa"/>
            <w:shd w:val="clear" w:color="auto" w:fill="auto"/>
            <w:vAlign w:val="center"/>
          </w:tcPr>
          <w:p>
            <w:pPr>
              <w:widowControl/>
              <w:adjustRightInd w:val="0"/>
              <w:snapToGrid w:val="0"/>
              <w:spacing w:line="240" w:lineRule="auto"/>
              <w:ind w:firstLine="0" w:firstLineChars="0"/>
              <w:jc w:val="left"/>
              <w:rPr>
                <w:kern w:val="0"/>
                <w:sz w:val="21"/>
                <w:szCs w:val="21"/>
              </w:rPr>
            </w:pPr>
            <w:r>
              <w:rPr>
                <w:kern w:val="0"/>
                <w:sz w:val="21"/>
                <w:szCs w:val="21"/>
              </w:rPr>
              <w:t>乡镇三级及以上公路</w:t>
            </w:r>
            <w:r>
              <w:rPr>
                <w:rFonts w:hint="eastAsia"/>
                <w:kern w:val="0"/>
                <w:sz w:val="21"/>
                <w:szCs w:val="21"/>
              </w:rPr>
              <w:t>连通率</w:t>
            </w:r>
            <w:r>
              <w:rPr>
                <w:kern w:val="0"/>
                <w:sz w:val="21"/>
                <w:szCs w:val="21"/>
              </w:rPr>
              <w:t>（%）</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56</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70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6</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jc w:val="left"/>
              <w:rPr>
                <w:kern w:val="0"/>
                <w:sz w:val="21"/>
                <w:szCs w:val="21"/>
              </w:rPr>
            </w:pPr>
            <w:r>
              <w:rPr>
                <w:kern w:val="0"/>
                <w:sz w:val="21"/>
                <w:szCs w:val="21"/>
              </w:rPr>
              <w:t>30户以上自然村</w:t>
            </w:r>
            <w:r>
              <w:rPr>
                <w:rFonts w:hint="eastAsia"/>
                <w:kern w:val="0"/>
                <w:sz w:val="21"/>
                <w:szCs w:val="21"/>
              </w:rPr>
              <w:t>（</w:t>
            </w:r>
            <w:r>
              <w:rPr>
                <w:kern w:val="0"/>
                <w:sz w:val="21"/>
                <w:szCs w:val="21"/>
              </w:rPr>
              <w:t>组</w:t>
            </w:r>
            <w:r>
              <w:rPr>
                <w:rFonts w:hint="eastAsia"/>
                <w:kern w:val="0"/>
                <w:sz w:val="21"/>
                <w:szCs w:val="21"/>
              </w:rPr>
              <w:t>）</w:t>
            </w:r>
            <w:r>
              <w:rPr>
                <w:kern w:val="0"/>
                <w:sz w:val="21"/>
                <w:szCs w:val="21"/>
              </w:rPr>
              <w:t>通硬化路率（%）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2</w:t>
            </w:r>
            <w:r>
              <w:rPr>
                <w:kern w:val="0"/>
                <w:sz w:val="21"/>
                <w:szCs w:val="21"/>
              </w:rPr>
              <w:t>7</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7</w:t>
            </w:r>
            <w:r>
              <w:rPr>
                <w:kern w:val="0"/>
                <w:sz w:val="21"/>
                <w:szCs w:val="21"/>
              </w:rPr>
              <w:t>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6</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路况水平</w:t>
            </w: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高速公路优等路率率（%）</w:t>
            </w:r>
          </w:p>
        </w:tc>
        <w:tc>
          <w:tcPr>
            <w:tcW w:w="1026" w:type="dxa"/>
            <w:shd w:val="clear" w:color="auto" w:fill="auto"/>
            <w:noWrap/>
            <w:vAlign w:val="center"/>
          </w:tcPr>
          <w:p>
            <w:pPr>
              <w:widowControl/>
              <w:adjustRightInd w:val="0"/>
              <w:snapToGrid w:val="0"/>
              <w:spacing w:line="240" w:lineRule="auto"/>
              <w:ind w:firstLine="0" w:firstLineChars="0"/>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rPr>
                <w:kern w:val="0"/>
                <w:sz w:val="21"/>
                <w:szCs w:val="21"/>
              </w:rPr>
            </w:pPr>
            <w:r>
              <w:rPr>
                <w:rFonts w:hint="eastAsia"/>
                <w:kern w:val="0"/>
                <w:sz w:val="21"/>
                <w:szCs w:val="21"/>
              </w:rPr>
              <w:t>≥90</w:t>
            </w:r>
          </w:p>
        </w:tc>
        <w:tc>
          <w:tcPr>
            <w:tcW w:w="1134" w:type="dxa"/>
            <w:vAlign w:val="center"/>
          </w:tcPr>
          <w:p>
            <w:pPr>
              <w:widowControl/>
              <w:adjustRightInd w:val="0"/>
              <w:snapToGrid w:val="0"/>
              <w:spacing w:line="240" w:lineRule="auto"/>
              <w:ind w:firstLine="0" w:firstLineChars="0"/>
              <w:rPr>
                <w:kern w:val="0"/>
                <w:sz w:val="21"/>
                <w:szCs w:val="21"/>
              </w:rPr>
            </w:pPr>
            <w:r>
              <w:rPr>
                <w:rFonts w:hint="eastAsia"/>
                <w:kern w:val="0"/>
                <w:sz w:val="21"/>
                <w:szCs w:val="21"/>
              </w:rPr>
              <w:t>9</w:t>
            </w:r>
            <w:r>
              <w:rPr>
                <w:kern w:val="0"/>
                <w:sz w:val="21"/>
                <w:szCs w:val="21"/>
              </w:rPr>
              <w:t>0</w:t>
            </w:r>
            <w:r>
              <w:rPr>
                <w:rFonts w:hint="eastAsia"/>
                <w:kern w:val="0"/>
                <w:sz w:val="21"/>
                <w:szCs w:val="21"/>
              </w:rPr>
              <w:t>（部设定）</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tcPr>
          <w:p>
            <w:pPr>
              <w:widowControl/>
              <w:adjustRightInd w:val="0"/>
              <w:snapToGrid w:val="0"/>
              <w:spacing w:line="240" w:lineRule="auto"/>
              <w:ind w:firstLine="0" w:firstLineChars="0"/>
              <w:jc w:val="left"/>
              <w:rPr>
                <w:kern w:val="0"/>
                <w:sz w:val="21"/>
                <w:szCs w:val="21"/>
              </w:rPr>
            </w:pPr>
            <w:r>
              <w:rPr>
                <w:rFonts w:hint="eastAsia"/>
                <w:kern w:val="0"/>
                <w:sz w:val="21"/>
                <w:szCs w:val="21"/>
              </w:rPr>
              <w:t>普通国省道优良路率（%）</w:t>
            </w:r>
          </w:p>
        </w:tc>
        <w:tc>
          <w:tcPr>
            <w:tcW w:w="1026" w:type="dxa"/>
            <w:shd w:val="clear" w:color="auto" w:fill="auto"/>
            <w:noWrap/>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tcPr>
          <w:p>
            <w:pPr>
              <w:widowControl/>
              <w:adjustRightInd w:val="0"/>
              <w:snapToGrid w:val="0"/>
              <w:spacing w:line="240" w:lineRule="auto"/>
              <w:ind w:firstLine="0" w:firstLineChars="0"/>
              <w:jc w:val="center"/>
              <w:rPr>
                <w:kern w:val="0"/>
                <w:sz w:val="21"/>
                <w:szCs w:val="21"/>
              </w:rPr>
            </w:pPr>
            <w:r>
              <w:rPr>
                <w:rFonts w:hint="eastAsia"/>
                <w:kern w:val="0"/>
                <w:sz w:val="21"/>
                <w:szCs w:val="21"/>
              </w:rPr>
              <w:t>≥90</w:t>
            </w:r>
          </w:p>
        </w:tc>
        <w:tc>
          <w:tcPr>
            <w:tcW w:w="1134" w:type="dxa"/>
          </w:tcPr>
          <w:p>
            <w:pPr>
              <w:widowControl/>
              <w:adjustRightInd w:val="0"/>
              <w:snapToGrid w:val="0"/>
              <w:spacing w:line="240" w:lineRule="auto"/>
              <w:ind w:firstLine="0" w:firstLineChars="0"/>
              <w:jc w:val="center"/>
              <w:rPr>
                <w:kern w:val="0"/>
                <w:sz w:val="21"/>
                <w:szCs w:val="21"/>
              </w:rPr>
            </w:pPr>
            <w:r>
              <w:rPr>
                <w:rFonts w:hint="eastAsia"/>
                <w:kern w:val="0"/>
                <w:sz w:val="21"/>
                <w:szCs w:val="21"/>
              </w:rPr>
              <w:t>≥90</w:t>
            </w:r>
          </w:p>
        </w:tc>
        <w:tc>
          <w:tcPr>
            <w:tcW w:w="1124" w:type="dxa"/>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9"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tcPr>
          <w:p>
            <w:pPr>
              <w:widowControl/>
              <w:adjustRightInd w:val="0"/>
              <w:snapToGrid w:val="0"/>
              <w:spacing w:line="240" w:lineRule="auto"/>
              <w:ind w:firstLine="0" w:firstLineChars="0"/>
              <w:jc w:val="left"/>
              <w:rPr>
                <w:kern w:val="0"/>
                <w:sz w:val="21"/>
                <w:szCs w:val="21"/>
              </w:rPr>
            </w:pPr>
            <w:r>
              <w:rPr>
                <w:rFonts w:hint="eastAsia"/>
                <w:kern w:val="0"/>
                <w:sz w:val="21"/>
                <w:szCs w:val="21"/>
              </w:rPr>
              <w:t>农村公路优良中等路率（%）</w:t>
            </w:r>
          </w:p>
        </w:tc>
        <w:tc>
          <w:tcPr>
            <w:tcW w:w="1026" w:type="dxa"/>
            <w:shd w:val="clear" w:color="auto" w:fill="auto"/>
            <w:noWrap/>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tcPr>
          <w:p>
            <w:pPr>
              <w:widowControl/>
              <w:adjustRightInd w:val="0"/>
              <w:snapToGrid w:val="0"/>
              <w:spacing w:line="240" w:lineRule="auto"/>
              <w:ind w:firstLine="0" w:firstLineChars="0"/>
              <w:jc w:val="center"/>
              <w:rPr>
                <w:kern w:val="0"/>
                <w:sz w:val="21"/>
                <w:szCs w:val="21"/>
              </w:rPr>
            </w:pPr>
            <w:r>
              <w:rPr>
                <w:rFonts w:hint="eastAsia"/>
                <w:kern w:val="0"/>
                <w:sz w:val="21"/>
                <w:szCs w:val="21"/>
              </w:rPr>
              <w:t>≥70</w:t>
            </w:r>
          </w:p>
        </w:tc>
        <w:tc>
          <w:tcPr>
            <w:tcW w:w="1134" w:type="dxa"/>
          </w:tcPr>
          <w:p>
            <w:pPr>
              <w:widowControl/>
              <w:adjustRightInd w:val="0"/>
              <w:snapToGrid w:val="0"/>
              <w:spacing w:line="240" w:lineRule="auto"/>
              <w:ind w:firstLine="0" w:firstLineChars="0"/>
              <w:jc w:val="center"/>
              <w:rPr>
                <w:kern w:val="0"/>
                <w:sz w:val="21"/>
                <w:szCs w:val="21"/>
              </w:rPr>
            </w:pPr>
            <w:r>
              <w:rPr>
                <w:rFonts w:hint="eastAsia"/>
                <w:kern w:val="0"/>
                <w:sz w:val="21"/>
                <w:szCs w:val="21"/>
              </w:rPr>
              <w:t>≥70</w:t>
            </w:r>
          </w:p>
        </w:tc>
        <w:tc>
          <w:tcPr>
            <w:tcW w:w="1124" w:type="dxa"/>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restart"/>
            <w:shd w:val="clear" w:color="auto" w:fill="auto"/>
            <w:vAlign w:val="center"/>
          </w:tcPr>
          <w:p>
            <w:pPr>
              <w:widowControl/>
              <w:spacing w:line="240" w:lineRule="auto"/>
              <w:ind w:firstLine="0" w:firstLineChars="0"/>
              <w:jc w:val="center"/>
              <w:rPr>
                <w:kern w:val="0"/>
                <w:sz w:val="21"/>
                <w:szCs w:val="21"/>
              </w:rPr>
            </w:pPr>
            <w:r>
              <w:rPr>
                <w:kern w:val="0"/>
                <w:sz w:val="21"/>
                <w:szCs w:val="21"/>
              </w:rPr>
              <w:t>运输服务</w:t>
            </w: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服务</w:t>
            </w:r>
            <w:r>
              <w:rPr>
                <w:rFonts w:hint="eastAsia"/>
                <w:kern w:val="0"/>
                <w:sz w:val="21"/>
                <w:szCs w:val="21"/>
              </w:rPr>
              <w:t>效率</w:t>
            </w:r>
          </w:p>
        </w:tc>
        <w:tc>
          <w:tcPr>
            <w:tcW w:w="3387" w:type="dxa"/>
            <w:shd w:val="clear" w:color="auto" w:fill="auto"/>
            <w:vAlign w:val="center"/>
          </w:tcPr>
          <w:p>
            <w:pPr>
              <w:widowControl/>
              <w:adjustRightInd w:val="0"/>
              <w:snapToGrid w:val="0"/>
              <w:spacing w:line="240" w:lineRule="auto"/>
              <w:ind w:firstLine="0" w:firstLineChars="0"/>
              <w:jc w:val="left"/>
              <w:rPr>
                <w:kern w:val="0"/>
                <w:sz w:val="21"/>
                <w:szCs w:val="21"/>
                <w:highlight w:val="yellow"/>
              </w:rPr>
            </w:pPr>
            <w:r>
              <w:rPr>
                <w:rFonts w:hint="eastAsia"/>
                <w:kern w:val="0"/>
                <w:sz w:val="21"/>
                <w:szCs w:val="21"/>
              </w:rPr>
              <w:t>运输成本占GDP比例（%）</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p>
        </w:tc>
        <w:tc>
          <w:tcPr>
            <w:tcW w:w="1134" w:type="dxa"/>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7</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shd w:val="clear" w:color="auto" w:fill="auto"/>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highlight w:val="yellow"/>
              </w:rPr>
            </w:pPr>
            <w:r>
              <w:rPr>
                <w:kern w:val="0"/>
                <w:sz w:val="21"/>
                <w:szCs w:val="21"/>
              </w:rPr>
              <w:t>省内</w:t>
            </w:r>
            <w:r>
              <w:rPr>
                <w:rFonts w:hint="eastAsia"/>
                <w:kern w:val="0"/>
                <w:sz w:val="21"/>
                <w:szCs w:val="21"/>
              </w:rPr>
              <w:t>城市</w:t>
            </w:r>
            <w:r>
              <w:rPr>
                <w:kern w:val="0"/>
                <w:sz w:val="21"/>
                <w:szCs w:val="21"/>
              </w:rPr>
              <w:t>快件48小时投递率（%）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1</w:t>
            </w:r>
            <w:r>
              <w:rPr>
                <w:kern w:val="0"/>
                <w:sz w:val="21"/>
                <w:szCs w:val="21"/>
              </w:rPr>
              <w:t>00</w:t>
            </w:r>
          </w:p>
        </w:tc>
        <w:tc>
          <w:tcPr>
            <w:tcW w:w="1134" w:type="dxa"/>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9</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shd w:val="clear" w:color="auto" w:fill="auto"/>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县域物流配送2</w:t>
            </w:r>
            <w:r>
              <w:rPr>
                <w:kern w:val="0"/>
                <w:sz w:val="21"/>
                <w:szCs w:val="21"/>
              </w:rPr>
              <w:t>4</w:t>
            </w:r>
            <w:r>
              <w:rPr>
                <w:rFonts w:hint="eastAsia"/>
                <w:kern w:val="0"/>
                <w:sz w:val="21"/>
                <w:szCs w:val="21"/>
              </w:rPr>
              <w:t>小时送达率（%）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未设定</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shd w:val="clear" w:color="auto" w:fill="auto"/>
            <w:vAlign w:val="center"/>
          </w:tcPr>
          <w:p>
            <w:pPr>
              <w:widowControl/>
              <w:spacing w:line="240" w:lineRule="auto"/>
              <w:ind w:firstLine="0" w:firstLineChars="0"/>
              <w:jc w:val="center"/>
              <w:rPr>
                <w:kern w:val="0"/>
                <w:sz w:val="21"/>
                <w:szCs w:val="21"/>
              </w:rPr>
            </w:pPr>
          </w:p>
        </w:tc>
        <w:tc>
          <w:tcPr>
            <w:tcW w:w="549" w:type="dxa"/>
            <w:vMerge w:val="restart"/>
            <w:vAlign w:val="center"/>
          </w:tcPr>
          <w:p>
            <w:pPr>
              <w:adjustRightInd w:val="0"/>
              <w:snapToGrid w:val="0"/>
              <w:spacing w:line="240" w:lineRule="auto"/>
              <w:ind w:firstLine="420"/>
              <w:jc w:val="center"/>
              <w:rPr>
                <w:kern w:val="0"/>
                <w:sz w:val="21"/>
                <w:szCs w:val="21"/>
              </w:rPr>
            </w:pPr>
            <w:r>
              <w:rPr>
                <w:rFonts w:hint="eastAsia"/>
                <w:kern w:val="0"/>
                <w:sz w:val="21"/>
                <w:szCs w:val="21"/>
              </w:rPr>
              <w:t>服服务品质</w:t>
            </w: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三</w:t>
            </w:r>
            <w:r>
              <w:rPr>
                <w:kern w:val="0"/>
                <w:sz w:val="21"/>
                <w:szCs w:val="21"/>
              </w:rPr>
              <w:t>级及以上客运站无障碍</w:t>
            </w:r>
            <w:r>
              <w:rPr>
                <w:rFonts w:hint="eastAsia"/>
                <w:kern w:val="0"/>
                <w:sz w:val="21"/>
                <w:szCs w:val="21"/>
              </w:rPr>
              <w:t>设施覆盖</w:t>
            </w:r>
            <w:r>
              <w:rPr>
                <w:kern w:val="0"/>
                <w:sz w:val="21"/>
                <w:szCs w:val="21"/>
              </w:rPr>
              <w:t>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100</w:t>
            </w:r>
          </w:p>
        </w:tc>
        <w:tc>
          <w:tcPr>
            <w:tcW w:w="1134" w:type="dxa"/>
            <w:vAlign w:val="center"/>
          </w:tcPr>
          <w:p>
            <w:pPr>
              <w:widowControl/>
              <w:adjustRightInd w:val="0"/>
              <w:snapToGrid w:val="0"/>
              <w:spacing w:line="240" w:lineRule="auto"/>
              <w:ind w:firstLine="0" w:firstLineChars="0"/>
              <w:jc w:val="center"/>
              <w:rPr>
                <w:kern w:val="0"/>
                <w:sz w:val="21"/>
                <w:szCs w:val="21"/>
              </w:rPr>
            </w:pPr>
            <w:r>
              <w:rPr>
                <w:kern w:val="0"/>
                <w:sz w:val="21"/>
                <w:szCs w:val="21"/>
              </w:rPr>
              <w:t>100</w:t>
            </w:r>
          </w:p>
        </w:tc>
        <w:tc>
          <w:tcPr>
            <w:tcW w:w="1124" w:type="dxa"/>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adjustRightInd w:val="0"/>
              <w:snapToGrid w:val="0"/>
              <w:spacing w:line="240" w:lineRule="auto"/>
              <w:ind w:firstLine="42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highlight w:val="yellow"/>
              </w:rPr>
            </w:pPr>
            <w:r>
              <w:rPr>
                <w:rFonts w:hint="eastAsia"/>
                <w:kern w:val="0"/>
                <w:sz w:val="21"/>
                <w:szCs w:val="21"/>
              </w:rPr>
              <w:t>城乡客运一体化发展水平达到AAAA级及以上的区县比例（%）</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1</w:t>
            </w:r>
            <w:r>
              <w:rPr>
                <w:kern w:val="0"/>
                <w:sz w:val="21"/>
                <w:szCs w:val="21"/>
              </w:rPr>
              <w:t>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9</w:t>
            </w:r>
            <w:r>
              <w:rPr>
                <w:kern w:val="0"/>
                <w:sz w:val="21"/>
                <w:szCs w:val="21"/>
              </w:rPr>
              <w:t>8</w:t>
            </w:r>
          </w:p>
          <w:p>
            <w:pPr>
              <w:widowControl/>
              <w:adjustRightInd w:val="0"/>
              <w:snapToGrid w:val="0"/>
              <w:spacing w:line="240" w:lineRule="auto"/>
              <w:ind w:firstLine="0" w:firstLineChars="0"/>
              <w:rPr>
                <w:kern w:val="0"/>
                <w:sz w:val="21"/>
                <w:szCs w:val="21"/>
                <w:highlight w:val="yellow"/>
              </w:rPr>
            </w:pPr>
            <w:r>
              <w:rPr>
                <w:rFonts w:hint="eastAsia"/>
                <w:kern w:val="0"/>
                <w:sz w:val="21"/>
                <w:szCs w:val="21"/>
              </w:rPr>
              <w:t>（省设定AAA）</w:t>
            </w:r>
          </w:p>
        </w:tc>
        <w:tc>
          <w:tcPr>
            <w:tcW w:w="1124" w:type="dxa"/>
            <w:vAlign w:val="center"/>
          </w:tcPr>
          <w:p>
            <w:pPr>
              <w:widowControl/>
              <w:adjustRightInd w:val="0"/>
              <w:snapToGrid w:val="0"/>
              <w:spacing w:line="240" w:lineRule="auto"/>
              <w:ind w:firstLine="0" w:firstLineChars="0"/>
              <w:jc w:val="center"/>
              <w:rPr>
                <w:kern w:val="0"/>
                <w:sz w:val="21"/>
                <w:szCs w:val="21"/>
                <w:highlight w:val="yellow"/>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5"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具备条件建制村通物流快递比例（%）</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主要农产品冷链流通率（%）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未设定</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运输装备</w:t>
            </w:r>
          </w:p>
        </w:tc>
        <w:tc>
          <w:tcPr>
            <w:tcW w:w="3387" w:type="dxa"/>
            <w:shd w:val="clear" w:color="auto" w:fill="auto"/>
            <w:vAlign w:val="center"/>
          </w:tcPr>
          <w:p>
            <w:pPr>
              <w:widowControl/>
              <w:adjustRightInd w:val="0"/>
              <w:snapToGrid w:val="0"/>
              <w:spacing w:line="240" w:lineRule="auto"/>
              <w:ind w:firstLine="0" w:firstLineChars="0"/>
              <w:jc w:val="left"/>
              <w:rPr>
                <w:kern w:val="0"/>
                <w:sz w:val="21"/>
                <w:szCs w:val="21"/>
              </w:rPr>
            </w:pPr>
            <w:r>
              <w:rPr>
                <w:kern w:val="0"/>
                <w:sz w:val="21"/>
                <w:szCs w:val="21"/>
              </w:rPr>
              <w:t>公路货运</w:t>
            </w:r>
            <w:r>
              <w:rPr>
                <w:rFonts w:hint="eastAsia"/>
                <w:kern w:val="0"/>
                <w:sz w:val="21"/>
                <w:szCs w:val="21"/>
              </w:rPr>
              <w:t>车辆</w:t>
            </w:r>
            <w:r>
              <w:rPr>
                <w:kern w:val="0"/>
                <w:sz w:val="21"/>
                <w:szCs w:val="21"/>
              </w:rPr>
              <w:t>厢式化率（%）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5</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低地板城市公交车占比（%）</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未设定</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restart"/>
            <w:shd w:val="clear" w:color="auto" w:fill="auto"/>
            <w:vAlign w:val="center"/>
          </w:tcPr>
          <w:p>
            <w:pPr>
              <w:widowControl/>
              <w:spacing w:line="240" w:lineRule="auto"/>
              <w:ind w:firstLine="0" w:firstLineChars="0"/>
              <w:jc w:val="center"/>
              <w:rPr>
                <w:kern w:val="0"/>
                <w:sz w:val="21"/>
                <w:szCs w:val="21"/>
              </w:rPr>
            </w:pPr>
            <w:r>
              <w:rPr>
                <w:kern w:val="0"/>
                <w:sz w:val="21"/>
                <w:szCs w:val="21"/>
              </w:rPr>
              <w:t>转型发展</w:t>
            </w: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智慧创新</w:t>
            </w: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kern w:val="0"/>
                <w:sz w:val="21"/>
                <w:szCs w:val="21"/>
              </w:rPr>
              <w:t>二级及以上客运站电子客票覆盖率（%）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100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9</w:t>
            </w:r>
            <w:r>
              <w:rPr>
                <w:kern w:val="0"/>
                <w:sz w:val="21"/>
                <w:szCs w:val="21"/>
              </w:rPr>
              <w:t>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shd w:val="clear" w:color="auto" w:fill="auto"/>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重点领域北斗系统覆盖率（%）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100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9</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shd w:val="clear" w:color="auto" w:fill="auto"/>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rFonts w:hint="eastAsia"/>
                <w:kern w:val="0"/>
                <w:sz w:val="21"/>
                <w:szCs w:val="21"/>
              </w:rPr>
              <w:t>危险货物道路运输电子运单使用率（%）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绿色集约</w:t>
            </w: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kern w:val="0"/>
                <w:sz w:val="21"/>
                <w:szCs w:val="21"/>
              </w:rPr>
              <w:t>新增和更新城市公交、出租和城市</w:t>
            </w:r>
            <w:r>
              <w:rPr>
                <w:rFonts w:hint="eastAsia"/>
                <w:kern w:val="0"/>
                <w:sz w:val="21"/>
                <w:szCs w:val="21"/>
              </w:rPr>
              <w:t>配送车辆新能源比例</w:t>
            </w:r>
            <w:r>
              <w:rPr>
                <w:kern w:val="0"/>
                <w:sz w:val="21"/>
                <w:szCs w:val="21"/>
              </w:rPr>
              <w:t>（%）</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100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1</w:t>
            </w:r>
            <w:r>
              <w:rPr>
                <w:kern w:val="0"/>
                <w:sz w:val="21"/>
                <w:szCs w:val="21"/>
              </w:rPr>
              <w:t>00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jc w:val="left"/>
              <w:rPr>
                <w:kern w:val="0"/>
                <w:sz w:val="21"/>
                <w:szCs w:val="21"/>
              </w:rPr>
            </w:pPr>
            <w:r>
              <w:rPr>
                <w:kern w:val="0"/>
                <w:sz w:val="21"/>
                <w:szCs w:val="21"/>
              </w:rPr>
              <w:t>可绿化公路</w:t>
            </w:r>
            <w:r>
              <w:rPr>
                <w:rFonts w:hint="eastAsia"/>
                <w:kern w:val="0"/>
                <w:sz w:val="21"/>
                <w:szCs w:val="21"/>
              </w:rPr>
              <w:t>绿</w:t>
            </w:r>
            <w:r>
              <w:rPr>
                <w:kern w:val="0"/>
                <w:sz w:val="21"/>
                <w:szCs w:val="21"/>
              </w:rPr>
              <w:t>化率（%）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7</w:t>
            </w:r>
            <w:r>
              <w:rPr>
                <w:kern w:val="0"/>
                <w:sz w:val="21"/>
                <w:szCs w:val="21"/>
              </w:rPr>
              <w:t>4</w:t>
            </w: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7</w:t>
            </w:r>
            <w:r>
              <w:rPr>
                <w:kern w:val="0"/>
                <w:sz w:val="21"/>
                <w:szCs w:val="21"/>
              </w:rPr>
              <w:t>5</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7</w:t>
            </w:r>
            <w:r>
              <w:rPr>
                <w:kern w:val="0"/>
                <w:sz w:val="21"/>
                <w:szCs w:val="21"/>
              </w:rPr>
              <w:t>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kern w:val="0"/>
                <w:sz w:val="21"/>
                <w:szCs w:val="21"/>
              </w:rPr>
              <w:t>营运车辆</w:t>
            </w:r>
            <w:r>
              <w:rPr>
                <w:rFonts w:hint="eastAsia"/>
                <w:kern w:val="0"/>
                <w:sz w:val="21"/>
                <w:szCs w:val="21"/>
              </w:rPr>
              <w:t>/船舶</w:t>
            </w:r>
            <w:r>
              <w:rPr>
                <w:kern w:val="0"/>
                <w:sz w:val="21"/>
                <w:szCs w:val="21"/>
              </w:rPr>
              <w:t>单位运输周转量CO</w:t>
            </w:r>
            <w:r>
              <w:rPr>
                <w:kern w:val="0"/>
                <w:sz w:val="21"/>
                <w:szCs w:val="21"/>
                <w:vertAlign w:val="subscript"/>
              </w:rPr>
              <w:t>2</w:t>
            </w:r>
            <w:r>
              <w:rPr>
                <w:kern w:val="0"/>
                <w:sz w:val="21"/>
                <w:szCs w:val="21"/>
              </w:rPr>
              <w:t>排放下降率（%）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5</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4</w:t>
            </w:r>
            <w:r>
              <w:rPr>
                <w:kern w:val="0"/>
                <w:sz w:val="21"/>
                <w:szCs w:val="21"/>
              </w:rPr>
              <w:t>/5</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kern w:val="0"/>
                <w:sz w:val="21"/>
                <w:szCs w:val="21"/>
              </w:rPr>
            </w:pPr>
          </w:p>
        </w:tc>
        <w:tc>
          <w:tcPr>
            <w:tcW w:w="549" w:type="dxa"/>
            <w:vMerge w:val="restart"/>
            <w:vAlign w:val="center"/>
          </w:tcPr>
          <w:p>
            <w:pPr>
              <w:widowControl/>
              <w:adjustRightInd w:val="0"/>
              <w:snapToGrid w:val="0"/>
              <w:spacing w:line="240" w:lineRule="auto"/>
              <w:ind w:firstLine="0" w:firstLineChars="0"/>
              <w:jc w:val="center"/>
              <w:rPr>
                <w:kern w:val="0"/>
                <w:sz w:val="21"/>
                <w:szCs w:val="21"/>
              </w:rPr>
            </w:pPr>
            <w:r>
              <w:rPr>
                <w:kern w:val="0"/>
                <w:sz w:val="21"/>
                <w:szCs w:val="21"/>
              </w:rPr>
              <w:t>安全可靠</w:t>
            </w: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kern w:val="0"/>
                <w:sz w:val="21"/>
                <w:szCs w:val="21"/>
              </w:rPr>
              <w:t>普通国省道一、二类桥梁比例（%）</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9</w:t>
            </w:r>
            <w:r>
              <w:rPr>
                <w:kern w:val="0"/>
                <w:sz w:val="21"/>
                <w:szCs w:val="21"/>
              </w:rPr>
              <w:t>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rFonts w:eastAsia="宋体"/>
                <w:color w:val="000000"/>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kern w:val="0"/>
                <w:sz w:val="21"/>
                <w:szCs w:val="21"/>
              </w:rPr>
              <w:t>一般灾害情况下公路水路应急救援到达时间（分钟）</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≤90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w:t>
            </w:r>
            <w:r>
              <w:rPr>
                <w:kern w:val="0"/>
                <w:sz w:val="21"/>
                <w:szCs w:val="21"/>
              </w:rPr>
              <w:t>90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567" w:type="dxa"/>
            <w:vMerge w:val="continue"/>
            <w:vAlign w:val="center"/>
          </w:tcPr>
          <w:p>
            <w:pPr>
              <w:widowControl/>
              <w:spacing w:line="240" w:lineRule="auto"/>
              <w:ind w:firstLine="0" w:firstLineChars="0"/>
              <w:jc w:val="center"/>
              <w:rPr>
                <w:rFonts w:eastAsia="宋体"/>
                <w:color w:val="000000"/>
                <w:kern w:val="0"/>
                <w:sz w:val="21"/>
                <w:szCs w:val="21"/>
              </w:rPr>
            </w:pPr>
          </w:p>
        </w:tc>
        <w:tc>
          <w:tcPr>
            <w:tcW w:w="549" w:type="dxa"/>
            <w:vMerge w:val="continue"/>
            <w:vAlign w:val="center"/>
          </w:tcPr>
          <w:p>
            <w:pPr>
              <w:widowControl/>
              <w:adjustRightInd w:val="0"/>
              <w:snapToGrid w:val="0"/>
              <w:spacing w:line="240" w:lineRule="auto"/>
              <w:ind w:firstLine="0" w:firstLineChars="0"/>
              <w:jc w:val="center"/>
              <w:rPr>
                <w:kern w:val="0"/>
                <w:sz w:val="21"/>
                <w:szCs w:val="21"/>
              </w:rPr>
            </w:pPr>
          </w:p>
        </w:tc>
        <w:tc>
          <w:tcPr>
            <w:tcW w:w="3387" w:type="dxa"/>
            <w:shd w:val="clear" w:color="auto" w:fill="auto"/>
            <w:vAlign w:val="center"/>
          </w:tcPr>
          <w:p>
            <w:pPr>
              <w:widowControl/>
              <w:adjustRightInd w:val="0"/>
              <w:snapToGrid w:val="0"/>
              <w:spacing w:line="240" w:lineRule="auto"/>
              <w:ind w:firstLine="0" w:firstLineChars="0"/>
              <w:rPr>
                <w:kern w:val="0"/>
                <w:sz w:val="21"/>
                <w:szCs w:val="21"/>
              </w:rPr>
            </w:pPr>
            <w:r>
              <w:rPr>
                <w:kern w:val="0"/>
                <w:sz w:val="21"/>
                <w:szCs w:val="21"/>
              </w:rPr>
              <w:t>较大以上等级道路运输行车事故死亡人数下降率（%）</w:t>
            </w:r>
          </w:p>
        </w:tc>
        <w:tc>
          <w:tcPr>
            <w:tcW w:w="1026" w:type="dxa"/>
            <w:shd w:val="clear" w:color="auto" w:fill="auto"/>
            <w:noWrap/>
            <w:vAlign w:val="center"/>
          </w:tcPr>
          <w:p>
            <w:pPr>
              <w:widowControl/>
              <w:adjustRightInd w:val="0"/>
              <w:snapToGrid w:val="0"/>
              <w:spacing w:line="240" w:lineRule="auto"/>
              <w:ind w:firstLine="0" w:firstLineChars="0"/>
              <w:jc w:val="center"/>
              <w:rPr>
                <w:kern w:val="0"/>
                <w:sz w:val="21"/>
                <w:szCs w:val="21"/>
              </w:rPr>
            </w:pPr>
          </w:p>
        </w:tc>
        <w:tc>
          <w:tcPr>
            <w:tcW w:w="992" w:type="dxa"/>
            <w:shd w:val="clear" w:color="auto" w:fill="auto"/>
            <w:noWrap/>
            <w:vAlign w:val="center"/>
          </w:tcPr>
          <w:p>
            <w:pPr>
              <w:widowControl/>
              <w:adjustRightInd w:val="0"/>
              <w:snapToGrid w:val="0"/>
              <w:spacing w:line="240" w:lineRule="auto"/>
              <w:ind w:firstLine="0" w:firstLineChars="0"/>
              <w:jc w:val="center"/>
              <w:rPr>
                <w:kern w:val="0"/>
                <w:sz w:val="21"/>
                <w:szCs w:val="21"/>
              </w:rPr>
            </w:pPr>
            <w:r>
              <w:rPr>
                <w:kern w:val="0"/>
                <w:sz w:val="21"/>
                <w:szCs w:val="21"/>
              </w:rPr>
              <w:t>20</w:t>
            </w:r>
          </w:p>
        </w:tc>
        <w:tc>
          <w:tcPr>
            <w:tcW w:w="113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2</w:t>
            </w:r>
            <w:r>
              <w:rPr>
                <w:kern w:val="0"/>
                <w:sz w:val="21"/>
                <w:szCs w:val="21"/>
              </w:rPr>
              <w:t>0</w:t>
            </w:r>
          </w:p>
        </w:tc>
        <w:tc>
          <w:tcPr>
            <w:tcW w:w="1124" w:type="dxa"/>
            <w:vAlign w:val="center"/>
          </w:tcPr>
          <w:p>
            <w:pPr>
              <w:widowControl/>
              <w:adjustRightInd w:val="0"/>
              <w:snapToGrid w:val="0"/>
              <w:spacing w:line="240" w:lineRule="auto"/>
              <w:ind w:firstLine="0" w:firstLineChars="0"/>
              <w:jc w:val="center"/>
              <w:rPr>
                <w:kern w:val="0"/>
                <w:sz w:val="21"/>
                <w:szCs w:val="21"/>
              </w:rPr>
            </w:pPr>
            <w:r>
              <w:rPr>
                <w:rFonts w:hint="eastAsia"/>
                <w:kern w:val="0"/>
                <w:sz w:val="21"/>
                <w:szCs w:val="21"/>
              </w:rPr>
              <w:t>约束性</w:t>
            </w:r>
          </w:p>
        </w:tc>
      </w:tr>
      <w:bookmarkEnd w:id="32"/>
    </w:tbl>
    <w:p>
      <w:pPr>
        <w:pStyle w:val="2"/>
        <w:spacing w:after="0"/>
        <w:ind w:firstLine="0" w:firstLineChars="0"/>
        <w:sectPr>
          <w:footerReference r:id="rId11" w:type="default"/>
          <w:pgSz w:w="11906" w:h="16838"/>
          <w:pgMar w:top="1440" w:right="1800" w:bottom="1440" w:left="1800" w:header="851" w:footer="992" w:gutter="0"/>
          <w:pgNumType w:start="1"/>
          <w:cols w:space="425" w:num="1"/>
          <w:docGrid w:type="lines" w:linePitch="435" w:charSpace="0"/>
        </w:sectPr>
      </w:pPr>
    </w:p>
    <w:bookmarkEnd w:id="31"/>
    <w:p>
      <w:pPr>
        <w:adjustRightInd w:val="0"/>
        <w:snapToGrid w:val="0"/>
        <w:ind w:firstLine="640"/>
        <w:outlineLvl w:val="1"/>
        <w:rPr>
          <w:rFonts w:eastAsia="黑体"/>
          <w:bCs/>
          <w:szCs w:val="32"/>
        </w:rPr>
      </w:pPr>
      <w:bookmarkStart w:id="33" w:name="_Toc72864735"/>
      <w:r>
        <w:rPr>
          <w:rFonts w:eastAsia="黑体"/>
          <w:bCs/>
          <w:szCs w:val="32"/>
        </w:rPr>
        <w:t>四、空间布局</w:t>
      </w:r>
      <w:bookmarkEnd w:id="33"/>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34" w:name="_Toc72864736"/>
      <w:bookmarkStart w:id="35" w:name="_Toc44228330"/>
      <w:r>
        <w:rPr>
          <w:rFonts w:ascii="Times New Roman" w:hAnsi="Times New Roman" w:eastAsia="楷体_GB2312" w:cs="Times New Roman"/>
        </w:rPr>
        <w:t>（一）通道布局</w:t>
      </w:r>
      <w:bookmarkEnd w:id="34"/>
      <w:bookmarkEnd w:id="35"/>
    </w:p>
    <w:p>
      <w:pPr>
        <w:adjustRightInd w:val="0"/>
        <w:snapToGrid w:val="0"/>
        <w:ind w:firstLine="640"/>
      </w:pPr>
      <w:bookmarkStart w:id="36" w:name="_Hlk55053059"/>
      <w:r>
        <w:rPr>
          <w:rFonts w:hint="eastAsia"/>
        </w:rPr>
        <w:t>围绕四川构建“一轴两翼三带”区域经济布局需要，衔接国省综合立体交通网主骨架布局，统筹考虑资阳区位条件、产业布局、交通基础等因素，以“链接双核、支撑同城、联动两翼、畅捷城乡”为导向，布局资阳外联快速网络骨架和内部区县联系通道。</w:t>
      </w:r>
      <w:bookmarkEnd w:id="36"/>
    </w:p>
    <w:p>
      <w:pPr>
        <w:pStyle w:val="2"/>
        <w:spacing w:after="0"/>
        <w:ind w:firstLine="643"/>
      </w:pPr>
      <w:r>
        <w:rPr>
          <w:rFonts w:hint="eastAsia" w:eastAsia="楷体_GB2312"/>
          <w:b/>
          <w:bCs/>
          <w:szCs w:val="32"/>
        </w:rPr>
        <w:t>链接双核。</w:t>
      </w:r>
      <w:r>
        <w:rPr>
          <w:rFonts w:hint="eastAsia"/>
        </w:rPr>
        <w:t>依托成渝发展主轴优势，构筑“4高4轨2快”的成都—资阳—重庆综合交通发展主轴，深化东向对接沿江综合交通走廊，融入长三角—成渝主轴建设，支撑成渝相向发展、建设成渝门户枢纽。</w:t>
      </w:r>
    </w:p>
    <w:p>
      <w:pPr>
        <w:pStyle w:val="2"/>
        <w:spacing w:after="0"/>
        <w:ind w:firstLine="643"/>
      </w:pPr>
      <w:r>
        <w:rPr>
          <w:rFonts w:hint="eastAsia" w:eastAsia="楷体_GB2312"/>
          <w:b/>
          <w:bCs/>
          <w:szCs w:val="32"/>
        </w:rPr>
        <w:t>支撑同城。</w:t>
      </w:r>
      <w:r>
        <w:rPr>
          <w:rFonts w:hint="eastAsia"/>
        </w:rPr>
        <w:t>依托成德眉资作为全省发展的极核和主干，构筑“4高9轨9快”的成资综合交通通道体系，强化西向衔接丝绸之路，借力成都天府国际机场对接“空中丝绸之路”，支撑成资同城化发展、建设成都东部枢纽。</w:t>
      </w:r>
    </w:p>
    <w:p>
      <w:pPr>
        <w:pStyle w:val="2"/>
        <w:spacing w:after="0"/>
        <w:ind w:firstLine="643"/>
      </w:pPr>
      <w:r>
        <w:rPr>
          <w:rFonts w:hint="eastAsia" w:eastAsia="楷体_GB2312"/>
          <w:b/>
          <w:bCs/>
          <w:szCs w:val="32"/>
        </w:rPr>
        <w:t>联动两翼。</w:t>
      </w:r>
      <w:r>
        <w:rPr>
          <w:rFonts w:hint="eastAsia"/>
        </w:rPr>
        <w:t>依托联动成渝地区南北两翼的区位优势，向北形成经南充、达州以远沟通京津冀的“3高2轨2快”综合交通运输走廊；向南形成经内江、宜宾以远通往北部湾、粤港澳大湾区的“4高4轨1快”综合交通运输走廊。</w:t>
      </w:r>
    </w:p>
    <w:p>
      <w:pPr>
        <w:pStyle w:val="2"/>
        <w:spacing w:after="0"/>
        <w:ind w:firstLine="643"/>
      </w:pPr>
      <w:r>
        <w:rPr>
          <w:rFonts w:hint="eastAsia" w:eastAsia="楷体_GB2312"/>
          <w:b/>
          <w:bCs/>
          <w:szCs w:val="32"/>
        </w:rPr>
        <w:t>畅捷城乡。</w:t>
      </w:r>
      <w:r>
        <w:rPr>
          <w:rFonts w:hint="eastAsia"/>
        </w:rPr>
        <w:t>服务“一主两副、多点支撑”城镇体系需要，推进内部交通网络市县畅联、县县直联、城乡互联，建设市到县、县到县的直捷快速通道，提升通乡公路三级及以上比例。实施农村公路品质提升工程，提升通往特色（中心）镇村、特色产业园区、旅游景区、市域周边公路技术等级和服务水平。</w:t>
      </w: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126"/>
        <w:gridCol w:w="49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306" w:type="dxa"/>
            <w:gridSpan w:val="3"/>
            <w:shd w:val="clear" w:color="auto" w:fill="auto"/>
            <w:vAlign w:val="center"/>
          </w:tcPr>
          <w:p>
            <w:pPr>
              <w:adjustRightInd w:val="0"/>
              <w:snapToGrid w:val="0"/>
              <w:spacing w:line="240" w:lineRule="auto"/>
              <w:ind w:firstLine="0" w:firstLineChars="0"/>
              <w:jc w:val="center"/>
              <w:rPr>
                <w:rFonts w:eastAsia="黑体"/>
                <w:bCs/>
                <w:color w:val="000000"/>
                <w:kern w:val="0"/>
                <w:sz w:val="24"/>
              </w:rPr>
            </w:pPr>
            <w:r>
              <w:rPr>
                <w:rFonts w:hint="eastAsia" w:eastAsia="黑体"/>
                <w:bCs/>
                <w:color w:val="000000"/>
                <w:kern w:val="0"/>
                <w:sz w:val="24"/>
              </w:rPr>
              <w:t>专栏5</w:t>
            </w:r>
            <w:r>
              <w:rPr>
                <w:rFonts w:eastAsia="黑体"/>
                <w:bCs/>
                <w:color w:val="000000"/>
                <w:kern w:val="0"/>
                <w:sz w:val="24"/>
              </w:rPr>
              <w:t xml:space="preserve">   </w:t>
            </w:r>
            <w:r>
              <w:rPr>
                <w:rFonts w:hint="eastAsia" w:eastAsia="黑体"/>
                <w:bCs/>
                <w:color w:val="000000"/>
                <w:kern w:val="0"/>
                <w:sz w:val="24"/>
              </w:rPr>
              <w:t>资阳市外联快速网络骨架布局方案表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6" w:type="dxa"/>
            <w:shd w:val="clear" w:color="auto" w:fill="auto"/>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通道名称</w:t>
            </w:r>
          </w:p>
        </w:tc>
        <w:tc>
          <w:tcPr>
            <w:tcW w:w="2126" w:type="dxa"/>
            <w:shd w:val="clear" w:color="auto" w:fill="auto"/>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功能描述</w:t>
            </w:r>
          </w:p>
        </w:tc>
        <w:tc>
          <w:tcPr>
            <w:tcW w:w="4904" w:type="dxa"/>
            <w:shd w:val="clear" w:color="auto" w:fill="auto"/>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依托线路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6" w:hRule="atLeast"/>
          <w:tblHeader/>
          <w:jc w:val="center"/>
        </w:trPr>
        <w:tc>
          <w:tcPr>
            <w:tcW w:w="1276" w:type="dxa"/>
            <w:shd w:val="clear" w:color="auto" w:fill="auto"/>
            <w:vAlign w:val="center"/>
          </w:tcPr>
          <w:p>
            <w:pPr>
              <w:widowControl/>
              <w:spacing w:line="240" w:lineRule="auto"/>
              <w:ind w:firstLine="0" w:firstLineChars="0"/>
              <w:rPr>
                <w:color w:val="000000"/>
                <w:kern w:val="0"/>
                <w:sz w:val="21"/>
                <w:szCs w:val="21"/>
              </w:rPr>
            </w:pPr>
            <w:r>
              <w:rPr>
                <w:rFonts w:hint="eastAsia"/>
                <w:color w:val="000000"/>
                <w:kern w:val="0"/>
                <w:sz w:val="21"/>
                <w:szCs w:val="21"/>
              </w:rPr>
              <w:t>成都经资阳至重庆综合交通发展主轴</w:t>
            </w:r>
          </w:p>
        </w:tc>
        <w:tc>
          <w:tcPr>
            <w:tcW w:w="2126" w:type="dxa"/>
            <w:shd w:val="clear" w:color="auto" w:fill="auto"/>
            <w:vAlign w:val="center"/>
          </w:tcPr>
          <w:p>
            <w:pPr>
              <w:widowControl/>
              <w:spacing w:line="240" w:lineRule="auto"/>
              <w:ind w:firstLine="0" w:firstLineChars="0"/>
              <w:rPr>
                <w:rFonts w:eastAsia="黑体"/>
                <w:color w:val="000000"/>
                <w:kern w:val="0"/>
                <w:sz w:val="21"/>
                <w:szCs w:val="21"/>
              </w:rPr>
            </w:pPr>
            <w:r>
              <w:rPr>
                <w:rFonts w:hint="eastAsia"/>
                <w:color w:val="000000"/>
                <w:kern w:val="0"/>
                <w:sz w:val="21"/>
                <w:szCs w:val="21"/>
              </w:rPr>
              <w:t>服务成渝“双门户”建设，形成成渝之间速度最快、能力最大、距离最短的发展主轴</w:t>
            </w:r>
          </w:p>
        </w:tc>
        <w:tc>
          <w:tcPr>
            <w:tcW w:w="4904" w:type="dxa"/>
            <w:shd w:val="clear" w:color="auto" w:fill="auto"/>
            <w:vAlign w:val="center"/>
          </w:tcPr>
          <w:p>
            <w:pPr>
              <w:widowControl/>
              <w:spacing w:line="240" w:lineRule="auto"/>
              <w:ind w:firstLine="0" w:firstLineChars="0"/>
              <w:rPr>
                <w:kern w:val="0"/>
                <w:sz w:val="21"/>
                <w:szCs w:val="21"/>
              </w:rPr>
            </w:pPr>
            <w:r>
              <w:rPr>
                <w:rFonts w:hint="eastAsia"/>
                <w:kern w:val="0"/>
                <w:sz w:val="21"/>
                <w:szCs w:val="21"/>
              </w:rPr>
              <w:t>高速公路（4高）：成渝高速（建成）、成安渝高速（建成）、成资渝高速（建成）、资中至铜梁高速（规划）</w:t>
            </w:r>
          </w:p>
          <w:p>
            <w:pPr>
              <w:pStyle w:val="2"/>
              <w:spacing w:after="0" w:line="240" w:lineRule="auto"/>
              <w:ind w:firstLine="0" w:firstLineChars="0"/>
              <w:rPr>
                <w:kern w:val="0"/>
                <w:sz w:val="21"/>
                <w:szCs w:val="21"/>
              </w:rPr>
            </w:pPr>
            <w:r>
              <w:rPr>
                <w:rFonts w:hint="eastAsia"/>
                <w:kern w:val="0"/>
                <w:sz w:val="21"/>
                <w:szCs w:val="21"/>
              </w:rPr>
              <w:t>铁路（</w:t>
            </w:r>
            <w:r>
              <w:rPr>
                <w:kern w:val="0"/>
                <w:sz w:val="21"/>
                <w:szCs w:val="21"/>
              </w:rPr>
              <w:t>4</w:t>
            </w:r>
            <w:r>
              <w:rPr>
                <w:rFonts w:hint="eastAsia"/>
                <w:kern w:val="0"/>
                <w:sz w:val="21"/>
                <w:szCs w:val="21"/>
              </w:rPr>
              <w:t>轨）：成渝中线高铁（规划）、成渝高铁（建成）、成渝铁路（建成）、成达万高铁（在建））</w:t>
            </w:r>
          </w:p>
          <w:p>
            <w:pPr>
              <w:widowControl/>
              <w:spacing w:line="240" w:lineRule="auto"/>
              <w:ind w:firstLine="0" w:firstLineChars="0"/>
              <w:rPr>
                <w:rFonts w:eastAsia="黑体"/>
                <w:color w:val="000000"/>
                <w:kern w:val="0"/>
                <w:sz w:val="21"/>
                <w:szCs w:val="21"/>
              </w:rPr>
            </w:pPr>
            <w:r>
              <w:rPr>
                <w:rFonts w:hint="eastAsia"/>
                <w:kern w:val="0"/>
                <w:sz w:val="21"/>
                <w:szCs w:val="21"/>
              </w:rPr>
              <w:t>快速通道（2快）：S207线安岳卧佛至大足旅游快速通道（在建）、G</w:t>
            </w:r>
            <w:r>
              <w:rPr>
                <w:kern w:val="0"/>
                <w:sz w:val="21"/>
                <w:szCs w:val="21"/>
              </w:rPr>
              <w:t>319</w:t>
            </w:r>
            <w:r>
              <w:rPr>
                <w:rFonts w:hint="eastAsia"/>
                <w:kern w:val="0"/>
                <w:sz w:val="21"/>
                <w:szCs w:val="21"/>
              </w:rPr>
              <w:t>线成渝直线快速通道（规划）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widowControl/>
              <w:spacing w:line="240" w:lineRule="auto"/>
              <w:ind w:firstLine="0" w:firstLineChars="0"/>
              <w:rPr>
                <w:color w:val="000000"/>
                <w:kern w:val="0"/>
                <w:sz w:val="21"/>
                <w:szCs w:val="21"/>
              </w:rPr>
            </w:pPr>
            <w:r>
              <w:rPr>
                <w:rFonts w:hint="eastAsia"/>
                <w:color w:val="000000"/>
                <w:kern w:val="0"/>
                <w:sz w:val="21"/>
                <w:szCs w:val="21"/>
              </w:rPr>
              <w:t>成资综合交通通道体系</w:t>
            </w:r>
          </w:p>
        </w:tc>
        <w:tc>
          <w:tcPr>
            <w:tcW w:w="2126" w:type="dxa"/>
            <w:vAlign w:val="center"/>
          </w:tcPr>
          <w:p>
            <w:pPr>
              <w:widowControl/>
              <w:spacing w:line="240" w:lineRule="auto"/>
              <w:ind w:firstLine="0" w:firstLineChars="0"/>
              <w:rPr>
                <w:kern w:val="0"/>
                <w:sz w:val="21"/>
                <w:szCs w:val="21"/>
              </w:rPr>
            </w:pPr>
            <w:r>
              <w:rPr>
                <w:rFonts w:hint="eastAsia"/>
                <w:kern w:val="0"/>
                <w:sz w:val="21"/>
                <w:szCs w:val="21"/>
              </w:rPr>
              <w:t>服务成资临空经济产业带、沱江绿色发展轴建设，形成同城同网、立体衔接、高效便捷的通道体系</w:t>
            </w:r>
          </w:p>
        </w:tc>
        <w:tc>
          <w:tcPr>
            <w:tcW w:w="4904" w:type="dxa"/>
            <w:vAlign w:val="center"/>
          </w:tcPr>
          <w:p>
            <w:pPr>
              <w:widowControl/>
              <w:spacing w:line="240" w:lineRule="auto"/>
              <w:ind w:firstLine="0" w:firstLineChars="0"/>
              <w:rPr>
                <w:kern w:val="0"/>
                <w:sz w:val="21"/>
                <w:szCs w:val="21"/>
              </w:rPr>
            </w:pPr>
            <w:r>
              <w:rPr>
                <w:rFonts w:hint="eastAsia"/>
                <w:kern w:val="0"/>
                <w:sz w:val="21"/>
                <w:szCs w:val="21"/>
              </w:rPr>
              <w:t>高速公路（4高）：成渝高速（建成）、成渝高速扩容复线（规划）、成安渝高速（建成）、成资渝高速（建成）</w:t>
            </w:r>
          </w:p>
          <w:p>
            <w:pPr>
              <w:pStyle w:val="2"/>
              <w:spacing w:after="0" w:line="240" w:lineRule="auto"/>
              <w:ind w:firstLine="0" w:firstLineChars="0"/>
              <w:rPr>
                <w:kern w:val="0"/>
                <w:sz w:val="21"/>
                <w:szCs w:val="21"/>
              </w:rPr>
            </w:pPr>
            <w:r>
              <w:rPr>
                <w:rFonts w:hint="eastAsia"/>
                <w:kern w:val="0"/>
                <w:sz w:val="21"/>
                <w:szCs w:val="21"/>
              </w:rPr>
              <w:t>铁路（9轨）：成渝铁路（建成）、成渝高铁（建成）、成自宜高铁（在建）、成达万高铁（在建）、成渝中线高铁（规划）、成都外环铁路（规划）、轨道交通资阳线（在建）、市域铁路</w:t>
            </w:r>
            <w:r>
              <w:rPr>
                <w:kern w:val="0"/>
                <w:sz w:val="21"/>
                <w:szCs w:val="21"/>
              </w:rPr>
              <w:t>S14</w:t>
            </w:r>
            <w:r>
              <w:rPr>
                <w:rFonts w:hint="eastAsia"/>
                <w:kern w:val="0"/>
                <w:sz w:val="21"/>
                <w:szCs w:val="21"/>
              </w:rPr>
              <w:t>线（研究）、市域铁路</w:t>
            </w:r>
            <w:r>
              <w:rPr>
                <w:kern w:val="0"/>
                <w:sz w:val="21"/>
                <w:szCs w:val="21"/>
              </w:rPr>
              <w:t>S17</w:t>
            </w:r>
            <w:r>
              <w:rPr>
                <w:rFonts w:hint="eastAsia"/>
                <w:kern w:val="0"/>
                <w:sz w:val="21"/>
                <w:szCs w:val="21"/>
              </w:rPr>
              <w:t>线（研究）</w:t>
            </w:r>
          </w:p>
          <w:p>
            <w:pPr>
              <w:pStyle w:val="2"/>
              <w:spacing w:after="0" w:line="240" w:lineRule="auto"/>
              <w:ind w:firstLine="0" w:firstLineChars="0"/>
              <w:rPr>
                <w:kern w:val="0"/>
                <w:sz w:val="21"/>
                <w:szCs w:val="21"/>
              </w:rPr>
            </w:pPr>
            <w:r>
              <w:rPr>
                <w:rFonts w:hint="eastAsia"/>
                <w:kern w:val="0"/>
                <w:sz w:val="21"/>
                <w:szCs w:val="21"/>
              </w:rPr>
              <w:t>快速通道（9快）：成资大道（在建）、成资临空大道（在建）、成渝高速至成宜高速联络线（规划）、东西城市轴线东延线资简段（规划）、东西城市轴线乐简段（规划）、乐金快速通道（规划）、遂宁至天府机场快通道（规划）、资简产业大道（规划）、迎接至空港新城快速通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widowControl/>
              <w:spacing w:line="240" w:lineRule="auto"/>
              <w:ind w:firstLine="0" w:firstLineChars="0"/>
              <w:rPr>
                <w:color w:val="000000"/>
                <w:kern w:val="0"/>
                <w:sz w:val="21"/>
                <w:szCs w:val="21"/>
              </w:rPr>
            </w:pPr>
            <w:r>
              <w:rPr>
                <w:rFonts w:hint="eastAsia"/>
                <w:color w:val="000000"/>
                <w:kern w:val="0"/>
                <w:sz w:val="21"/>
                <w:szCs w:val="21"/>
              </w:rPr>
              <w:t>资阳经川东北经济区至京津冀综合交通运输走廊</w:t>
            </w:r>
          </w:p>
        </w:tc>
        <w:tc>
          <w:tcPr>
            <w:tcW w:w="2126" w:type="dxa"/>
            <w:vAlign w:val="center"/>
          </w:tcPr>
          <w:p>
            <w:pPr>
              <w:widowControl/>
              <w:spacing w:line="240" w:lineRule="auto"/>
              <w:ind w:firstLine="0" w:firstLineChars="0"/>
              <w:rPr>
                <w:kern w:val="0"/>
                <w:sz w:val="21"/>
                <w:szCs w:val="21"/>
              </w:rPr>
            </w:pPr>
            <w:r>
              <w:rPr>
                <w:rFonts w:hint="eastAsia"/>
                <w:kern w:val="0"/>
                <w:sz w:val="21"/>
                <w:szCs w:val="21"/>
              </w:rPr>
              <w:t>融入京津冀—成渝主轴建设，形成北向经川东北经济区联系陕西以及京津冀、环渤海湾的综合交通走廊</w:t>
            </w:r>
          </w:p>
        </w:tc>
        <w:tc>
          <w:tcPr>
            <w:tcW w:w="4904" w:type="dxa"/>
            <w:vAlign w:val="center"/>
          </w:tcPr>
          <w:p>
            <w:pPr>
              <w:widowControl/>
              <w:spacing w:line="240" w:lineRule="auto"/>
              <w:ind w:firstLine="0" w:firstLineChars="0"/>
              <w:rPr>
                <w:kern w:val="0"/>
                <w:sz w:val="21"/>
                <w:szCs w:val="21"/>
              </w:rPr>
            </w:pPr>
            <w:r>
              <w:rPr>
                <w:rFonts w:hint="eastAsia"/>
                <w:kern w:val="0"/>
                <w:sz w:val="21"/>
                <w:szCs w:val="21"/>
              </w:rPr>
              <w:t>高速公路（3高）：内遂高速（建成）、遂资眉高速（建成）、三台至乐至高速（规划）</w:t>
            </w:r>
          </w:p>
          <w:p>
            <w:pPr>
              <w:pStyle w:val="2"/>
              <w:spacing w:after="0" w:line="240" w:lineRule="auto"/>
              <w:ind w:firstLine="0" w:firstLineChars="0"/>
              <w:rPr>
                <w:kern w:val="0"/>
                <w:sz w:val="21"/>
                <w:szCs w:val="21"/>
              </w:rPr>
            </w:pPr>
            <w:r>
              <w:rPr>
                <w:rFonts w:hint="eastAsia"/>
                <w:kern w:val="0"/>
                <w:sz w:val="21"/>
                <w:szCs w:val="21"/>
              </w:rPr>
              <w:t>铁路（2轨）：成达万高铁（在建）、绵遂内铁路（规划）</w:t>
            </w:r>
          </w:p>
          <w:p>
            <w:pPr>
              <w:pStyle w:val="2"/>
              <w:spacing w:after="0" w:line="240" w:lineRule="auto"/>
              <w:ind w:firstLine="0" w:firstLineChars="0"/>
              <w:rPr>
                <w:kern w:val="0"/>
                <w:sz w:val="21"/>
                <w:szCs w:val="21"/>
              </w:rPr>
            </w:pPr>
            <w:r>
              <w:rPr>
                <w:rFonts w:hint="eastAsia"/>
                <w:kern w:val="0"/>
                <w:sz w:val="21"/>
                <w:szCs w:val="21"/>
              </w:rPr>
              <w:t>快速通道（2快）：遂宁至天府机场快通道（规划）、S207线安岳卧佛至大足旅游快速通道（在建）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1276" w:type="dxa"/>
            <w:vAlign w:val="center"/>
          </w:tcPr>
          <w:p>
            <w:pPr>
              <w:widowControl/>
              <w:spacing w:line="240" w:lineRule="auto"/>
              <w:ind w:firstLine="0" w:firstLineChars="0"/>
              <w:rPr>
                <w:color w:val="000000"/>
                <w:kern w:val="0"/>
                <w:sz w:val="21"/>
                <w:szCs w:val="21"/>
              </w:rPr>
            </w:pPr>
            <w:r>
              <w:rPr>
                <w:rFonts w:hint="eastAsia"/>
                <w:color w:val="000000"/>
                <w:kern w:val="0"/>
                <w:sz w:val="21"/>
                <w:szCs w:val="21"/>
              </w:rPr>
              <w:t>资阳经川南经济区至北部湾/粤港澳综合交通运输走廊</w:t>
            </w:r>
          </w:p>
        </w:tc>
        <w:tc>
          <w:tcPr>
            <w:tcW w:w="2126" w:type="dxa"/>
            <w:vAlign w:val="center"/>
          </w:tcPr>
          <w:p>
            <w:pPr>
              <w:widowControl/>
              <w:spacing w:line="240" w:lineRule="auto"/>
              <w:ind w:firstLine="0" w:firstLineChars="0"/>
              <w:rPr>
                <w:kern w:val="0"/>
                <w:sz w:val="21"/>
                <w:szCs w:val="21"/>
              </w:rPr>
            </w:pPr>
            <w:r>
              <w:rPr>
                <w:rFonts w:hint="eastAsia"/>
                <w:kern w:val="0"/>
                <w:sz w:val="21"/>
                <w:szCs w:val="21"/>
              </w:rPr>
              <w:t>融入西部陆海新通道建设，形成南向经川南经济区联系云南、贵州以及北部湾和粤港澳大湾区的综合交通走廊</w:t>
            </w:r>
          </w:p>
        </w:tc>
        <w:tc>
          <w:tcPr>
            <w:tcW w:w="4904" w:type="dxa"/>
            <w:vAlign w:val="center"/>
          </w:tcPr>
          <w:p>
            <w:pPr>
              <w:widowControl/>
              <w:spacing w:line="240" w:lineRule="auto"/>
              <w:ind w:firstLine="0" w:firstLineChars="0"/>
              <w:rPr>
                <w:kern w:val="0"/>
                <w:sz w:val="21"/>
                <w:szCs w:val="21"/>
              </w:rPr>
            </w:pPr>
            <w:r>
              <w:rPr>
                <w:rFonts w:hint="eastAsia"/>
                <w:kern w:val="0"/>
                <w:sz w:val="21"/>
                <w:szCs w:val="21"/>
              </w:rPr>
              <w:t>高速公路（4高）：内遂高速（建成）、成渝高速（建成）、成渝高速扩容复线（规划）、乐至至犍为高速（规划）</w:t>
            </w:r>
          </w:p>
          <w:p>
            <w:pPr>
              <w:pStyle w:val="2"/>
              <w:spacing w:after="0" w:line="240" w:lineRule="auto"/>
              <w:ind w:firstLine="0" w:firstLineChars="0"/>
              <w:rPr>
                <w:kern w:val="0"/>
                <w:sz w:val="21"/>
                <w:szCs w:val="21"/>
              </w:rPr>
            </w:pPr>
            <w:r>
              <w:rPr>
                <w:rFonts w:hint="eastAsia"/>
                <w:kern w:val="0"/>
                <w:sz w:val="21"/>
                <w:szCs w:val="21"/>
              </w:rPr>
              <w:t>铁路（4轨）：成渝高铁（建成）、成渝铁路（建成）、成自宜高铁（在建）、绵遂内铁路（规划）</w:t>
            </w:r>
          </w:p>
          <w:p>
            <w:pPr>
              <w:pStyle w:val="2"/>
              <w:spacing w:after="0" w:line="240" w:lineRule="auto"/>
              <w:ind w:firstLine="0" w:firstLineChars="0"/>
              <w:rPr>
                <w:kern w:val="0"/>
                <w:sz w:val="21"/>
                <w:szCs w:val="21"/>
              </w:rPr>
            </w:pPr>
            <w:r>
              <w:rPr>
                <w:rFonts w:hint="eastAsia"/>
                <w:kern w:val="0"/>
                <w:sz w:val="21"/>
                <w:szCs w:val="21"/>
              </w:rPr>
              <w:t>快速通道（1快）：资阳至资中快速通道（规划）</w:t>
            </w:r>
          </w:p>
        </w:tc>
      </w:tr>
    </w:tbl>
    <w:p>
      <w:pPr>
        <w:adjustRightInd w:val="0"/>
        <w:snapToGrid w:val="0"/>
        <w:spacing w:line="240" w:lineRule="auto"/>
        <w:ind w:firstLine="0" w:firstLineChars="0"/>
        <w:rPr>
          <w:rFonts w:eastAsia="黑体"/>
          <w:sz w:val="24"/>
        </w:rPr>
      </w:pPr>
    </w:p>
    <w:tbl>
      <w:tblPr>
        <w:tblStyle w:val="2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418"/>
        <w:gridCol w:w="56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306" w:type="dxa"/>
            <w:gridSpan w:val="3"/>
            <w:shd w:val="clear" w:color="auto" w:fill="auto"/>
            <w:vAlign w:val="center"/>
          </w:tcPr>
          <w:p>
            <w:pPr>
              <w:adjustRightInd w:val="0"/>
              <w:snapToGrid w:val="0"/>
              <w:spacing w:line="240" w:lineRule="auto"/>
              <w:ind w:firstLine="0" w:firstLineChars="0"/>
              <w:jc w:val="center"/>
              <w:rPr>
                <w:rFonts w:eastAsia="黑体"/>
                <w:color w:val="000000"/>
                <w:kern w:val="0"/>
                <w:sz w:val="24"/>
              </w:rPr>
            </w:pPr>
            <w:r>
              <w:rPr>
                <w:rFonts w:hint="eastAsia" w:eastAsia="黑体"/>
                <w:bCs/>
                <w:color w:val="000000"/>
                <w:kern w:val="0"/>
                <w:sz w:val="24"/>
              </w:rPr>
              <w:t>专栏6</w:t>
            </w:r>
            <w:r>
              <w:rPr>
                <w:rFonts w:eastAsia="黑体"/>
                <w:bCs/>
                <w:color w:val="000000"/>
                <w:kern w:val="0"/>
                <w:sz w:val="24"/>
              </w:rPr>
              <w:t xml:space="preserve">   </w:t>
            </w:r>
            <w:r>
              <w:rPr>
                <w:rFonts w:hint="eastAsia" w:eastAsia="黑体"/>
                <w:bCs/>
                <w:color w:val="000000"/>
                <w:kern w:val="0"/>
                <w:sz w:val="24"/>
              </w:rPr>
              <w:t>资阳市内部区县联系通道布局方案表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6" w:type="dxa"/>
            <w:shd w:val="clear" w:color="auto" w:fill="auto"/>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通道名称</w:t>
            </w:r>
          </w:p>
        </w:tc>
        <w:tc>
          <w:tcPr>
            <w:tcW w:w="1418" w:type="dxa"/>
            <w:shd w:val="clear" w:color="auto" w:fill="auto"/>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功能描述</w:t>
            </w:r>
          </w:p>
        </w:tc>
        <w:tc>
          <w:tcPr>
            <w:tcW w:w="5612" w:type="dxa"/>
            <w:shd w:val="clear" w:color="auto" w:fill="auto"/>
            <w:vAlign w:val="center"/>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依托线路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widowControl/>
              <w:spacing w:line="240" w:lineRule="auto"/>
              <w:ind w:firstLine="0" w:firstLineChars="0"/>
              <w:rPr>
                <w:color w:val="000000"/>
                <w:kern w:val="0"/>
                <w:sz w:val="21"/>
                <w:szCs w:val="21"/>
              </w:rPr>
            </w:pPr>
            <w:r>
              <w:rPr>
                <w:rFonts w:hint="eastAsia"/>
                <w:color w:val="000000"/>
                <w:kern w:val="0"/>
                <w:sz w:val="21"/>
                <w:szCs w:val="21"/>
              </w:rPr>
              <w:t>雁江至乐至</w:t>
            </w:r>
          </w:p>
        </w:tc>
        <w:tc>
          <w:tcPr>
            <w:tcW w:w="1418" w:type="dxa"/>
            <w:vMerge w:val="restart"/>
            <w:vAlign w:val="center"/>
          </w:tcPr>
          <w:p>
            <w:pPr>
              <w:widowControl/>
              <w:spacing w:line="240" w:lineRule="auto"/>
              <w:ind w:firstLine="0" w:firstLineChars="0"/>
              <w:rPr>
                <w:kern w:val="0"/>
                <w:sz w:val="21"/>
                <w:szCs w:val="21"/>
              </w:rPr>
            </w:pPr>
            <w:r>
              <w:rPr>
                <w:rFonts w:hint="eastAsia"/>
                <w:kern w:val="0"/>
                <w:sz w:val="21"/>
                <w:szCs w:val="21"/>
              </w:rPr>
              <w:t>承担县际间沟通交流，覆盖重要乡镇及产业功能区</w:t>
            </w:r>
          </w:p>
        </w:tc>
        <w:tc>
          <w:tcPr>
            <w:tcW w:w="5612" w:type="dxa"/>
            <w:vAlign w:val="center"/>
          </w:tcPr>
          <w:p>
            <w:pPr>
              <w:widowControl/>
              <w:spacing w:line="240" w:lineRule="auto"/>
              <w:ind w:firstLine="0" w:firstLineChars="0"/>
              <w:rPr>
                <w:kern w:val="0"/>
                <w:sz w:val="21"/>
                <w:szCs w:val="21"/>
              </w:rPr>
            </w:pPr>
            <w:r>
              <w:rPr>
                <w:rFonts w:hint="eastAsia"/>
                <w:kern w:val="0"/>
                <w:sz w:val="21"/>
                <w:szCs w:val="21"/>
              </w:rPr>
              <w:t>高速公路：成资渝高速（建成）、遂资眉高速（建成）、三台经乐至至犍为高速（规划）</w:t>
            </w:r>
          </w:p>
          <w:p>
            <w:pPr>
              <w:pStyle w:val="2"/>
              <w:spacing w:after="0" w:line="240" w:lineRule="auto"/>
              <w:ind w:firstLine="0" w:firstLineChars="0"/>
              <w:rPr>
                <w:kern w:val="0"/>
                <w:sz w:val="21"/>
                <w:szCs w:val="21"/>
              </w:rPr>
            </w:pPr>
            <w:r>
              <w:rPr>
                <w:rFonts w:hint="eastAsia"/>
                <w:kern w:val="0"/>
                <w:sz w:val="21"/>
                <w:szCs w:val="21"/>
              </w:rPr>
              <w:t>铁路：成达万高铁（在建）</w:t>
            </w:r>
          </w:p>
          <w:p>
            <w:pPr>
              <w:pStyle w:val="2"/>
              <w:spacing w:after="0" w:line="240" w:lineRule="auto"/>
              <w:ind w:firstLine="0" w:firstLineChars="0"/>
              <w:rPr>
                <w:kern w:val="0"/>
                <w:sz w:val="21"/>
                <w:szCs w:val="21"/>
              </w:rPr>
            </w:pPr>
            <w:r>
              <w:rPr>
                <w:rFonts w:hint="eastAsia"/>
                <w:kern w:val="0"/>
                <w:sz w:val="21"/>
                <w:szCs w:val="21"/>
              </w:rPr>
              <w:t>快速通道：乐雁快速通道（规划）、资遂快速通道（规划）</w:t>
            </w:r>
          </w:p>
          <w:p>
            <w:pPr>
              <w:pStyle w:val="2"/>
              <w:spacing w:after="0" w:line="240" w:lineRule="auto"/>
              <w:ind w:firstLine="0" w:firstLineChars="0"/>
              <w:rPr>
                <w:kern w:val="0"/>
                <w:sz w:val="21"/>
                <w:szCs w:val="21"/>
              </w:rPr>
            </w:pPr>
            <w:r>
              <w:rPr>
                <w:rFonts w:hint="eastAsia"/>
                <w:kern w:val="0"/>
                <w:sz w:val="21"/>
                <w:szCs w:val="21"/>
              </w:rPr>
              <w:t>普通国省道：G</w:t>
            </w:r>
            <w:r>
              <w:rPr>
                <w:kern w:val="0"/>
                <w:sz w:val="21"/>
                <w:szCs w:val="21"/>
              </w:rPr>
              <w:t>351</w:t>
            </w:r>
            <w:r>
              <w:rPr>
                <w:rFonts w:hint="eastAsia"/>
                <w:kern w:val="0"/>
                <w:sz w:val="21"/>
                <w:szCs w:val="21"/>
              </w:rPr>
              <w:t>（县际衔接段为二级公路）、S</w:t>
            </w:r>
            <w:r>
              <w:rPr>
                <w:kern w:val="0"/>
                <w:sz w:val="21"/>
                <w:szCs w:val="21"/>
              </w:rPr>
              <w:t>212</w:t>
            </w:r>
            <w:r>
              <w:rPr>
                <w:rFonts w:hint="eastAsia"/>
                <w:kern w:val="0"/>
                <w:sz w:val="21"/>
                <w:szCs w:val="21"/>
              </w:rPr>
              <w:t>（规划新增省道）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widowControl/>
              <w:spacing w:line="240" w:lineRule="auto"/>
              <w:ind w:firstLine="0" w:firstLineChars="0"/>
              <w:rPr>
                <w:color w:val="000000"/>
                <w:kern w:val="0"/>
                <w:sz w:val="21"/>
                <w:szCs w:val="21"/>
              </w:rPr>
            </w:pPr>
            <w:r>
              <w:rPr>
                <w:rFonts w:hint="eastAsia"/>
                <w:color w:val="000000"/>
                <w:kern w:val="0"/>
                <w:sz w:val="21"/>
                <w:szCs w:val="21"/>
              </w:rPr>
              <w:t>雁江至安岳</w:t>
            </w:r>
          </w:p>
        </w:tc>
        <w:tc>
          <w:tcPr>
            <w:tcW w:w="1418" w:type="dxa"/>
            <w:vMerge w:val="continue"/>
            <w:vAlign w:val="center"/>
          </w:tcPr>
          <w:p>
            <w:pPr>
              <w:widowControl/>
              <w:spacing w:line="240" w:lineRule="auto"/>
              <w:ind w:firstLine="0" w:firstLineChars="0"/>
              <w:rPr>
                <w:kern w:val="0"/>
                <w:sz w:val="21"/>
                <w:szCs w:val="21"/>
              </w:rPr>
            </w:pPr>
          </w:p>
        </w:tc>
        <w:tc>
          <w:tcPr>
            <w:tcW w:w="5612" w:type="dxa"/>
            <w:vAlign w:val="center"/>
          </w:tcPr>
          <w:p>
            <w:pPr>
              <w:widowControl/>
              <w:spacing w:line="240" w:lineRule="auto"/>
              <w:ind w:firstLine="0" w:firstLineChars="0"/>
              <w:rPr>
                <w:kern w:val="0"/>
                <w:sz w:val="21"/>
                <w:szCs w:val="21"/>
              </w:rPr>
            </w:pPr>
            <w:r>
              <w:rPr>
                <w:rFonts w:hint="eastAsia"/>
                <w:kern w:val="0"/>
                <w:sz w:val="21"/>
                <w:szCs w:val="21"/>
              </w:rPr>
              <w:t>高速公路：成资渝高速（建成）</w:t>
            </w:r>
          </w:p>
          <w:p>
            <w:pPr>
              <w:pStyle w:val="2"/>
              <w:spacing w:after="0" w:line="240" w:lineRule="auto"/>
              <w:ind w:firstLine="0" w:firstLineChars="0"/>
              <w:rPr>
                <w:kern w:val="0"/>
                <w:sz w:val="21"/>
                <w:szCs w:val="21"/>
              </w:rPr>
            </w:pPr>
            <w:r>
              <w:rPr>
                <w:rFonts w:hint="eastAsia"/>
                <w:kern w:val="0"/>
                <w:sz w:val="21"/>
                <w:szCs w:val="21"/>
              </w:rPr>
              <w:t>快速通道：S</w:t>
            </w:r>
            <w:r>
              <w:rPr>
                <w:kern w:val="0"/>
                <w:sz w:val="21"/>
                <w:szCs w:val="21"/>
              </w:rPr>
              <w:t>102</w:t>
            </w:r>
            <w:r>
              <w:rPr>
                <w:rFonts w:hint="eastAsia"/>
                <w:kern w:val="0"/>
                <w:sz w:val="21"/>
                <w:szCs w:val="21"/>
              </w:rPr>
              <w:t>资阳至安岳快速通道（规划）</w:t>
            </w:r>
            <w:r>
              <w:rPr>
                <w:kern w:val="0"/>
                <w:sz w:val="21"/>
                <w:szCs w:val="21"/>
              </w:rPr>
              <w:t xml:space="preserve"> </w:t>
            </w:r>
          </w:p>
          <w:p>
            <w:pPr>
              <w:pStyle w:val="2"/>
              <w:spacing w:after="0" w:line="240" w:lineRule="auto"/>
              <w:ind w:firstLine="0" w:firstLineChars="0"/>
              <w:rPr>
                <w:kern w:val="0"/>
                <w:sz w:val="21"/>
                <w:szCs w:val="21"/>
              </w:rPr>
            </w:pPr>
            <w:r>
              <w:rPr>
                <w:rFonts w:hint="eastAsia"/>
                <w:kern w:val="0"/>
                <w:sz w:val="21"/>
                <w:szCs w:val="21"/>
              </w:rPr>
              <w:t>普通国省道：S</w:t>
            </w:r>
            <w:r>
              <w:rPr>
                <w:kern w:val="0"/>
                <w:sz w:val="21"/>
                <w:szCs w:val="21"/>
              </w:rPr>
              <w:t>109</w:t>
            </w:r>
            <w:r>
              <w:rPr>
                <w:rFonts w:hint="eastAsia"/>
                <w:kern w:val="0"/>
                <w:sz w:val="21"/>
                <w:szCs w:val="21"/>
              </w:rPr>
              <w:t>（规划新增省道）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Align w:val="center"/>
          </w:tcPr>
          <w:p>
            <w:pPr>
              <w:widowControl/>
              <w:spacing w:line="240" w:lineRule="auto"/>
              <w:ind w:firstLine="0" w:firstLineChars="0"/>
              <w:rPr>
                <w:color w:val="000000"/>
                <w:kern w:val="0"/>
                <w:sz w:val="21"/>
                <w:szCs w:val="21"/>
              </w:rPr>
            </w:pPr>
            <w:r>
              <w:rPr>
                <w:rFonts w:hint="eastAsia"/>
                <w:color w:val="000000"/>
                <w:kern w:val="0"/>
                <w:sz w:val="21"/>
                <w:szCs w:val="21"/>
              </w:rPr>
              <w:t>乐至至安岳</w:t>
            </w:r>
          </w:p>
        </w:tc>
        <w:tc>
          <w:tcPr>
            <w:tcW w:w="1418" w:type="dxa"/>
            <w:vMerge w:val="continue"/>
            <w:vAlign w:val="center"/>
          </w:tcPr>
          <w:p>
            <w:pPr>
              <w:widowControl/>
              <w:spacing w:line="240" w:lineRule="auto"/>
              <w:ind w:firstLine="0" w:firstLineChars="0"/>
              <w:rPr>
                <w:kern w:val="0"/>
                <w:sz w:val="21"/>
                <w:szCs w:val="21"/>
              </w:rPr>
            </w:pPr>
          </w:p>
        </w:tc>
        <w:tc>
          <w:tcPr>
            <w:tcW w:w="5612" w:type="dxa"/>
            <w:vAlign w:val="center"/>
          </w:tcPr>
          <w:p>
            <w:pPr>
              <w:widowControl/>
              <w:spacing w:line="240" w:lineRule="auto"/>
              <w:ind w:firstLine="0" w:firstLineChars="0"/>
              <w:rPr>
                <w:kern w:val="0"/>
                <w:sz w:val="21"/>
                <w:szCs w:val="21"/>
              </w:rPr>
            </w:pPr>
            <w:r>
              <w:rPr>
                <w:rFonts w:hint="eastAsia"/>
                <w:kern w:val="0"/>
                <w:sz w:val="21"/>
                <w:szCs w:val="21"/>
              </w:rPr>
              <w:t>高速公路：成安渝高速（建成）、成资渝高速</w:t>
            </w:r>
            <w:r>
              <w:rPr>
                <w:kern w:val="0"/>
                <w:sz w:val="21"/>
                <w:szCs w:val="21"/>
              </w:rPr>
              <w:t xml:space="preserve"> </w:t>
            </w:r>
            <w:r>
              <w:rPr>
                <w:rFonts w:hint="eastAsia"/>
                <w:kern w:val="0"/>
                <w:sz w:val="21"/>
                <w:szCs w:val="21"/>
              </w:rPr>
              <w:t>（建成）</w:t>
            </w:r>
          </w:p>
          <w:p>
            <w:pPr>
              <w:pStyle w:val="2"/>
              <w:spacing w:after="0" w:line="240" w:lineRule="auto"/>
              <w:ind w:firstLine="0" w:firstLineChars="0"/>
              <w:rPr>
                <w:kern w:val="0"/>
                <w:sz w:val="21"/>
                <w:szCs w:val="21"/>
              </w:rPr>
            </w:pPr>
            <w:r>
              <w:rPr>
                <w:rFonts w:hint="eastAsia"/>
                <w:kern w:val="0"/>
                <w:sz w:val="21"/>
                <w:szCs w:val="21"/>
              </w:rPr>
              <w:t>铁路：成渝中线高铁（规划）</w:t>
            </w:r>
          </w:p>
          <w:p>
            <w:pPr>
              <w:pStyle w:val="2"/>
              <w:spacing w:after="0" w:line="240" w:lineRule="auto"/>
              <w:ind w:firstLine="0" w:firstLineChars="0"/>
              <w:rPr>
                <w:kern w:val="0"/>
                <w:sz w:val="21"/>
                <w:szCs w:val="21"/>
              </w:rPr>
            </w:pPr>
            <w:r>
              <w:rPr>
                <w:rFonts w:hint="eastAsia"/>
                <w:kern w:val="0"/>
                <w:sz w:val="21"/>
                <w:szCs w:val="21"/>
              </w:rPr>
              <w:t>快速通道：G319线成渝直线快速通道（规划）</w:t>
            </w:r>
          </w:p>
          <w:p>
            <w:pPr>
              <w:pStyle w:val="2"/>
              <w:spacing w:after="0" w:line="240" w:lineRule="auto"/>
              <w:ind w:firstLine="0" w:firstLineChars="0"/>
              <w:rPr>
                <w:kern w:val="0"/>
                <w:sz w:val="21"/>
                <w:szCs w:val="21"/>
              </w:rPr>
            </w:pPr>
            <w:r>
              <w:rPr>
                <w:rFonts w:hint="eastAsia"/>
                <w:kern w:val="0"/>
                <w:sz w:val="21"/>
                <w:szCs w:val="21"/>
              </w:rPr>
              <w:t>普通国省道：G</w:t>
            </w:r>
            <w:r>
              <w:rPr>
                <w:kern w:val="0"/>
                <w:sz w:val="21"/>
                <w:szCs w:val="21"/>
              </w:rPr>
              <w:t>319/G351</w:t>
            </w:r>
            <w:r>
              <w:rPr>
                <w:rFonts w:hint="eastAsia"/>
                <w:kern w:val="0"/>
                <w:sz w:val="21"/>
                <w:szCs w:val="21"/>
              </w:rPr>
              <w:t>（县际衔接段为二级公路）、S</w:t>
            </w:r>
            <w:r>
              <w:rPr>
                <w:kern w:val="0"/>
                <w:sz w:val="21"/>
                <w:szCs w:val="21"/>
              </w:rPr>
              <w:t>401</w:t>
            </w:r>
            <w:r>
              <w:rPr>
                <w:rFonts w:hint="eastAsia"/>
                <w:kern w:val="0"/>
                <w:sz w:val="21"/>
                <w:szCs w:val="21"/>
              </w:rPr>
              <w:t>（规划调整省道）</w:t>
            </w:r>
          </w:p>
        </w:tc>
      </w:tr>
    </w:tbl>
    <w:p>
      <w:pPr>
        <w:ind w:firstLine="643"/>
        <w:outlineLvl w:val="2"/>
        <w:rPr>
          <w:rFonts w:eastAsia="楷体_GB2312"/>
          <w:b/>
          <w:bCs/>
          <w:szCs w:val="32"/>
        </w:rPr>
      </w:pPr>
      <w:bookmarkStart w:id="37" w:name="_Toc72864737"/>
      <w:r>
        <w:rPr>
          <w:rFonts w:hint="eastAsia" w:eastAsia="楷体_GB2312"/>
          <w:b/>
          <w:bCs/>
          <w:szCs w:val="32"/>
        </w:rPr>
        <w:t>（二）枢纽布局</w:t>
      </w:r>
      <w:bookmarkEnd w:id="37"/>
    </w:p>
    <w:p>
      <w:pPr>
        <w:adjustRightInd w:val="0"/>
        <w:snapToGrid w:val="0"/>
        <w:ind w:firstLine="640"/>
      </w:pPr>
      <w:bookmarkStart w:id="38" w:name="_Hlk47885494"/>
      <w:r>
        <w:rPr>
          <w:rFonts w:hint="eastAsia"/>
        </w:rPr>
        <w:t>根据资阳“一主两副、多点支撑”城镇格局，统筹考虑路网布局、产业发展、站点分布等情况，</w:t>
      </w:r>
      <w:bookmarkEnd w:id="38"/>
      <w:r>
        <w:rPr>
          <w:rFonts w:hint="eastAsia"/>
        </w:rPr>
        <w:t>布局形成“一主两副”综合交通</w:t>
      </w:r>
      <w:r>
        <w:t>枢纽</w:t>
      </w:r>
      <w:r>
        <w:rPr>
          <w:rFonts w:hint="eastAsia"/>
        </w:rPr>
        <w:t>发展格局。</w:t>
      </w:r>
    </w:p>
    <w:p>
      <w:pPr>
        <w:adjustRightInd w:val="0"/>
        <w:snapToGrid w:val="0"/>
        <w:ind w:firstLine="643"/>
      </w:pPr>
      <w:r>
        <w:rPr>
          <w:rFonts w:hint="eastAsia" w:eastAsia="楷体_GB2312"/>
          <w:b/>
          <w:bCs/>
          <w:szCs w:val="32"/>
        </w:rPr>
        <w:t>资阳主枢纽。</w:t>
      </w:r>
      <w:r>
        <w:rPr>
          <w:rFonts w:hint="eastAsia"/>
        </w:rPr>
        <w:t>充分发挥紧邻天府国际机场优势，依托</w:t>
      </w:r>
      <w:bookmarkStart w:id="39" w:name="_Hlk71877673"/>
      <w:r>
        <w:rPr>
          <w:rFonts w:hint="eastAsia"/>
        </w:rPr>
        <w:t>成渝高铁资阳北综合客运枢纽</w:t>
      </w:r>
      <w:bookmarkEnd w:id="39"/>
      <w:r>
        <w:rPr>
          <w:rFonts w:hint="eastAsia"/>
        </w:rPr>
        <w:t>、成自高铁资阳西综合客运枢纽、资阳公铁物流港、成渝</w:t>
      </w:r>
      <w:r>
        <w:t>•</w:t>
      </w:r>
      <w:r>
        <w:rPr>
          <w:rFonts w:hint="eastAsia"/>
        </w:rPr>
        <w:t>紫微商贸物流园、航空物流园等重要节点，致力打造成都都市圈东向、南向和成渝相向发展的通道门户，承接城际出行服务和航空物流中转、成渝物流集散、川南川东北物流分拨等功能。</w:t>
      </w:r>
    </w:p>
    <w:p>
      <w:pPr>
        <w:pStyle w:val="2"/>
        <w:spacing w:after="0"/>
        <w:ind w:firstLine="643"/>
      </w:pPr>
      <w:bookmarkStart w:id="40" w:name="_Hlk45738597"/>
      <w:r>
        <w:rPr>
          <w:rFonts w:hint="eastAsia" w:eastAsia="楷体_GB2312"/>
          <w:b/>
          <w:bCs/>
          <w:szCs w:val="32"/>
        </w:rPr>
        <w:t>乐至</w:t>
      </w:r>
      <w:r>
        <w:rPr>
          <w:rFonts w:eastAsia="楷体_GB2312"/>
          <w:b/>
          <w:bCs/>
          <w:szCs w:val="32"/>
        </w:rPr>
        <w:t>副枢纽</w:t>
      </w:r>
      <w:bookmarkEnd w:id="40"/>
      <w:r>
        <w:rPr>
          <w:rFonts w:hint="eastAsia"/>
        </w:rPr>
        <w:t>。充分发挥成渝黄金分割点、成渝中部绿色发展示范区优势，依托成达万高铁乐至南综合客运枢纽、童家物流园、成渝中部（乐至）农副产品物流园等重要节点，致力打造成渝中部区域性集散枢纽和绿色农产品配送基地。</w:t>
      </w:r>
    </w:p>
    <w:p>
      <w:pPr>
        <w:pStyle w:val="2"/>
        <w:spacing w:after="0"/>
        <w:ind w:firstLine="643"/>
      </w:pPr>
      <w:r>
        <w:rPr>
          <w:rFonts w:hint="eastAsia" w:eastAsia="楷体_GB2312"/>
          <w:b/>
          <w:bCs/>
          <w:szCs w:val="32"/>
        </w:rPr>
        <w:t>安岳副枢纽。</w:t>
      </w:r>
      <w:r>
        <w:rPr>
          <w:rFonts w:hint="eastAsia"/>
        </w:rPr>
        <w:t>充分发挥成渝发展主轴中点、资阳大足文旅产业融合发展核心区优势，依托成渝中线高铁安岳综合客运枢纽、安岳城东物流园等重要节点，致力打造成渝中部次级交通枢纽和“交通+旅游”深度融合发展示范区。</w:t>
      </w:r>
    </w:p>
    <w:tbl>
      <w:tblPr>
        <w:tblStyle w:val="22"/>
        <w:tblW w:w="835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66"/>
        <w:gridCol w:w="1701"/>
        <w:gridCol w:w="2410"/>
        <w:gridCol w:w="29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blHeader/>
        </w:trPr>
        <w:tc>
          <w:tcPr>
            <w:tcW w:w="8354" w:type="dxa"/>
            <w:gridSpan w:val="4"/>
            <w:vAlign w:val="center"/>
          </w:tcPr>
          <w:p>
            <w:pPr>
              <w:adjustRightInd w:val="0"/>
              <w:snapToGrid w:val="0"/>
              <w:spacing w:line="240" w:lineRule="auto"/>
              <w:ind w:firstLine="0" w:firstLineChars="0"/>
              <w:jc w:val="center"/>
              <w:rPr>
                <w:rFonts w:eastAsia="黑体"/>
                <w:kern w:val="0"/>
                <w:sz w:val="21"/>
                <w:szCs w:val="21"/>
              </w:rPr>
            </w:pPr>
            <w:r>
              <w:rPr>
                <w:rFonts w:hint="eastAsia" w:eastAsia="黑体"/>
                <w:bCs/>
                <w:color w:val="000000"/>
                <w:kern w:val="0"/>
                <w:sz w:val="24"/>
              </w:rPr>
              <w:t>专栏7   资阳市枢纽体系布局方案表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trPr>
        <w:tc>
          <w:tcPr>
            <w:tcW w:w="1266" w:type="dxa"/>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层次</w:t>
            </w:r>
          </w:p>
        </w:tc>
        <w:tc>
          <w:tcPr>
            <w:tcW w:w="1701" w:type="dxa"/>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类型</w:t>
            </w:r>
          </w:p>
        </w:tc>
        <w:tc>
          <w:tcPr>
            <w:tcW w:w="2410" w:type="dxa"/>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场站名称</w:t>
            </w:r>
          </w:p>
        </w:tc>
        <w:tc>
          <w:tcPr>
            <w:tcW w:w="2977" w:type="dxa"/>
          </w:tcPr>
          <w:p>
            <w:pPr>
              <w:widowControl/>
              <w:spacing w:line="240" w:lineRule="auto"/>
              <w:ind w:firstLine="0" w:firstLineChars="0"/>
              <w:jc w:val="center"/>
              <w:rPr>
                <w:rFonts w:eastAsia="黑体"/>
                <w:color w:val="000000"/>
                <w:kern w:val="0"/>
                <w:sz w:val="21"/>
                <w:szCs w:val="21"/>
              </w:rPr>
            </w:pPr>
            <w:r>
              <w:rPr>
                <w:rFonts w:hint="eastAsia" w:eastAsia="黑体"/>
                <w:color w:val="000000"/>
                <w:kern w:val="0"/>
                <w:sz w:val="21"/>
                <w:szCs w:val="21"/>
              </w:rPr>
              <w:t>功能定位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资阳主枢纽</w:t>
            </w:r>
          </w:p>
        </w:tc>
        <w:tc>
          <w:tcPr>
            <w:tcW w:w="1701"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综合客运枢纽</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成渝高铁资阳北综合</w:t>
            </w:r>
          </w:p>
          <w:p>
            <w:pPr>
              <w:widowControl/>
              <w:spacing w:line="240" w:lineRule="auto"/>
              <w:ind w:firstLine="0" w:firstLineChars="0"/>
              <w:jc w:val="center"/>
              <w:rPr>
                <w:kern w:val="0"/>
                <w:sz w:val="21"/>
                <w:szCs w:val="21"/>
              </w:rPr>
            </w:pPr>
            <w:r>
              <w:rPr>
                <w:rFonts w:hint="eastAsia"/>
                <w:kern w:val="0"/>
                <w:sz w:val="21"/>
                <w:szCs w:val="21"/>
              </w:rPr>
              <w:t>客运枢纽</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衔接成渝高铁、轨道交通资阳线，发挥公铁联运功能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jc w:val="center"/>
              <w:rPr>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成自高铁资阳西综合</w:t>
            </w:r>
          </w:p>
          <w:p>
            <w:pPr>
              <w:widowControl/>
              <w:spacing w:line="240" w:lineRule="auto"/>
              <w:ind w:firstLine="0" w:firstLineChars="0"/>
              <w:jc w:val="center"/>
              <w:rPr>
                <w:kern w:val="0"/>
                <w:sz w:val="21"/>
                <w:szCs w:val="21"/>
              </w:rPr>
            </w:pPr>
            <w:r>
              <w:rPr>
                <w:rFonts w:hint="eastAsia"/>
                <w:kern w:val="0"/>
                <w:sz w:val="21"/>
                <w:szCs w:val="21"/>
              </w:rPr>
              <w:t>客运枢纽</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衔接成自高铁、成达万高铁，发挥公铁联运功能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Align w:val="center"/>
          </w:tcPr>
          <w:p>
            <w:pPr>
              <w:widowControl/>
              <w:spacing w:line="240" w:lineRule="auto"/>
              <w:ind w:firstLine="0" w:firstLineChars="0"/>
              <w:jc w:val="center"/>
              <w:rPr>
                <w:kern w:val="0"/>
                <w:sz w:val="21"/>
                <w:szCs w:val="21"/>
              </w:rPr>
            </w:pPr>
            <w:r>
              <w:rPr>
                <w:rFonts w:hint="eastAsia"/>
                <w:kern w:val="0"/>
                <w:sz w:val="21"/>
                <w:szCs w:val="21"/>
              </w:rPr>
              <w:t>综合货运枢纽</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资阳公铁物流港</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集多式联运、仓储配送、产品加工、信息处理等功能于一体的综合型物流港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5" w:hRule="atLeast"/>
        </w:trPr>
        <w:tc>
          <w:tcPr>
            <w:tcW w:w="1266" w:type="dxa"/>
            <w:vMerge w:val="continue"/>
          </w:tcPr>
          <w:p>
            <w:pPr>
              <w:widowControl/>
              <w:spacing w:line="240" w:lineRule="auto"/>
              <w:ind w:firstLine="0" w:firstLineChars="0"/>
              <w:jc w:val="center"/>
              <w:rPr>
                <w:kern w:val="0"/>
                <w:sz w:val="21"/>
                <w:szCs w:val="21"/>
              </w:rPr>
            </w:pPr>
          </w:p>
        </w:tc>
        <w:tc>
          <w:tcPr>
            <w:tcW w:w="1701"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普通公路客运站</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资阳汽车客运中心</w:t>
            </w:r>
          </w:p>
          <w:p>
            <w:pPr>
              <w:widowControl/>
              <w:spacing w:line="240" w:lineRule="auto"/>
              <w:ind w:firstLine="0" w:firstLineChars="0"/>
              <w:jc w:val="center"/>
              <w:rPr>
                <w:kern w:val="0"/>
                <w:sz w:val="21"/>
                <w:szCs w:val="21"/>
              </w:rPr>
            </w:pPr>
            <w:r>
              <w:rPr>
                <w:rFonts w:hint="eastAsia"/>
                <w:kern w:val="0"/>
                <w:sz w:val="21"/>
                <w:szCs w:val="21"/>
              </w:rPr>
              <w:t>（建成）</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承担雁江南面西面出行，成都、内江、泸州等跨市出行，部分跨省出行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jc w:val="center"/>
              <w:rPr>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资阳汽车客运站</w:t>
            </w:r>
          </w:p>
          <w:p>
            <w:pPr>
              <w:widowControl/>
              <w:spacing w:line="240" w:lineRule="auto"/>
              <w:ind w:firstLine="0" w:firstLineChars="0"/>
              <w:jc w:val="center"/>
              <w:rPr>
                <w:kern w:val="0"/>
                <w:sz w:val="21"/>
                <w:szCs w:val="21"/>
              </w:rPr>
            </w:pPr>
            <w:r>
              <w:rPr>
                <w:rFonts w:hint="eastAsia"/>
                <w:kern w:val="0"/>
                <w:sz w:val="21"/>
                <w:szCs w:val="21"/>
              </w:rPr>
              <w:t>（建成）</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承担雁江北面东面方向区内出行，以及遂宁、乐至、安岳等中程出行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物流园区</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成渝</w:t>
            </w:r>
            <w:r>
              <w:rPr>
                <w:kern w:val="0"/>
                <w:sz w:val="21"/>
                <w:szCs w:val="21"/>
              </w:rPr>
              <w:t>•</w:t>
            </w:r>
            <w:r>
              <w:rPr>
                <w:rFonts w:hint="eastAsia"/>
                <w:kern w:val="0"/>
                <w:sz w:val="21"/>
                <w:szCs w:val="21"/>
              </w:rPr>
              <w:t>紫微商贸园</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集商贸物流、区域配送、电商快递、信息处理等功能于一体的现代物流园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jc w:val="center"/>
              <w:rPr>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航空物流园</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集仓储、贸易、配送、增值服务等功能于一体的航空物流园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乐至副枢纽</w:t>
            </w:r>
          </w:p>
        </w:tc>
        <w:tc>
          <w:tcPr>
            <w:tcW w:w="1701" w:type="dxa"/>
            <w:vAlign w:val="center"/>
          </w:tcPr>
          <w:p>
            <w:pPr>
              <w:widowControl/>
              <w:spacing w:line="240" w:lineRule="auto"/>
              <w:ind w:firstLine="0" w:firstLineChars="0"/>
              <w:jc w:val="center"/>
              <w:rPr>
                <w:kern w:val="0"/>
                <w:sz w:val="21"/>
                <w:szCs w:val="21"/>
              </w:rPr>
            </w:pPr>
            <w:r>
              <w:rPr>
                <w:rFonts w:hint="eastAsia"/>
                <w:kern w:val="0"/>
                <w:sz w:val="21"/>
                <w:szCs w:val="21"/>
              </w:rPr>
              <w:t>综合客运枢纽</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成达万高铁乐至南综合</w:t>
            </w:r>
          </w:p>
          <w:p>
            <w:pPr>
              <w:widowControl/>
              <w:spacing w:line="240" w:lineRule="auto"/>
              <w:ind w:firstLine="0" w:firstLineChars="0"/>
              <w:jc w:val="center"/>
              <w:rPr>
                <w:kern w:val="0"/>
                <w:sz w:val="21"/>
                <w:szCs w:val="21"/>
              </w:rPr>
            </w:pPr>
            <w:r>
              <w:rPr>
                <w:rFonts w:hint="eastAsia"/>
                <w:kern w:val="0"/>
                <w:sz w:val="21"/>
                <w:szCs w:val="21"/>
              </w:rPr>
              <w:t>客运枢纽</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衔接成达万高铁、成渝中线高铁，发挥公铁联运功能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color w:val="auto"/>
                <w:kern w:val="0"/>
                <w:sz w:val="21"/>
                <w:szCs w:val="21"/>
              </w:rPr>
            </w:pPr>
          </w:p>
        </w:tc>
        <w:tc>
          <w:tcPr>
            <w:tcW w:w="1701" w:type="dxa"/>
            <w:vMerge w:val="restart"/>
            <w:vAlign w:val="center"/>
          </w:tcPr>
          <w:p>
            <w:pPr>
              <w:widowControl/>
              <w:spacing w:line="240" w:lineRule="auto"/>
              <w:ind w:firstLine="0" w:firstLineChars="0"/>
              <w:rPr>
                <w:color w:val="auto"/>
                <w:kern w:val="0"/>
                <w:sz w:val="21"/>
                <w:szCs w:val="21"/>
              </w:rPr>
            </w:pPr>
            <w:r>
              <w:rPr>
                <w:rFonts w:hint="eastAsia"/>
                <w:color w:val="auto"/>
                <w:kern w:val="0"/>
                <w:sz w:val="21"/>
                <w:szCs w:val="21"/>
              </w:rPr>
              <w:t>普通公路客运站</w:t>
            </w:r>
          </w:p>
        </w:tc>
        <w:tc>
          <w:tcPr>
            <w:tcW w:w="2410" w:type="dxa"/>
            <w:vAlign w:val="center"/>
          </w:tcPr>
          <w:p>
            <w:pPr>
              <w:widowControl/>
              <w:spacing w:line="240" w:lineRule="auto"/>
              <w:ind w:firstLine="0" w:firstLineChars="0"/>
              <w:jc w:val="center"/>
              <w:rPr>
                <w:rFonts w:hint="eastAsia"/>
                <w:color w:val="auto"/>
                <w:kern w:val="0"/>
                <w:sz w:val="21"/>
                <w:szCs w:val="21"/>
                <w:lang w:eastAsia="zh-CN"/>
              </w:rPr>
            </w:pPr>
            <w:r>
              <w:rPr>
                <w:rFonts w:hint="eastAsia"/>
                <w:color w:val="auto"/>
                <w:kern w:val="0"/>
                <w:sz w:val="21"/>
                <w:szCs w:val="21"/>
                <w:lang w:eastAsia="zh-CN"/>
              </w:rPr>
              <w:t>乐至北客运站</w:t>
            </w:r>
          </w:p>
          <w:p>
            <w:pPr>
              <w:widowControl/>
              <w:spacing w:line="240" w:lineRule="auto"/>
              <w:ind w:firstLine="0" w:firstLineChars="0"/>
              <w:jc w:val="center"/>
              <w:rPr>
                <w:color w:val="auto"/>
                <w:kern w:val="0"/>
                <w:sz w:val="21"/>
                <w:szCs w:val="21"/>
              </w:rPr>
            </w:pPr>
            <w:r>
              <w:rPr>
                <w:rFonts w:hint="eastAsia"/>
                <w:color w:val="auto"/>
                <w:kern w:val="0"/>
                <w:sz w:val="21"/>
                <w:szCs w:val="21"/>
                <w:lang w:eastAsia="zh-CN"/>
              </w:rPr>
              <w:t>（规划）</w:t>
            </w:r>
          </w:p>
        </w:tc>
        <w:tc>
          <w:tcPr>
            <w:tcW w:w="2977" w:type="dxa"/>
            <w:vAlign w:val="center"/>
          </w:tcPr>
          <w:p>
            <w:pPr>
              <w:widowControl/>
              <w:spacing w:line="240" w:lineRule="auto"/>
              <w:ind w:firstLine="0" w:firstLineChars="0"/>
              <w:rPr>
                <w:color w:val="auto"/>
                <w:kern w:val="0"/>
                <w:sz w:val="21"/>
                <w:szCs w:val="21"/>
              </w:rPr>
            </w:pPr>
            <w:r>
              <w:rPr>
                <w:rFonts w:hint="eastAsia"/>
                <w:color w:val="auto"/>
                <w:kern w:val="0"/>
                <w:sz w:val="21"/>
                <w:szCs w:val="21"/>
                <w:lang w:eastAsia="zh-CN"/>
              </w:rPr>
              <w:t>承担乐至北面出行，拓展客运换乘、旅游集散、汽车充电、汽车维修等功能。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rPr>
                <w:rFonts w:hint="eastAsia"/>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乐至县汽车客运站</w:t>
            </w:r>
          </w:p>
          <w:p>
            <w:pPr>
              <w:widowControl/>
              <w:spacing w:line="240" w:lineRule="auto"/>
              <w:ind w:firstLine="0" w:firstLineChars="0"/>
              <w:jc w:val="center"/>
              <w:rPr>
                <w:rFonts w:hint="eastAsia" w:ascii="Times New Roman" w:hAnsi="Times New Roman" w:eastAsia="仿宋_GB2312" w:cs="Times New Roman"/>
                <w:kern w:val="0"/>
                <w:sz w:val="21"/>
                <w:szCs w:val="21"/>
                <w:lang w:val="en-US" w:eastAsia="zh-CN" w:bidi="ar-SA"/>
              </w:rPr>
            </w:pPr>
            <w:r>
              <w:rPr>
                <w:rFonts w:hint="eastAsia"/>
                <w:kern w:val="0"/>
                <w:sz w:val="21"/>
                <w:szCs w:val="21"/>
              </w:rPr>
              <w:t>（建成）</w:t>
            </w:r>
          </w:p>
        </w:tc>
        <w:tc>
          <w:tcPr>
            <w:tcW w:w="2977" w:type="dxa"/>
            <w:vAlign w:val="center"/>
          </w:tcPr>
          <w:p>
            <w:pPr>
              <w:widowControl/>
              <w:spacing w:line="240" w:lineRule="auto"/>
              <w:ind w:firstLine="0" w:firstLineChars="0"/>
              <w:rPr>
                <w:rFonts w:hint="eastAsia" w:ascii="Times New Roman" w:hAnsi="Times New Roman" w:eastAsia="仿宋_GB2312" w:cs="Times New Roman"/>
                <w:kern w:val="0"/>
                <w:sz w:val="21"/>
                <w:szCs w:val="21"/>
                <w:lang w:val="en-US" w:eastAsia="zh-CN" w:bidi="ar-SA"/>
              </w:rPr>
            </w:pPr>
            <w:r>
              <w:rPr>
                <w:rFonts w:hint="eastAsia"/>
                <w:kern w:val="0"/>
                <w:sz w:val="21"/>
                <w:szCs w:val="21"/>
              </w:rPr>
              <w:t>承担乐至北面出行，拓展物流、寄递、公交换乘功能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jc w:val="center"/>
              <w:rPr>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乐至县汽车站</w:t>
            </w:r>
          </w:p>
          <w:p>
            <w:pPr>
              <w:widowControl/>
              <w:spacing w:line="240" w:lineRule="auto"/>
              <w:ind w:firstLine="0" w:firstLineChars="0"/>
              <w:jc w:val="center"/>
              <w:rPr>
                <w:kern w:val="0"/>
                <w:sz w:val="21"/>
                <w:szCs w:val="21"/>
              </w:rPr>
            </w:pPr>
            <w:r>
              <w:rPr>
                <w:rFonts w:hint="eastAsia"/>
                <w:kern w:val="0"/>
                <w:sz w:val="21"/>
                <w:szCs w:val="21"/>
              </w:rPr>
              <w:t>（建成）</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承担乐至南面出行，以及对外（安岳、雁江、德阳、遂宁、重庆等）出行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物流园区</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乐至童家物流园</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集产品制造、商贸交易、冷链仓储和城市配送等功能于一体的现代物流园区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jc w:val="center"/>
              <w:rPr>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成渝中部（乐至）农副产品物流园</w:t>
            </w:r>
          </w:p>
          <w:p>
            <w:pPr>
              <w:widowControl/>
              <w:spacing w:line="240" w:lineRule="auto"/>
              <w:ind w:firstLine="0" w:firstLineChars="0"/>
              <w:jc w:val="center"/>
              <w:rPr>
                <w:kern w:val="0"/>
                <w:sz w:val="21"/>
                <w:szCs w:val="21"/>
              </w:rPr>
            </w:pPr>
            <w:r>
              <w:rPr>
                <w:rFonts w:hint="eastAsia"/>
                <w:kern w:val="0"/>
                <w:sz w:val="21"/>
                <w:szCs w:val="21"/>
              </w:rPr>
              <w:t>（在建）</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集农副产品加工、冷链物流和城市配送等功能于一体的现代物流园区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安岳副枢纽</w:t>
            </w:r>
          </w:p>
        </w:tc>
        <w:tc>
          <w:tcPr>
            <w:tcW w:w="1701" w:type="dxa"/>
            <w:vAlign w:val="center"/>
          </w:tcPr>
          <w:p>
            <w:pPr>
              <w:widowControl/>
              <w:spacing w:line="240" w:lineRule="auto"/>
              <w:ind w:firstLine="0" w:firstLineChars="0"/>
              <w:jc w:val="center"/>
              <w:rPr>
                <w:kern w:val="0"/>
                <w:sz w:val="21"/>
                <w:szCs w:val="21"/>
              </w:rPr>
            </w:pPr>
            <w:r>
              <w:rPr>
                <w:rFonts w:hint="eastAsia"/>
                <w:kern w:val="0"/>
                <w:sz w:val="21"/>
                <w:szCs w:val="21"/>
              </w:rPr>
              <w:t>综合客运枢纽</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成渝中线高铁安岳综合客运枢纽</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衔接绵遂内铁路、成渝中线高铁，发挥公铁联运功能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restart"/>
            <w:vAlign w:val="center"/>
          </w:tcPr>
          <w:p>
            <w:pPr>
              <w:widowControl/>
              <w:spacing w:line="240" w:lineRule="auto"/>
              <w:ind w:firstLine="0" w:firstLineChars="0"/>
              <w:jc w:val="center"/>
              <w:rPr>
                <w:kern w:val="0"/>
                <w:sz w:val="21"/>
                <w:szCs w:val="21"/>
              </w:rPr>
            </w:pPr>
            <w:r>
              <w:rPr>
                <w:rFonts w:hint="eastAsia"/>
                <w:kern w:val="0"/>
                <w:sz w:val="21"/>
                <w:szCs w:val="21"/>
              </w:rPr>
              <w:t>普通公路客运站</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安岳汽车客运总站</w:t>
            </w:r>
          </w:p>
          <w:p>
            <w:pPr>
              <w:widowControl/>
              <w:spacing w:line="240" w:lineRule="auto"/>
              <w:ind w:firstLine="0" w:firstLineChars="0"/>
              <w:jc w:val="center"/>
              <w:rPr>
                <w:kern w:val="0"/>
                <w:sz w:val="21"/>
                <w:szCs w:val="21"/>
              </w:rPr>
            </w:pPr>
            <w:r>
              <w:rPr>
                <w:rFonts w:hint="eastAsia"/>
                <w:kern w:val="0"/>
                <w:sz w:val="21"/>
                <w:szCs w:val="21"/>
              </w:rPr>
              <w:t>（建成）</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承担安岳东面出行，以北市州以及渝贵等对外出行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1266" w:type="dxa"/>
            <w:vMerge w:val="continue"/>
          </w:tcPr>
          <w:p>
            <w:pPr>
              <w:widowControl/>
              <w:spacing w:line="240" w:lineRule="auto"/>
              <w:ind w:firstLine="0" w:firstLineChars="0"/>
              <w:jc w:val="center"/>
              <w:rPr>
                <w:kern w:val="0"/>
                <w:sz w:val="21"/>
                <w:szCs w:val="21"/>
              </w:rPr>
            </w:pPr>
          </w:p>
        </w:tc>
        <w:tc>
          <w:tcPr>
            <w:tcW w:w="1701" w:type="dxa"/>
            <w:vMerge w:val="continue"/>
            <w:vAlign w:val="center"/>
          </w:tcPr>
          <w:p>
            <w:pPr>
              <w:widowControl/>
              <w:spacing w:line="240" w:lineRule="auto"/>
              <w:ind w:firstLine="0" w:firstLineChars="0"/>
              <w:jc w:val="center"/>
              <w:rPr>
                <w:kern w:val="0"/>
                <w:sz w:val="21"/>
                <w:szCs w:val="21"/>
              </w:rPr>
            </w:pP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安岳东门汽车客运站（建成）</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承担安岳西面出行，以南市州对外出行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8" w:hRule="atLeast"/>
        </w:trPr>
        <w:tc>
          <w:tcPr>
            <w:tcW w:w="1266" w:type="dxa"/>
            <w:vMerge w:val="continue"/>
          </w:tcPr>
          <w:p>
            <w:pPr>
              <w:widowControl/>
              <w:spacing w:line="240" w:lineRule="auto"/>
              <w:ind w:firstLine="0" w:firstLineChars="0"/>
              <w:jc w:val="center"/>
              <w:rPr>
                <w:kern w:val="0"/>
                <w:sz w:val="21"/>
                <w:szCs w:val="21"/>
              </w:rPr>
            </w:pPr>
          </w:p>
        </w:tc>
        <w:tc>
          <w:tcPr>
            <w:tcW w:w="1701" w:type="dxa"/>
            <w:vAlign w:val="center"/>
          </w:tcPr>
          <w:p>
            <w:pPr>
              <w:widowControl/>
              <w:spacing w:line="240" w:lineRule="auto"/>
              <w:ind w:firstLine="0" w:firstLineChars="0"/>
              <w:jc w:val="center"/>
              <w:rPr>
                <w:kern w:val="0"/>
                <w:sz w:val="21"/>
                <w:szCs w:val="21"/>
              </w:rPr>
            </w:pPr>
            <w:r>
              <w:rPr>
                <w:rFonts w:hint="eastAsia"/>
                <w:kern w:val="0"/>
                <w:sz w:val="21"/>
                <w:szCs w:val="21"/>
              </w:rPr>
              <w:t>物流园区</w:t>
            </w:r>
          </w:p>
        </w:tc>
        <w:tc>
          <w:tcPr>
            <w:tcW w:w="2410" w:type="dxa"/>
            <w:vAlign w:val="center"/>
          </w:tcPr>
          <w:p>
            <w:pPr>
              <w:widowControl/>
              <w:spacing w:line="240" w:lineRule="auto"/>
              <w:ind w:firstLine="0" w:firstLineChars="0"/>
              <w:jc w:val="center"/>
              <w:rPr>
                <w:kern w:val="0"/>
                <w:sz w:val="21"/>
                <w:szCs w:val="21"/>
              </w:rPr>
            </w:pPr>
            <w:r>
              <w:rPr>
                <w:rFonts w:hint="eastAsia"/>
                <w:kern w:val="0"/>
                <w:sz w:val="21"/>
                <w:szCs w:val="21"/>
              </w:rPr>
              <w:t>安岳城东物流园</w:t>
            </w:r>
          </w:p>
          <w:p>
            <w:pPr>
              <w:widowControl/>
              <w:spacing w:line="240" w:lineRule="auto"/>
              <w:ind w:firstLine="0" w:firstLineChars="0"/>
              <w:jc w:val="center"/>
              <w:rPr>
                <w:kern w:val="0"/>
                <w:sz w:val="21"/>
                <w:szCs w:val="21"/>
              </w:rPr>
            </w:pPr>
            <w:r>
              <w:rPr>
                <w:rFonts w:hint="eastAsia"/>
                <w:kern w:val="0"/>
                <w:sz w:val="21"/>
                <w:szCs w:val="21"/>
              </w:rPr>
              <w:t>（规划）</w:t>
            </w:r>
          </w:p>
        </w:tc>
        <w:tc>
          <w:tcPr>
            <w:tcW w:w="2977" w:type="dxa"/>
            <w:vAlign w:val="center"/>
          </w:tcPr>
          <w:p>
            <w:pPr>
              <w:widowControl/>
              <w:spacing w:line="240" w:lineRule="auto"/>
              <w:ind w:firstLine="0" w:firstLineChars="0"/>
              <w:rPr>
                <w:kern w:val="0"/>
                <w:sz w:val="21"/>
                <w:szCs w:val="21"/>
              </w:rPr>
            </w:pPr>
            <w:r>
              <w:rPr>
                <w:rFonts w:hint="eastAsia"/>
                <w:kern w:val="0"/>
                <w:sz w:val="21"/>
                <w:szCs w:val="21"/>
              </w:rPr>
              <w:t>集冷链仓储、加工制造、批发交易、城乡配送于一体的现代物流园区</w:t>
            </w:r>
          </w:p>
        </w:tc>
      </w:tr>
    </w:tbl>
    <w:p>
      <w:pPr>
        <w:pStyle w:val="4"/>
        <w:keepNext w:val="0"/>
        <w:keepLines w:val="0"/>
        <w:adjustRightInd w:val="0"/>
        <w:snapToGrid w:val="0"/>
        <w:spacing w:before="0" w:after="0" w:line="360" w:lineRule="auto"/>
        <w:ind w:firstLine="643"/>
        <w:rPr>
          <w:rFonts w:eastAsia="黑体" w:cs="Times New Roman"/>
          <w:bCs w:val="0"/>
        </w:rPr>
      </w:pPr>
      <w:bookmarkStart w:id="41" w:name="_Toc72864738"/>
      <w:r>
        <w:rPr>
          <w:rFonts w:eastAsia="黑体" w:cs="Times New Roman"/>
          <w:bCs w:val="0"/>
        </w:rPr>
        <w:br w:type="page"/>
      </w:r>
    </w:p>
    <w:p>
      <w:pPr>
        <w:pStyle w:val="4"/>
        <w:keepNext w:val="0"/>
        <w:keepLines w:val="0"/>
        <w:adjustRightInd w:val="0"/>
        <w:snapToGrid w:val="0"/>
        <w:spacing w:before="0" w:after="0" w:line="360" w:lineRule="auto"/>
        <w:ind w:firstLine="643"/>
        <w:rPr>
          <w:rFonts w:eastAsia="黑体" w:cs="Times New Roman"/>
          <w:bCs w:val="0"/>
        </w:rPr>
      </w:pPr>
      <w:r>
        <w:rPr>
          <w:rFonts w:eastAsia="黑体" w:cs="Times New Roman"/>
          <w:bCs w:val="0"/>
        </w:rPr>
        <w:t>五、发展任务</w:t>
      </w:r>
      <w:bookmarkEnd w:id="41"/>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42" w:name="_Toc29501157"/>
      <w:bookmarkStart w:id="43" w:name="_Toc72864739"/>
      <w:r>
        <w:rPr>
          <w:rFonts w:ascii="Times New Roman" w:hAnsi="Times New Roman" w:eastAsia="楷体_GB2312" w:cs="Times New Roman"/>
        </w:rPr>
        <w:t>（一）完善复合高效的</w:t>
      </w:r>
      <w:bookmarkEnd w:id="42"/>
      <w:r>
        <w:rPr>
          <w:rFonts w:ascii="Times New Roman" w:hAnsi="Times New Roman" w:eastAsia="楷体_GB2312" w:cs="Times New Roman"/>
        </w:rPr>
        <w:t>对外综合运输通道</w:t>
      </w:r>
      <w:bookmarkEnd w:id="43"/>
    </w:p>
    <w:p>
      <w:pPr>
        <w:ind w:firstLine="643"/>
        <w:rPr>
          <w:rFonts w:eastAsia="楷体_GB2312"/>
          <w:b/>
          <w:bCs/>
          <w:szCs w:val="32"/>
        </w:rPr>
      </w:pPr>
      <w:r>
        <w:rPr>
          <w:rFonts w:eastAsia="楷体_GB2312"/>
          <w:b/>
          <w:bCs/>
          <w:szCs w:val="32"/>
        </w:rPr>
        <w:t xml:space="preserve">1. </w:t>
      </w:r>
      <w:r>
        <w:rPr>
          <w:rFonts w:hint="eastAsia" w:eastAsia="楷体_GB2312"/>
          <w:b/>
          <w:bCs/>
          <w:szCs w:val="32"/>
        </w:rPr>
        <w:t>全力打造“轨道上的城市”</w:t>
      </w:r>
    </w:p>
    <w:p>
      <w:pPr>
        <w:ind w:firstLine="643"/>
      </w:pPr>
      <w:r>
        <w:rPr>
          <w:rFonts w:hint="eastAsia" w:eastAsia="楷体_GB2312"/>
          <w:b/>
          <w:bCs/>
          <w:szCs w:val="32"/>
        </w:rPr>
        <w:t>搭建干线铁路骨架网络。</w:t>
      </w:r>
      <w:r>
        <w:rPr>
          <w:rFonts w:hint="eastAsia"/>
        </w:rPr>
        <w:t>融入西部陆海新通道建设，加快建设成自宜高铁，启动实施成渝铁路成都至隆昌段扩能改造工程。服务长三角—成渝主轴建设，加快建设成达万高铁，开工建设成渝中线高铁。</w:t>
      </w:r>
    </w:p>
    <w:p>
      <w:pPr>
        <w:ind w:firstLine="643"/>
      </w:pPr>
      <w:r>
        <w:rPr>
          <w:rFonts w:hint="eastAsia" w:eastAsia="楷体_GB2312"/>
          <w:b/>
          <w:bCs/>
          <w:szCs w:val="32"/>
        </w:rPr>
        <w:t>推动城际铁路高效互联。</w:t>
      </w:r>
      <w:r>
        <w:rPr>
          <w:rFonts w:hint="eastAsia"/>
        </w:rPr>
        <w:t>强化城际互联互通，开工建设绵遂内铁路、成都外环铁路，联动相邻地市开展雅眉资遂铁路方案研究。</w:t>
      </w:r>
    </w:p>
    <w:p>
      <w:pPr>
        <w:ind w:firstLine="643"/>
      </w:pPr>
      <w:r>
        <w:rPr>
          <w:rFonts w:hint="eastAsia" w:eastAsia="楷体_GB2312"/>
          <w:b/>
          <w:bCs/>
          <w:szCs w:val="32"/>
        </w:rPr>
        <w:t>建设市域铁路走在前列。</w:t>
      </w:r>
      <w:r>
        <w:rPr>
          <w:rFonts w:hint="eastAsia"/>
        </w:rPr>
        <w:t>推动多层次轨道交通网络在资阳北站、西站实现站点融合，加快建设轨道交通资阳线，做好市域铁路S14线、S17线储备研究。</w:t>
      </w:r>
    </w:p>
    <w:tbl>
      <w:tblPr>
        <w:tblStyle w:val="21"/>
        <w:tblW w:w="5000"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专栏</w:t>
            </w:r>
            <w:r>
              <w:rPr>
                <w:rFonts w:hint="eastAsia" w:eastAsia="黑体"/>
                <w:bCs/>
                <w:color w:val="000000"/>
                <w:sz w:val="24"/>
              </w:rPr>
              <w:t xml:space="preserve"> </w:t>
            </w:r>
            <w:r>
              <w:rPr>
                <w:rFonts w:eastAsia="黑体"/>
                <w:bCs/>
                <w:color w:val="000000"/>
                <w:sz w:val="24"/>
              </w:rPr>
              <w:t xml:space="preserve">8   </w:t>
            </w:r>
            <w:r>
              <w:rPr>
                <w:rFonts w:hint="eastAsia" w:eastAsia="黑体"/>
                <w:bCs/>
                <w:color w:val="000000"/>
                <w:sz w:val="24"/>
              </w:rPr>
              <w:t>资阳市“十四五”轨道交通</w:t>
            </w:r>
            <w:r>
              <w:rPr>
                <w:rFonts w:eastAsia="黑体"/>
                <w:bCs/>
                <w:color w:val="000000"/>
                <w:sz w:val="24"/>
              </w:rPr>
              <w:t>重点建设项目</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573" w:hRule="atLeast"/>
          <w:jc w:val="center"/>
        </w:trPr>
        <w:tc>
          <w:tcPr>
            <w:tcW w:w="5000" w:type="pct"/>
            <w:shd w:val="solid" w:color="FFFFFF" w:fill="auto"/>
            <w:noWrap/>
            <w:vAlign w:val="center"/>
          </w:tcPr>
          <w:p>
            <w:pPr>
              <w:pStyle w:val="2"/>
              <w:adjustRightInd w:val="0"/>
              <w:snapToGrid w:val="0"/>
              <w:ind w:firstLine="480"/>
              <w:rPr>
                <w:sz w:val="24"/>
              </w:rPr>
            </w:pPr>
            <w:r>
              <w:rPr>
                <w:rFonts w:hint="eastAsia" w:eastAsia="黑体"/>
                <w:bCs/>
                <w:color w:val="000000"/>
                <w:sz w:val="24"/>
              </w:rPr>
              <w:t>加快建设：</w:t>
            </w:r>
            <w:r>
              <w:rPr>
                <w:sz w:val="24"/>
              </w:rPr>
              <w:t>成自</w:t>
            </w:r>
            <w:r>
              <w:rPr>
                <w:rFonts w:hint="eastAsia"/>
                <w:sz w:val="24"/>
              </w:rPr>
              <w:t>宜</w:t>
            </w:r>
            <w:r>
              <w:rPr>
                <w:sz w:val="24"/>
              </w:rPr>
              <w:t>高铁、成达万高铁</w:t>
            </w:r>
            <w:r>
              <w:rPr>
                <w:rFonts w:hint="eastAsia"/>
                <w:sz w:val="24"/>
              </w:rPr>
              <w:t>、轨道交通资阳线。</w:t>
            </w:r>
          </w:p>
          <w:p>
            <w:pPr>
              <w:pStyle w:val="2"/>
              <w:adjustRightInd w:val="0"/>
              <w:snapToGrid w:val="0"/>
              <w:ind w:firstLine="480"/>
              <w:rPr>
                <w:sz w:val="24"/>
              </w:rPr>
            </w:pPr>
            <w:r>
              <w:rPr>
                <w:rFonts w:hint="eastAsia" w:eastAsia="黑体"/>
                <w:bCs/>
                <w:color w:val="000000"/>
                <w:sz w:val="24"/>
              </w:rPr>
              <w:t>开工建设</w:t>
            </w:r>
            <w:r>
              <w:rPr>
                <w:rFonts w:eastAsia="黑体"/>
                <w:bCs/>
                <w:color w:val="000000"/>
                <w:sz w:val="24"/>
              </w:rPr>
              <w:t>：</w:t>
            </w:r>
            <w:r>
              <w:rPr>
                <w:rFonts w:hint="eastAsia"/>
                <w:sz w:val="24"/>
              </w:rPr>
              <w:t>成渝中线高铁、绵遂内铁路、成都外环铁路、</w:t>
            </w:r>
            <w:r>
              <w:rPr>
                <w:sz w:val="24"/>
              </w:rPr>
              <w:t>成渝铁路成都至隆昌段</w:t>
            </w:r>
            <w:r>
              <w:rPr>
                <w:rFonts w:hint="eastAsia"/>
                <w:sz w:val="24"/>
              </w:rPr>
              <w:t>扩能改造。</w:t>
            </w:r>
          </w:p>
          <w:p>
            <w:pPr>
              <w:pStyle w:val="2"/>
              <w:spacing w:after="0"/>
              <w:ind w:firstLine="480"/>
              <w:rPr>
                <w:sz w:val="24"/>
              </w:rPr>
            </w:pPr>
            <w:r>
              <w:rPr>
                <w:rFonts w:hint="eastAsia" w:eastAsia="黑体"/>
                <w:bCs/>
                <w:color w:val="000000"/>
                <w:sz w:val="24"/>
              </w:rPr>
              <w:t>规划研究：</w:t>
            </w:r>
            <w:r>
              <w:rPr>
                <w:rFonts w:hint="eastAsia"/>
                <w:sz w:val="24"/>
              </w:rPr>
              <w:t>市域铁路S</w:t>
            </w:r>
            <w:r>
              <w:rPr>
                <w:sz w:val="24"/>
              </w:rPr>
              <w:t>14</w:t>
            </w:r>
            <w:r>
              <w:rPr>
                <w:rFonts w:hint="eastAsia"/>
                <w:sz w:val="24"/>
              </w:rPr>
              <w:t>线、S</w:t>
            </w:r>
            <w:r>
              <w:rPr>
                <w:sz w:val="24"/>
              </w:rPr>
              <w:t>17</w:t>
            </w:r>
            <w:r>
              <w:rPr>
                <w:rFonts w:hint="eastAsia"/>
                <w:sz w:val="24"/>
              </w:rPr>
              <w:t>线、雅安经眉山至资阳至遂宁铁路。</w:t>
            </w:r>
          </w:p>
        </w:tc>
      </w:tr>
    </w:tbl>
    <w:p>
      <w:pPr>
        <w:ind w:firstLine="643"/>
        <w:rPr>
          <w:rFonts w:eastAsia="楷体_GB2312"/>
          <w:b/>
          <w:bCs/>
          <w:szCs w:val="32"/>
        </w:rPr>
      </w:pPr>
      <w:r>
        <w:rPr>
          <w:rFonts w:eastAsia="楷体_GB2312"/>
          <w:b/>
          <w:bCs/>
          <w:szCs w:val="32"/>
        </w:rPr>
        <w:t>2.</w:t>
      </w:r>
      <w:bookmarkStart w:id="44" w:name="_Hlk54030149"/>
      <w:r>
        <w:rPr>
          <w:rFonts w:eastAsia="楷体_GB2312"/>
          <w:b/>
          <w:bCs/>
          <w:szCs w:val="32"/>
        </w:rPr>
        <w:t xml:space="preserve"> </w:t>
      </w:r>
      <w:r>
        <w:rPr>
          <w:rFonts w:hint="eastAsia" w:eastAsia="楷体_GB2312"/>
          <w:b/>
          <w:bCs/>
          <w:szCs w:val="32"/>
        </w:rPr>
        <w:t>加快推进高快速公</w:t>
      </w:r>
      <w:r>
        <w:rPr>
          <w:rFonts w:eastAsia="楷体_GB2312"/>
          <w:b/>
          <w:bCs/>
          <w:szCs w:val="32"/>
        </w:rPr>
        <w:t>路</w:t>
      </w:r>
      <w:r>
        <w:rPr>
          <w:rFonts w:hint="eastAsia" w:eastAsia="楷体_GB2312"/>
          <w:b/>
          <w:bCs/>
          <w:szCs w:val="32"/>
        </w:rPr>
        <w:t>网建设</w:t>
      </w:r>
    </w:p>
    <w:p>
      <w:pPr>
        <w:ind w:firstLine="643"/>
      </w:pPr>
      <w:bookmarkStart w:id="45" w:name="_Hlk55055170"/>
      <w:r>
        <w:rPr>
          <w:rFonts w:hint="eastAsia" w:eastAsia="楷体_GB2312"/>
          <w:b/>
          <w:bCs/>
          <w:szCs w:val="32"/>
        </w:rPr>
        <w:t>扩容加密高速公路网络。</w:t>
      </w:r>
      <w:r>
        <w:rPr>
          <w:rFonts w:hint="eastAsia"/>
        </w:rPr>
        <w:t>开工</w:t>
      </w:r>
      <w:r>
        <w:t>建设资中</w:t>
      </w:r>
      <w:r>
        <w:rPr>
          <w:rFonts w:hint="eastAsia"/>
        </w:rPr>
        <w:t>经安岳</w:t>
      </w:r>
      <w:r>
        <w:t>至铜梁高速</w:t>
      </w:r>
      <w:r>
        <w:rPr>
          <w:rFonts w:hint="eastAsia"/>
        </w:rPr>
        <w:t>公路、成渝高速公路扩容等项目，加快推进</w:t>
      </w:r>
      <w:r>
        <w:t>三台经乐至</w:t>
      </w:r>
      <w:r>
        <w:rPr>
          <w:rFonts w:hint="eastAsia"/>
        </w:rPr>
        <w:t>至犍为</w:t>
      </w:r>
      <w:r>
        <w:t>高速公路前期</w:t>
      </w:r>
      <w:r>
        <w:rPr>
          <w:rFonts w:hint="eastAsia"/>
        </w:rPr>
        <w:t>工作，规划研究荣昌至遂宁大英高速公路，加速形成纵横交汇的全域高速公路主骨架网</w:t>
      </w:r>
      <w:r>
        <w:t>。</w:t>
      </w:r>
      <w:bookmarkEnd w:id="45"/>
      <w:r>
        <w:rPr>
          <w:rFonts w:hint="eastAsia"/>
        </w:rPr>
        <w:t>结合需要适时推进高速公路新增互通及服务区建设，推动城市出入口路段、互通立交、收费站改扩建及信号控制设施完善，提升高速公路运行效能和内外道路衔接转换能力。</w:t>
      </w:r>
    </w:p>
    <w:p>
      <w:pPr>
        <w:ind w:firstLine="643"/>
      </w:pPr>
      <w:r>
        <w:rPr>
          <w:rFonts w:hint="eastAsia" w:eastAsia="楷体_GB2312"/>
          <w:b/>
          <w:bCs/>
          <w:szCs w:val="32"/>
        </w:rPr>
        <w:t>强力推进快速通道建设。</w:t>
      </w:r>
      <w:r>
        <w:rPr>
          <w:rFonts w:hint="eastAsia"/>
        </w:rPr>
        <w:t>加快建设</w:t>
      </w:r>
      <w:r>
        <w:t>成资大道</w:t>
      </w:r>
      <w:r>
        <w:rPr>
          <w:rFonts w:hint="eastAsia"/>
        </w:rPr>
        <w:t>、</w:t>
      </w:r>
      <w:r>
        <w:t>成资临空大道</w:t>
      </w:r>
      <w:r>
        <w:rPr>
          <w:rFonts w:hint="eastAsia"/>
        </w:rPr>
        <w:t>、安岳卧佛至大足旅游快速通道</w:t>
      </w:r>
      <w:r>
        <w:t>，</w:t>
      </w:r>
      <w:r>
        <w:rPr>
          <w:rFonts w:hint="eastAsia"/>
        </w:rPr>
        <w:t>开工建设</w:t>
      </w:r>
      <w:r>
        <w:t>东西城市轴线东延线资简段</w:t>
      </w:r>
      <w:r>
        <w:rPr>
          <w:rFonts w:hint="eastAsia"/>
        </w:rPr>
        <w:t>及</w:t>
      </w:r>
      <w:r>
        <w:t>乐简段</w:t>
      </w:r>
      <w:r>
        <w:rPr>
          <w:rFonts w:hint="eastAsia"/>
        </w:rPr>
        <w:t>、成渝高速至成宜高速联络线等重点项目，全力打通同城化城际“断头路”，实现市辖毗邻区县间至少有1条一级公路畅联。</w:t>
      </w:r>
      <w:r>
        <w:t>加快</w:t>
      </w:r>
      <w:r>
        <w:rPr>
          <w:rFonts w:hint="eastAsia"/>
        </w:rPr>
        <w:t>推进成渝直线快速通道、</w:t>
      </w:r>
      <w:r>
        <w:t>乐简快速路、资简产业大道</w:t>
      </w:r>
      <w:r>
        <w:rPr>
          <w:rFonts w:hint="eastAsia"/>
        </w:rPr>
        <w:t>等项目</w:t>
      </w:r>
      <w:r>
        <w:t>前期工作</w:t>
      </w:r>
      <w:r>
        <w:rPr>
          <w:rFonts w:hint="eastAsia"/>
        </w:rPr>
        <w:t>。</w:t>
      </w:r>
    </w:p>
    <w:tbl>
      <w:tblPr>
        <w:tblStyle w:val="21"/>
        <w:tblW w:w="5000"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专栏</w:t>
            </w:r>
            <w:r>
              <w:rPr>
                <w:rFonts w:hint="eastAsia" w:eastAsia="黑体"/>
                <w:bCs/>
                <w:color w:val="000000"/>
                <w:sz w:val="24"/>
              </w:rPr>
              <w:t xml:space="preserve"> </w:t>
            </w:r>
            <w:r>
              <w:rPr>
                <w:rFonts w:eastAsia="黑体"/>
                <w:bCs/>
                <w:color w:val="000000"/>
                <w:sz w:val="24"/>
              </w:rPr>
              <w:t xml:space="preserve">9   </w:t>
            </w:r>
            <w:r>
              <w:rPr>
                <w:rFonts w:hint="eastAsia" w:eastAsia="黑体"/>
                <w:bCs/>
                <w:color w:val="000000"/>
                <w:sz w:val="24"/>
              </w:rPr>
              <w:t>资阳市“十四五”高快速公路</w:t>
            </w:r>
            <w:r>
              <w:rPr>
                <w:rFonts w:eastAsia="黑体"/>
                <w:bCs/>
                <w:color w:val="000000"/>
                <w:sz w:val="24"/>
              </w:rPr>
              <w:t>重点建设项目</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79" w:hRule="atLeast"/>
          <w:jc w:val="center"/>
        </w:trPr>
        <w:tc>
          <w:tcPr>
            <w:tcW w:w="5000" w:type="pct"/>
            <w:shd w:val="solid" w:color="FFFFFF" w:fill="auto"/>
            <w:noWrap/>
            <w:vAlign w:val="center"/>
          </w:tcPr>
          <w:p>
            <w:pPr>
              <w:adjustRightInd w:val="0"/>
              <w:snapToGrid w:val="0"/>
              <w:spacing w:line="336" w:lineRule="auto"/>
              <w:ind w:firstLine="480"/>
              <w:rPr>
                <w:rFonts w:eastAsia="黑体"/>
                <w:bCs/>
                <w:color w:val="000000"/>
                <w:sz w:val="24"/>
              </w:rPr>
            </w:pPr>
            <w:r>
              <w:rPr>
                <w:rFonts w:hint="eastAsia" w:eastAsia="黑体"/>
                <w:bCs/>
                <w:color w:val="000000"/>
                <w:sz w:val="24"/>
              </w:rPr>
              <w:t>（1）高速公路</w:t>
            </w:r>
          </w:p>
          <w:p>
            <w:pPr>
              <w:adjustRightInd w:val="0"/>
              <w:snapToGrid w:val="0"/>
              <w:spacing w:line="336" w:lineRule="auto"/>
              <w:ind w:firstLine="480"/>
              <w:rPr>
                <w:sz w:val="24"/>
              </w:rPr>
            </w:pPr>
            <w:r>
              <w:rPr>
                <w:rFonts w:hint="eastAsia" w:eastAsia="黑体"/>
                <w:bCs/>
                <w:color w:val="000000"/>
                <w:sz w:val="24"/>
              </w:rPr>
              <w:t>开工建设：</w:t>
            </w:r>
            <w:r>
              <w:rPr>
                <w:rFonts w:hint="eastAsia"/>
                <w:sz w:val="24"/>
              </w:rPr>
              <w:t>成渝高速公路扩容、资中经安岳至铜梁高速公路。</w:t>
            </w:r>
          </w:p>
          <w:p>
            <w:pPr>
              <w:adjustRightInd w:val="0"/>
              <w:snapToGrid w:val="0"/>
              <w:spacing w:line="336" w:lineRule="auto"/>
              <w:ind w:firstLine="480"/>
              <w:rPr>
                <w:sz w:val="24"/>
              </w:rPr>
            </w:pPr>
            <w:r>
              <w:rPr>
                <w:rFonts w:hint="eastAsia" w:eastAsia="黑体"/>
                <w:bCs/>
                <w:color w:val="000000"/>
                <w:sz w:val="24"/>
              </w:rPr>
              <w:t>加快前期</w:t>
            </w:r>
            <w:r>
              <w:rPr>
                <w:rFonts w:eastAsia="黑体"/>
                <w:bCs/>
                <w:color w:val="000000"/>
                <w:sz w:val="24"/>
              </w:rPr>
              <w:t>：</w:t>
            </w:r>
            <w:r>
              <w:rPr>
                <w:rFonts w:hint="eastAsia"/>
                <w:sz w:val="24"/>
              </w:rPr>
              <w:t>三台经乐至至犍为高速公路（力争开工）。</w:t>
            </w:r>
          </w:p>
          <w:p>
            <w:pPr>
              <w:adjustRightInd w:val="0"/>
              <w:snapToGrid w:val="0"/>
              <w:spacing w:line="336" w:lineRule="auto"/>
              <w:ind w:firstLine="480"/>
              <w:rPr>
                <w:sz w:val="24"/>
              </w:rPr>
            </w:pPr>
            <w:r>
              <w:rPr>
                <w:rFonts w:hint="eastAsia" w:eastAsia="黑体"/>
                <w:bCs/>
                <w:color w:val="000000"/>
                <w:sz w:val="24"/>
              </w:rPr>
              <w:t>规划研究：</w:t>
            </w:r>
            <w:r>
              <w:rPr>
                <w:rFonts w:hint="eastAsia"/>
                <w:sz w:val="24"/>
              </w:rPr>
              <w:t>资荣合高速公路、大英经安岳至重庆第二机场高速公路。</w:t>
            </w:r>
          </w:p>
          <w:p>
            <w:pPr>
              <w:adjustRightInd w:val="0"/>
              <w:snapToGrid w:val="0"/>
              <w:spacing w:line="336" w:lineRule="auto"/>
              <w:ind w:firstLine="480"/>
              <w:rPr>
                <w:rFonts w:eastAsia="黑体"/>
                <w:bCs/>
                <w:color w:val="000000"/>
                <w:sz w:val="24"/>
              </w:rPr>
            </w:pPr>
            <w:r>
              <w:rPr>
                <w:rFonts w:hint="eastAsia" w:eastAsia="黑体"/>
                <w:bCs/>
                <w:color w:val="000000"/>
                <w:sz w:val="24"/>
              </w:rPr>
              <w:t>（2）快速通道</w:t>
            </w:r>
          </w:p>
          <w:p>
            <w:pPr>
              <w:pStyle w:val="2"/>
              <w:spacing w:after="0"/>
              <w:ind w:firstLine="480"/>
              <w:rPr>
                <w:sz w:val="24"/>
              </w:rPr>
            </w:pPr>
            <w:r>
              <w:rPr>
                <w:rFonts w:hint="eastAsia" w:eastAsia="黑体"/>
                <w:bCs/>
                <w:color w:val="000000"/>
                <w:sz w:val="24"/>
              </w:rPr>
              <w:t>加快建设：</w:t>
            </w:r>
            <w:r>
              <w:rPr>
                <w:rFonts w:hint="eastAsia"/>
                <w:sz w:val="24"/>
              </w:rPr>
              <w:t>S102线成资大道、G321线成资临空大道、S</w:t>
            </w:r>
            <w:r>
              <w:rPr>
                <w:sz w:val="24"/>
              </w:rPr>
              <w:t>207</w:t>
            </w:r>
            <w:r>
              <w:rPr>
                <w:rFonts w:hint="eastAsia"/>
                <w:sz w:val="24"/>
              </w:rPr>
              <w:t>安岳卧佛至大足旅游快速通道。</w:t>
            </w:r>
          </w:p>
          <w:p>
            <w:pPr>
              <w:pStyle w:val="2"/>
              <w:spacing w:after="0"/>
              <w:ind w:firstLine="480"/>
              <w:rPr>
                <w:sz w:val="24"/>
              </w:rPr>
            </w:pPr>
            <w:r>
              <w:rPr>
                <w:rFonts w:hint="eastAsia" w:eastAsia="黑体"/>
                <w:bCs/>
                <w:color w:val="000000"/>
                <w:sz w:val="24"/>
              </w:rPr>
              <w:t>开工建设：G</w:t>
            </w:r>
            <w:r>
              <w:rPr>
                <w:rFonts w:hint="eastAsia"/>
                <w:sz w:val="24"/>
              </w:rPr>
              <w:t>318线东西城市轴线东延线乐简段、东西城市轴线东延线资简段、成渝高速至成宜高速联络线、紫微大道、晏宾大道、滨江大道。</w:t>
            </w:r>
          </w:p>
          <w:p>
            <w:pPr>
              <w:pStyle w:val="2"/>
              <w:spacing w:after="0"/>
              <w:ind w:firstLine="480"/>
              <w:rPr>
                <w:rFonts w:eastAsia="黑体"/>
                <w:bCs/>
                <w:color w:val="000000"/>
                <w:sz w:val="24"/>
              </w:rPr>
            </w:pPr>
            <w:r>
              <w:rPr>
                <w:rFonts w:hint="eastAsia" w:eastAsia="黑体"/>
                <w:bCs/>
                <w:color w:val="000000"/>
                <w:sz w:val="24"/>
              </w:rPr>
              <w:t>力争开工：</w:t>
            </w:r>
            <w:r>
              <w:rPr>
                <w:rFonts w:hint="eastAsia"/>
                <w:sz w:val="24"/>
              </w:rPr>
              <w:t>S422线乐金快速通道、S</w:t>
            </w:r>
            <w:r>
              <w:rPr>
                <w:sz w:val="24"/>
              </w:rPr>
              <w:t>102</w:t>
            </w:r>
            <w:r>
              <w:rPr>
                <w:rFonts w:hint="eastAsia"/>
                <w:sz w:val="24"/>
              </w:rPr>
              <w:t>线资安快速通道。</w:t>
            </w:r>
            <w:bookmarkStart w:id="83" w:name="_GoBack"/>
            <w:bookmarkEnd w:id="83"/>
          </w:p>
          <w:p>
            <w:pPr>
              <w:pStyle w:val="2"/>
              <w:spacing w:after="0"/>
              <w:ind w:firstLine="480"/>
            </w:pPr>
            <w:r>
              <w:rPr>
                <w:rFonts w:hint="eastAsia" w:eastAsia="黑体"/>
                <w:bCs/>
                <w:color w:val="000000"/>
                <w:sz w:val="24"/>
              </w:rPr>
              <w:t>加快前期：</w:t>
            </w:r>
            <w:r>
              <w:rPr>
                <w:rFonts w:hint="eastAsia"/>
                <w:sz w:val="24"/>
              </w:rPr>
              <w:t>G319线成渝直线快速通道乐至至重庆界段、S307线遂宁至天府国际机场快速通道（乐简快速通道）、老君至杨家快速通道（资简产业大道）、中和至迎接快速通道、迎接至空港新城快速通道</w:t>
            </w:r>
            <w:r>
              <w:rPr>
                <w:rFonts w:hint="eastAsia"/>
                <w:color w:val="auto"/>
                <w:sz w:val="24"/>
              </w:rPr>
              <w:t>、老君至临空经济区快速通道、乐雁快速通道、乐至北通道</w:t>
            </w:r>
            <w:r>
              <w:rPr>
                <w:rFonts w:hint="eastAsia"/>
                <w:color w:val="auto"/>
                <w:sz w:val="24"/>
                <w:lang w:eastAsia="zh-CN"/>
              </w:rPr>
              <w:t>、乐至旅游环线</w:t>
            </w:r>
            <w:r>
              <w:rPr>
                <w:rFonts w:hint="eastAsia"/>
                <w:color w:val="auto"/>
                <w:sz w:val="24"/>
              </w:rPr>
              <w:t>。</w:t>
            </w:r>
          </w:p>
        </w:tc>
      </w:tr>
      <w:bookmarkEnd w:id="44"/>
    </w:tbl>
    <w:p>
      <w:pPr>
        <w:adjustRightInd w:val="0"/>
        <w:snapToGrid w:val="0"/>
        <w:spacing w:line="408" w:lineRule="auto"/>
        <w:ind w:firstLine="643"/>
        <w:rPr>
          <w:rFonts w:eastAsia="楷体_GB2312"/>
          <w:b/>
          <w:bCs/>
          <w:szCs w:val="32"/>
        </w:rPr>
      </w:pPr>
      <w:r>
        <w:rPr>
          <w:rFonts w:hint="eastAsia" w:eastAsia="楷体_GB2312"/>
          <w:b/>
          <w:bCs/>
          <w:szCs w:val="32"/>
        </w:rPr>
        <w:t>3</w:t>
      </w:r>
      <w:r>
        <w:rPr>
          <w:rFonts w:eastAsia="楷体_GB2312"/>
          <w:b/>
          <w:bCs/>
          <w:szCs w:val="32"/>
        </w:rPr>
        <w:t>.</w:t>
      </w:r>
      <w:bookmarkStart w:id="46" w:name="_Hlk54030607"/>
      <w:r>
        <w:rPr>
          <w:rFonts w:eastAsia="楷体_GB2312"/>
          <w:b/>
          <w:bCs/>
          <w:szCs w:val="32"/>
        </w:rPr>
        <w:t xml:space="preserve"> </w:t>
      </w:r>
      <w:r>
        <w:rPr>
          <w:rFonts w:hint="eastAsia" w:eastAsia="楷体_GB2312"/>
          <w:b/>
          <w:bCs/>
          <w:szCs w:val="32"/>
        </w:rPr>
        <w:t>谋划实施沱江扩能挖潜</w:t>
      </w:r>
      <w:bookmarkEnd w:id="46"/>
    </w:p>
    <w:p>
      <w:pPr>
        <w:adjustRightInd w:val="0"/>
        <w:snapToGrid w:val="0"/>
        <w:spacing w:line="408" w:lineRule="auto"/>
        <w:ind w:firstLine="643"/>
      </w:pPr>
      <w:r>
        <w:rPr>
          <w:rFonts w:hint="eastAsia" w:eastAsia="楷体_GB2312"/>
          <w:b/>
          <w:bCs/>
          <w:szCs w:val="32"/>
        </w:rPr>
        <w:t>稳步推进沱江复航工作。</w:t>
      </w:r>
      <w:r>
        <w:rPr>
          <w:rFonts w:hint="eastAsia"/>
        </w:rPr>
        <w:t>按照自下而上、先航道后港口的建设时序，联合沱江流域各市，共同争取将沱江全线复航纳入国省规划。谋划实施董家坝、临江寺等枢纽建设，提高南津驿、王二溪枢纽坝高和正常挡水位，推进沱江资阳城区段旅游航道建设，拓展涉水旅游市场。</w:t>
      </w:r>
    </w:p>
    <w:p>
      <w:pPr>
        <w:adjustRightInd w:val="0"/>
        <w:snapToGrid w:val="0"/>
        <w:spacing w:line="408" w:lineRule="auto"/>
        <w:ind w:firstLine="643"/>
      </w:pPr>
      <w:r>
        <w:rPr>
          <w:rFonts w:hint="eastAsia" w:eastAsia="楷体_GB2312"/>
          <w:b/>
          <w:bCs/>
          <w:szCs w:val="32"/>
        </w:rPr>
        <w:t>强化港口基础设施建设。</w:t>
      </w:r>
      <w:r>
        <w:rPr>
          <w:rFonts w:hint="eastAsia"/>
        </w:rPr>
        <w:t>谋划研究沱江主要港区集疏运通道、多功能过江通道，建设沱江干流沿线货运作业区及综合作业区、旅游码头及海事综合码头，加强公益性渡口码头标准化改造实施力度。</w:t>
      </w:r>
    </w:p>
    <w:tbl>
      <w:tblPr>
        <w:tblStyle w:val="21"/>
        <w:tblW w:w="4917"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专栏</w:t>
            </w:r>
            <w:r>
              <w:rPr>
                <w:rFonts w:hint="eastAsia" w:eastAsia="黑体"/>
                <w:bCs/>
                <w:color w:val="000000"/>
                <w:sz w:val="24"/>
              </w:rPr>
              <w:t xml:space="preserve"> </w:t>
            </w:r>
            <w:r>
              <w:rPr>
                <w:rFonts w:eastAsia="黑体"/>
                <w:bCs/>
                <w:color w:val="000000"/>
                <w:sz w:val="24"/>
              </w:rPr>
              <w:t xml:space="preserve">10   </w:t>
            </w:r>
            <w:r>
              <w:rPr>
                <w:rFonts w:hint="eastAsia" w:eastAsia="黑体"/>
                <w:bCs/>
                <w:color w:val="000000"/>
                <w:sz w:val="24"/>
              </w:rPr>
              <w:t>资阳市“十四五”水运</w:t>
            </w:r>
            <w:r>
              <w:rPr>
                <w:rFonts w:eastAsia="黑体"/>
                <w:bCs/>
                <w:color w:val="000000"/>
                <w:sz w:val="24"/>
              </w:rPr>
              <w:t>重点建设项目</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5000" w:type="pct"/>
            <w:shd w:val="solid" w:color="FFFFFF" w:fill="auto"/>
            <w:noWrap/>
            <w:vAlign w:val="center"/>
          </w:tcPr>
          <w:p>
            <w:pPr>
              <w:adjustRightInd w:val="0"/>
              <w:snapToGrid w:val="0"/>
              <w:spacing w:line="336" w:lineRule="auto"/>
              <w:ind w:firstLine="480"/>
              <w:rPr>
                <w:sz w:val="24"/>
              </w:rPr>
            </w:pPr>
            <w:r>
              <w:rPr>
                <w:rFonts w:hint="eastAsia" w:eastAsia="黑体"/>
                <w:bCs/>
                <w:color w:val="000000"/>
                <w:sz w:val="24"/>
              </w:rPr>
              <w:t>旅游航道：</w:t>
            </w:r>
            <w:r>
              <w:rPr>
                <w:rFonts w:hint="eastAsia"/>
                <w:sz w:val="24"/>
              </w:rPr>
              <w:t>建设雁江区沱江及其支流旅游航道。</w:t>
            </w:r>
          </w:p>
          <w:p>
            <w:pPr>
              <w:adjustRightInd w:val="0"/>
              <w:snapToGrid w:val="0"/>
              <w:spacing w:line="336" w:lineRule="auto"/>
              <w:ind w:firstLine="480"/>
              <w:rPr>
                <w:sz w:val="24"/>
              </w:rPr>
            </w:pPr>
            <w:r>
              <w:rPr>
                <w:rFonts w:hint="eastAsia" w:eastAsia="黑体"/>
                <w:bCs/>
                <w:color w:val="000000"/>
                <w:sz w:val="24"/>
              </w:rPr>
              <w:t>旅游码头：</w:t>
            </w:r>
            <w:r>
              <w:rPr>
                <w:rFonts w:hint="eastAsia"/>
                <w:sz w:val="24"/>
              </w:rPr>
              <w:t>建设晏家坝旅游码头、雷音村旅游码头、苌弘旅游码头、沱桥村旅游码头。</w:t>
            </w:r>
          </w:p>
          <w:p>
            <w:pPr>
              <w:pStyle w:val="2"/>
              <w:spacing w:after="0"/>
              <w:ind w:firstLine="480"/>
            </w:pPr>
            <w:r>
              <w:rPr>
                <w:rFonts w:hint="eastAsia" w:eastAsia="黑体"/>
                <w:bCs/>
                <w:color w:val="000000"/>
                <w:sz w:val="24"/>
              </w:rPr>
              <w:t>渡口标准化改造：</w:t>
            </w:r>
            <w:r>
              <w:rPr>
                <w:rFonts w:hint="eastAsia"/>
                <w:sz w:val="24"/>
              </w:rPr>
              <w:t>改造9座渡口设施设备。</w:t>
            </w:r>
          </w:p>
        </w:tc>
      </w:tr>
    </w:tbl>
    <w:p>
      <w:pPr>
        <w:adjustRightInd w:val="0"/>
        <w:snapToGrid w:val="0"/>
        <w:ind w:firstLine="643"/>
        <w:rPr>
          <w:rFonts w:eastAsia="楷体_GB2312"/>
          <w:b/>
          <w:bCs/>
          <w:szCs w:val="32"/>
        </w:rPr>
      </w:pPr>
      <w:r>
        <w:rPr>
          <w:rFonts w:hint="eastAsia" w:eastAsia="楷体_GB2312"/>
          <w:b/>
          <w:bCs/>
          <w:szCs w:val="32"/>
        </w:rPr>
        <w:t>4</w:t>
      </w:r>
      <w:r>
        <w:rPr>
          <w:rFonts w:eastAsia="楷体_GB2312"/>
          <w:b/>
          <w:bCs/>
          <w:szCs w:val="32"/>
        </w:rPr>
        <w:t xml:space="preserve">. </w:t>
      </w:r>
      <w:r>
        <w:rPr>
          <w:rFonts w:hint="eastAsia" w:eastAsia="楷体_GB2312"/>
          <w:b/>
          <w:bCs/>
          <w:szCs w:val="32"/>
        </w:rPr>
        <w:t>着力推动通用航空发展</w:t>
      </w:r>
      <w:bookmarkStart w:id="47" w:name="_Hlk66454560"/>
    </w:p>
    <w:p>
      <w:pPr>
        <w:adjustRightInd w:val="0"/>
        <w:snapToGrid w:val="0"/>
        <w:ind w:firstLine="640"/>
        <w:rPr>
          <w:szCs w:val="32"/>
        </w:rPr>
      </w:pPr>
      <w:r>
        <w:rPr>
          <w:rFonts w:hint="eastAsia"/>
        </w:rPr>
        <w:t>积极配合全省通用机场规划调整，</w:t>
      </w:r>
      <w:r>
        <w:rPr>
          <w:rFonts w:hint="eastAsia"/>
          <w:szCs w:val="32"/>
        </w:rPr>
        <w:t>合理论证雁江区、乐至县、安岳县3个A类通用机场建设类别及规模，尽早启动机场选址和周边配套交通设施规划。积极拓展成渝空中的士、机场摆渡、商务出行、低空旅游、应急救援、物流配送、飞行培训、通用飞机组装及试飞等通用航空服务</w:t>
      </w:r>
      <w:bookmarkEnd w:id="47"/>
      <w:r>
        <w:rPr>
          <w:rFonts w:hint="eastAsia"/>
          <w:szCs w:val="32"/>
        </w:rPr>
        <w:t>。</w:t>
      </w:r>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48" w:name="_Toc72864740"/>
      <w:r>
        <w:rPr>
          <w:rFonts w:ascii="Times New Roman" w:hAnsi="Times New Roman" w:eastAsia="楷体_GB2312" w:cs="Times New Roman"/>
        </w:rPr>
        <w:t>（二）构筑</w:t>
      </w:r>
      <w:r>
        <w:rPr>
          <w:rFonts w:hint="eastAsia" w:ascii="Times New Roman" w:hAnsi="Times New Roman" w:eastAsia="楷体_GB2312" w:cs="Times New Roman"/>
        </w:rPr>
        <w:t>全</w:t>
      </w:r>
      <w:r>
        <w:rPr>
          <w:rFonts w:ascii="Times New Roman" w:hAnsi="Times New Roman" w:eastAsia="楷体_GB2312" w:cs="Times New Roman"/>
        </w:rPr>
        <w:t>域畅</w:t>
      </w:r>
      <w:r>
        <w:rPr>
          <w:rFonts w:hint="eastAsia" w:ascii="Times New Roman" w:hAnsi="Times New Roman" w:eastAsia="楷体_GB2312" w:cs="Times New Roman"/>
        </w:rPr>
        <w:t>达</w:t>
      </w:r>
      <w:r>
        <w:rPr>
          <w:rFonts w:ascii="Times New Roman" w:hAnsi="Times New Roman" w:eastAsia="楷体_GB2312" w:cs="Times New Roman"/>
        </w:rPr>
        <w:t>的</w:t>
      </w:r>
      <w:r>
        <w:rPr>
          <w:rFonts w:hint="eastAsia" w:ascii="Times New Roman" w:hAnsi="Times New Roman" w:eastAsia="楷体_GB2312" w:cs="Times New Roman"/>
        </w:rPr>
        <w:t>普通公路</w:t>
      </w:r>
      <w:r>
        <w:rPr>
          <w:rFonts w:ascii="Times New Roman" w:hAnsi="Times New Roman" w:eastAsia="楷体_GB2312" w:cs="Times New Roman"/>
        </w:rPr>
        <w:t>交通网络</w:t>
      </w:r>
      <w:bookmarkEnd w:id="48"/>
    </w:p>
    <w:p>
      <w:pPr>
        <w:ind w:firstLine="600" w:firstLineChars="0"/>
      </w:pPr>
      <w:r>
        <w:rPr>
          <w:rFonts w:hint="eastAsia" w:eastAsia="楷体_GB2312"/>
          <w:b/>
          <w:bCs/>
          <w:szCs w:val="32"/>
        </w:rPr>
        <w:t>着力推进普通国省</w:t>
      </w:r>
      <w:r>
        <w:rPr>
          <w:rFonts w:eastAsia="楷体_GB2312"/>
          <w:b/>
          <w:bCs/>
          <w:szCs w:val="32"/>
        </w:rPr>
        <w:t>干线</w:t>
      </w:r>
      <w:r>
        <w:rPr>
          <w:rFonts w:hint="eastAsia" w:eastAsia="楷体_GB2312"/>
          <w:b/>
          <w:bCs/>
          <w:szCs w:val="32"/>
        </w:rPr>
        <w:t>提档升级</w:t>
      </w:r>
      <w:r>
        <w:rPr>
          <w:rFonts w:eastAsia="楷体_GB2312"/>
          <w:b/>
          <w:bCs/>
          <w:szCs w:val="32"/>
        </w:rPr>
        <w:t>。</w:t>
      </w:r>
      <w:bookmarkStart w:id="49" w:name="_Hlk54030815"/>
      <w:r>
        <w:rPr>
          <w:rFonts w:hint="eastAsia"/>
        </w:rPr>
        <w:t>有序实施境内普通国道低标路段升级改造、城镇过境段优化提升、老旧路段路面改造。积极论证规划新增和调整省道合理线位，消除普通省道断头路，推进瓶颈路段快速化改造，提升普通省道三级及以上比例。</w:t>
      </w:r>
    </w:p>
    <w:tbl>
      <w:tblPr>
        <w:tblStyle w:val="21"/>
        <w:tblW w:w="4867"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 xml:space="preserve">专栏11   </w:t>
            </w:r>
            <w:r>
              <w:rPr>
                <w:rFonts w:hint="eastAsia" w:eastAsia="黑体"/>
                <w:bCs/>
                <w:color w:val="000000"/>
                <w:sz w:val="24"/>
              </w:rPr>
              <w:t>资阳市“十四五”</w:t>
            </w:r>
            <w:r>
              <w:rPr>
                <w:rFonts w:eastAsia="黑体"/>
                <w:bCs/>
                <w:color w:val="000000"/>
                <w:sz w:val="24"/>
              </w:rPr>
              <w:t>普通国省</w:t>
            </w:r>
            <w:r>
              <w:rPr>
                <w:rFonts w:hint="eastAsia" w:eastAsia="黑体"/>
                <w:bCs/>
                <w:color w:val="000000"/>
                <w:sz w:val="24"/>
              </w:rPr>
              <w:t>道</w:t>
            </w:r>
            <w:r>
              <w:rPr>
                <w:rFonts w:eastAsia="黑体"/>
                <w:bCs/>
                <w:color w:val="000000"/>
                <w:sz w:val="24"/>
              </w:rPr>
              <w:t>重点建设项目</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5000" w:type="pct"/>
            <w:shd w:val="solid" w:color="FFFFFF" w:fill="auto"/>
            <w:noWrap/>
            <w:vAlign w:val="center"/>
          </w:tcPr>
          <w:p>
            <w:pPr>
              <w:adjustRightInd w:val="0"/>
              <w:snapToGrid w:val="0"/>
              <w:spacing w:line="336" w:lineRule="auto"/>
              <w:ind w:firstLine="480"/>
              <w:rPr>
                <w:rFonts w:eastAsia="黑体"/>
                <w:bCs/>
                <w:color w:val="000000"/>
                <w:sz w:val="24"/>
              </w:rPr>
            </w:pPr>
            <w:r>
              <w:rPr>
                <w:rFonts w:hint="eastAsia" w:eastAsia="黑体"/>
                <w:bCs/>
                <w:color w:val="000000"/>
                <w:sz w:val="24"/>
              </w:rPr>
              <w:t>（1）</w:t>
            </w:r>
            <w:r>
              <w:rPr>
                <w:rFonts w:eastAsia="黑体"/>
                <w:bCs/>
                <w:color w:val="000000"/>
                <w:sz w:val="24"/>
              </w:rPr>
              <w:t xml:space="preserve">普通国道 </w:t>
            </w:r>
          </w:p>
          <w:p>
            <w:pPr>
              <w:adjustRightInd w:val="0"/>
              <w:snapToGrid w:val="0"/>
              <w:ind w:firstLine="480"/>
              <w:rPr>
                <w:sz w:val="24"/>
              </w:rPr>
            </w:pPr>
            <w:r>
              <w:rPr>
                <w:rFonts w:hint="eastAsia" w:eastAsia="黑体"/>
                <w:bCs/>
                <w:color w:val="000000"/>
                <w:sz w:val="24"/>
              </w:rPr>
              <w:t>开工建设：</w:t>
            </w:r>
            <w:r>
              <w:rPr>
                <w:sz w:val="24"/>
              </w:rPr>
              <w:t>G319线乐至绕城、G247线安岳</w:t>
            </w:r>
            <w:r>
              <w:rPr>
                <w:rFonts w:hint="eastAsia"/>
                <w:sz w:val="24"/>
              </w:rPr>
              <w:t>城区过境段、G247线安岳县城至遂宁安居界、G351线安岳毛家与重庆界至龙台段、G</w:t>
            </w:r>
            <w:r>
              <w:rPr>
                <w:sz w:val="24"/>
              </w:rPr>
              <w:t>321</w:t>
            </w:r>
            <w:r>
              <w:rPr>
                <w:rFonts w:hint="eastAsia"/>
                <w:sz w:val="24"/>
              </w:rPr>
              <w:t>线资中界至资阳城区段。</w:t>
            </w:r>
          </w:p>
          <w:p>
            <w:pPr>
              <w:adjustRightInd w:val="0"/>
              <w:snapToGrid w:val="0"/>
              <w:spacing w:line="336" w:lineRule="auto"/>
              <w:ind w:firstLine="480"/>
              <w:rPr>
                <w:rFonts w:eastAsia="黑体"/>
                <w:bCs/>
                <w:color w:val="000000"/>
                <w:sz w:val="24"/>
              </w:rPr>
            </w:pPr>
            <w:r>
              <w:rPr>
                <w:rFonts w:hint="eastAsia" w:eastAsia="黑体"/>
                <w:bCs/>
                <w:color w:val="000000"/>
                <w:sz w:val="24"/>
              </w:rPr>
              <w:t>（2）</w:t>
            </w:r>
            <w:r>
              <w:rPr>
                <w:rFonts w:eastAsia="黑体"/>
                <w:bCs/>
                <w:color w:val="000000"/>
                <w:sz w:val="24"/>
              </w:rPr>
              <w:t xml:space="preserve">普通省道 </w:t>
            </w:r>
          </w:p>
          <w:p>
            <w:pPr>
              <w:adjustRightInd w:val="0"/>
              <w:snapToGrid w:val="0"/>
              <w:ind w:firstLine="480"/>
              <w:rPr>
                <w:sz w:val="24"/>
              </w:rPr>
            </w:pPr>
            <w:r>
              <w:rPr>
                <w:rFonts w:hint="eastAsia" w:eastAsia="黑体"/>
                <w:bCs/>
                <w:color w:val="000000"/>
                <w:sz w:val="24"/>
              </w:rPr>
              <w:t>加快建设：</w:t>
            </w:r>
            <w:r>
              <w:rPr>
                <w:sz w:val="24"/>
              </w:rPr>
              <w:t>S426</w:t>
            </w:r>
            <w:r>
              <w:rPr>
                <w:rFonts w:hint="eastAsia"/>
                <w:sz w:val="24"/>
              </w:rPr>
              <w:t>线安岳兴隆至内江永福界。</w:t>
            </w:r>
          </w:p>
          <w:p>
            <w:pPr>
              <w:adjustRightInd w:val="0"/>
              <w:snapToGrid w:val="0"/>
              <w:ind w:firstLine="480"/>
              <w:rPr>
                <w:sz w:val="24"/>
              </w:rPr>
            </w:pPr>
            <w:r>
              <w:rPr>
                <w:rFonts w:hint="eastAsia" w:eastAsia="黑体"/>
                <w:bCs/>
                <w:color w:val="000000"/>
                <w:sz w:val="24"/>
              </w:rPr>
              <w:t>开工建设</w:t>
            </w:r>
            <w:r>
              <w:rPr>
                <w:rFonts w:eastAsia="黑体"/>
                <w:bCs/>
                <w:color w:val="000000"/>
                <w:sz w:val="24"/>
              </w:rPr>
              <w:t>：</w:t>
            </w:r>
            <w:r>
              <w:rPr>
                <w:sz w:val="24"/>
              </w:rPr>
              <w:t xml:space="preserve"> </w:t>
            </w:r>
            <w:r>
              <w:rPr>
                <w:rFonts w:hint="eastAsia"/>
                <w:sz w:val="24"/>
              </w:rPr>
              <w:t>S207线安岳卧佛莲花大桥至遂宁安居界、S426线安岳龙台至永清段、S426线安岳兴隆至永清段、S401线乐至大英界至安岳华严段、S</w:t>
            </w:r>
            <w:r>
              <w:rPr>
                <w:sz w:val="24"/>
              </w:rPr>
              <w:t>102</w:t>
            </w:r>
            <w:r>
              <w:rPr>
                <w:rFonts w:hint="eastAsia"/>
                <w:sz w:val="24"/>
              </w:rPr>
              <w:t>线安岳文化至川渝界、</w:t>
            </w:r>
            <w:r>
              <w:rPr>
                <w:sz w:val="24"/>
              </w:rPr>
              <w:t>S207</w:t>
            </w:r>
            <w:r>
              <w:rPr>
                <w:rFonts w:hint="eastAsia"/>
                <w:sz w:val="24"/>
              </w:rPr>
              <w:t>线安岳</w:t>
            </w:r>
            <w:r>
              <w:rPr>
                <w:sz w:val="24"/>
              </w:rPr>
              <w:t>锣鼓庙至安大桥段</w:t>
            </w:r>
            <w:r>
              <w:rPr>
                <w:rFonts w:hint="eastAsia"/>
                <w:sz w:val="24"/>
              </w:rPr>
              <w:t>。</w:t>
            </w:r>
          </w:p>
          <w:p>
            <w:pPr>
              <w:adjustRightInd w:val="0"/>
              <w:snapToGrid w:val="0"/>
              <w:ind w:firstLine="480"/>
              <w:rPr>
                <w:sz w:val="24"/>
              </w:rPr>
            </w:pPr>
            <w:r>
              <w:rPr>
                <w:rFonts w:hint="eastAsia" w:eastAsia="黑体"/>
                <w:bCs/>
                <w:color w:val="000000"/>
                <w:sz w:val="24"/>
              </w:rPr>
              <w:t>加快前期：</w:t>
            </w:r>
            <w:r>
              <w:rPr>
                <w:rFonts w:hint="eastAsia"/>
                <w:sz w:val="24"/>
              </w:rPr>
              <w:t>S102线安岳文化至川渝界、S423线乐至童家至中江元兴界、</w:t>
            </w:r>
            <w:r>
              <w:rPr>
                <w:sz w:val="24"/>
              </w:rPr>
              <w:t>S102</w:t>
            </w:r>
            <w:r>
              <w:rPr>
                <w:rFonts w:hint="eastAsia"/>
                <w:sz w:val="24"/>
              </w:rPr>
              <w:t>线安岳</w:t>
            </w:r>
            <w:r>
              <w:rPr>
                <w:sz w:val="24"/>
              </w:rPr>
              <w:t>大埝至镇子段</w:t>
            </w:r>
            <w:r>
              <w:rPr>
                <w:rFonts w:hint="eastAsia"/>
                <w:sz w:val="24"/>
              </w:rPr>
              <w:t>。</w:t>
            </w:r>
          </w:p>
        </w:tc>
      </w:tr>
      <w:bookmarkEnd w:id="49"/>
    </w:tbl>
    <w:p>
      <w:pPr>
        <w:ind w:firstLine="600" w:firstLineChars="0"/>
      </w:pPr>
      <w:bookmarkStart w:id="50" w:name="_Hlk54031015"/>
      <w:r>
        <w:rPr>
          <w:rFonts w:hint="eastAsia" w:eastAsia="楷体_GB2312"/>
          <w:b/>
          <w:bCs/>
          <w:szCs w:val="32"/>
        </w:rPr>
        <w:t>加快实施</w:t>
      </w:r>
      <w:r>
        <w:rPr>
          <w:rFonts w:eastAsia="楷体_GB2312"/>
          <w:b/>
          <w:bCs/>
          <w:szCs w:val="32"/>
        </w:rPr>
        <w:t>农村公路</w:t>
      </w:r>
      <w:r>
        <w:rPr>
          <w:rFonts w:hint="eastAsia" w:eastAsia="楷体_GB2312"/>
          <w:b/>
          <w:bCs/>
          <w:szCs w:val="32"/>
        </w:rPr>
        <w:t>品</w:t>
      </w:r>
      <w:r>
        <w:rPr>
          <w:rFonts w:eastAsia="楷体_GB2312"/>
          <w:b/>
          <w:bCs/>
          <w:szCs w:val="32"/>
        </w:rPr>
        <w:t>质</w:t>
      </w:r>
      <w:bookmarkEnd w:id="50"/>
      <w:r>
        <w:rPr>
          <w:rFonts w:hint="eastAsia" w:eastAsia="楷体_GB2312"/>
          <w:b/>
          <w:bCs/>
          <w:szCs w:val="32"/>
        </w:rPr>
        <w:t>提升工</w:t>
      </w:r>
      <w:bookmarkStart w:id="51" w:name="_Hlk66713965"/>
      <w:r>
        <w:rPr>
          <w:rFonts w:hint="eastAsia" w:eastAsia="楷体_GB2312"/>
          <w:b/>
          <w:bCs/>
          <w:szCs w:val="32"/>
        </w:rPr>
        <w:t>程。</w:t>
      </w:r>
      <w:r>
        <w:rPr>
          <w:rFonts w:hint="eastAsia"/>
        </w:rPr>
        <w:t>全力开展“四好农村路”全域示范市创建工作，加快构建联通城乡、通村达组的农村基础网。推进重要园区、景区通三级及以上公路，提升特色产业园区、旅游景区末端路网循环能力。新改建连接干线公路的县乡道，提升特色（中心）镇村、市域周边对外畅通能力。实施撤并建制村畅通、通组硬化路等建设，提升路网联网水平和覆盖深度</w:t>
      </w:r>
      <w:r>
        <w:rPr>
          <w:rFonts w:hint="eastAsia" w:ascii="黑体" w:hAnsi="黑体" w:eastAsia="黑体"/>
        </w:rPr>
        <w:t>。</w:t>
      </w:r>
    </w:p>
    <w:tbl>
      <w:tblPr>
        <w:tblStyle w:val="21"/>
        <w:tblW w:w="4867"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 xml:space="preserve">专栏12   </w:t>
            </w:r>
            <w:r>
              <w:rPr>
                <w:rFonts w:hint="eastAsia" w:eastAsia="黑体"/>
                <w:bCs/>
                <w:color w:val="000000"/>
                <w:sz w:val="24"/>
              </w:rPr>
              <w:t>资阳市“十四五”农村公路</w:t>
            </w:r>
            <w:r>
              <w:rPr>
                <w:rFonts w:eastAsia="黑体"/>
                <w:bCs/>
                <w:color w:val="000000"/>
                <w:sz w:val="24"/>
              </w:rPr>
              <w:t>重点建设项目</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5000" w:type="pct"/>
            <w:shd w:val="solid" w:color="FFFFFF" w:fill="auto"/>
            <w:noWrap/>
            <w:vAlign w:val="center"/>
          </w:tcPr>
          <w:p>
            <w:pPr>
              <w:pStyle w:val="2"/>
              <w:spacing w:after="0"/>
              <w:ind w:firstLine="480"/>
              <w:rPr>
                <w:sz w:val="24"/>
              </w:rPr>
            </w:pPr>
            <w:r>
              <w:rPr>
                <w:rFonts w:hint="eastAsia" w:eastAsia="黑体"/>
                <w:bCs/>
                <w:color w:val="000000"/>
                <w:sz w:val="24"/>
              </w:rPr>
              <w:t>乡村振兴产业路旅游路：</w:t>
            </w:r>
            <w:r>
              <w:rPr>
                <w:rFonts w:hint="eastAsia"/>
                <w:sz w:val="24"/>
              </w:rPr>
              <w:t>新改建三级及以上公路8.1公里，新改建四级双车道公路107.1公里，路面整治11.8公里，合计127.0公里。</w:t>
            </w:r>
          </w:p>
          <w:p>
            <w:pPr>
              <w:pStyle w:val="2"/>
              <w:spacing w:after="0"/>
              <w:ind w:firstLine="480"/>
              <w:rPr>
                <w:rFonts w:eastAsia="黑体"/>
                <w:bCs/>
                <w:color w:val="000000"/>
                <w:sz w:val="24"/>
              </w:rPr>
            </w:pPr>
            <w:r>
              <w:rPr>
                <w:rFonts w:hint="eastAsia" w:eastAsia="黑体"/>
                <w:bCs/>
                <w:color w:val="000000"/>
                <w:sz w:val="24"/>
              </w:rPr>
              <w:t>县乡道改善提升：</w:t>
            </w:r>
            <w:r>
              <w:rPr>
                <w:rFonts w:hint="eastAsia"/>
                <w:sz w:val="24"/>
              </w:rPr>
              <w:t>实施1465公里（重点推进云大路、万罗路、放高路等成资交界地带“断头路”和文荣路、合义至大足铁山界等资渝毗邻地区“瓶颈路”建设）。</w:t>
            </w:r>
          </w:p>
          <w:p>
            <w:pPr>
              <w:adjustRightInd w:val="0"/>
              <w:snapToGrid w:val="0"/>
              <w:ind w:firstLine="480"/>
              <w:rPr>
                <w:sz w:val="24"/>
              </w:rPr>
            </w:pPr>
            <w:r>
              <w:rPr>
                <w:rFonts w:hint="eastAsia" w:eastAsia="黑体"/>
                <w:bCs/>
                <w:color w:val="000000"/>
                <w:sz w:val="24"/>
              </w:rPr>
              <w:t>撤并建制村畅通：</w:t>
            </w:r>
            <w:r>
              <w:rPr>
                <w:rFonts w:hint="eastAsia"/>
                <w:sz w:val="24"/>
              </w:rPr>
              <w:t>新建108.6公里，改建381.4公里，合计490公里。</w:t>
            </w:r>
          </w:p>
          <w:p>
            <w:pPr>
              <w:pStyle w:val="2"/>
              <w:spacing w:after="0"/>
              <w:ind w:firstLine="480"/>
              <w:rPr>
                <w:sz w:val="24"/>
              </w:rPr>
            </w:pPr>
            <w:r>
              <w:rPr>
                <w:rFonts w:hint="eastAsia" w:eastAsia="黑体"/>
                <w:bCs/>
                <w:color w:val="000000"/>
                <w:sz w:val="24"/>
              </w:rPr>
              <w:t>30户以上自然村（组）通硬化路：</w:t>
            </w:r>
            <w:r>
              <w:rPr>
                <w:rFonts w:hint="eastAsia"/>
                <w:sz w:val="24"/>
              </w:rPr>
              <w:t>实施路面硬化1608.6公里，路面加宽499.0公里，合计2107.6公里。</w:t>
            </w:r>
          </w:p>
        </w:tc>
      </w:tr>
      <w:bookmarkEnd w:id="51"/>
    </w:tbl>
    <w:p>
      <w:pPr>
        <w:pStyle w:val="2"/>
        <w:spacing w:after="0"/>
        <w:ind w:firstLine="643"/>
        <w:rPr>
          <w:szCs w:val="32"/>
        </w:rPr>
      </w:pPr>
      <w:r>
        <w:rPr>
          <w:rFonts w:hint="eastAsia" w:eastAsia="楷体_GB2312"/>
          <w:b/>
          <w:bCs/>
          <w:szCs w:val="32"/>
        </w:rPr>
        <w:t>强化城市内外交通高效衔接。</w:t>
      </w:r>
      <w:r>
        <w:rPr>
          <w:rFonts w:hint="eastAsia"/>
        </w:rPr>
        <w:t>推进公路与城市道路规划建设统筹和管理协同，</w:t>
      </w:r>
      <w:r>
        <w:rPr>
          <w:rFonts w:hint="eastAsia"/>
          <w:szCs w:val="32"/>
        </w:rPr>
        <w:t>建设畅达轨道交通、高速公路、普通国省干线公路的城市道路网络，减少过境交通、进出城交通与城市交通的交织干扰。</w:t>
      </w:r>
      <w:r>
        <w:rPr>
          <w:rFonts w:hint="eastAsia" w:ascii="仿宋_GB2312"/>
          <w:szCs w:val="32"/>
        </w:rPr>
        <w:t>加强客运枢纽与城市公交网络系统有机整合，优化中心城区、枢纽周边、旅游景区等片区静态停车设施。</w:t>
      </w:r>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52" w:name="_Toc72864741"/>
      <w:r>
        <w:rPr>
          <w:rFonts w:ascii="Times New Roman" w:hAnsi="Times New Roman" w:eastAsia="楷体_GB2312" w:cs="Times New Roman"/>
        </w:rPr>
        <w:t>（</w:t>
      </w:r>
      <w:r>
        <w:rPr>
          <w:rFonts w:hint="eastAsia" w:ascii="Times New Roman" w:hAnsi="Times New Roman" w:eastAsia="楷体_GB2312" w:cs="Times New Roman"/>
        </w:rPr>
        <w:t>三</w:t>
      </w:r>
      <w:r>
        <w:rPr>
          <w:rFonts w:ascii="Times New Roman" w:hAnsi="Times New Roman" w:eastAsia="楷体_GB2312" w:cs="Times New Roman"/>
        </w:rPr>
        <w:t>）构建人民满意的品质运输服务体系</w:t>
      </w:r>
      <w:bookmarkEnd w:id="52"/>
    </w:p>
    <w:p>
      <w:pPr>
        <w:pStyle w:val="2"/>
        <w:spacing w:after="0"/>
        <w:ind w:firstLine="643"/>
      </w:pPr>
      <w:r>
        <w:rPr>
          <w:rFonts w:hint="eastAsia" w:eastAsia="楷体_GB2312"/>
          <w:b/>
          <w:bCs/>
          <w:szCs w:val="32"/>
        </w:rPr>
        <w:t>加强枢纽站场体系建设。</w:t>
      </w:r>
      <w:bookmarkStart w:id="53" w:name="_Hlk66634536"/>
      <w:r>
        <w:rPr>
          <w:rFonts w:hint="eastAsia"/>
        </w:rPr>
        <w:t>实施一批集高铁客运、道路运输、公共交通、旅游集散等功能于一体的综合客运枢纽，促进普通公路客运站向综合服务平台转型，建设一批“一站多能”的乡镇综合运输服务站，开展村级服务站点整合。</w:t>
      </w:r>
      <w:bookmarkEnd w:id="53"/>
      <w:bookmarkStart w:id="54" w:name="_Hlk53329006"/>
      <w:r>
        <w:rPr>
          <w:rFonts w:hint="eastAsia"/>
        </w:rPr>
        <w:t>规划论证资阳西站存车场及动货基地、成渝铁路货运枢纽场站，系统推进物流园区及其集疏运系统建设</w:t>
      </w:r>
      <w:bookmarkEnd w:id="54"/>
      <w:r>
        <w:rPr>
          <w:rFonts w:hint="eastAsia"/>
        </w:rPr>
        <w:t>。协同共建成都东部物流枢纽体系，积极争创国家骨干冷链物流基地</w:t>
      </w:r>
      <w: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96" w:type="dxa"/>
            <w:vAlign w:val="bottom"/>
          </w:tcPr>
          <w:p>
            <w:pPr>
              <w:adjustRightInd w:val="0"/>
              <w:snapToGrid w:val="0"/>
              <w:ind w:firstLine="0" w:firstLineChars="0"/>
              <w:jc w:val="center"/>
              <w:rPr>
                <w:rFonts w:eastAsia="黑体"/>
                <w:bCs/>
                <w:kern w:val="0"/>
                <w:szCs w:val="32"/>
              </w:rPr>
            </w:pPr>
            <w:r>
              <w:rPr>
                <w:rFonts w:eastAsia="黑体"/>
                <w:bCs/>
                <w:color w:val="000000"/>
                <w:kern w:val="0"/>
                <w:sz w:val="24"/>
              </w:rPr>
              <w:t>专栏</w:t>
            </w:r>
            <w:r>
              <w:rPr>
                <w:rFonts w:hint="eastAsia" w:eastAsia="黑体"/>
                <w:bCs/>
                <w:color w:val="000000"/>
                <w:kern w:val="0"/>
                <w:sz w:val="24"/>
              </w:rPr>
              <w:t>1</w:t>
            </w:r>
            <w:r>
              <w:rPr>
                <w:rFonts w:eastAsia="黑体"/>
                <w:bCs/>
                <w:color w:val="000000"/>
                <w:kern w:val="0"/>
                <w:sz w:val="24"/>
              </w:rPr>
              <w:t>3   资阳市</w:t>
            </w:r>
            <w:r>
              <w:rPr>
                <w:rFonts w:hint="eastAsia" w:eastAsia="黑体"/>
                <w:bCs/>
                <w:color w:val="000000"/>
                <w:kern w:val="0"/>
                <w:sz w:val="24"/>
              </w:rPr>
              <w:t>“十四五”</w:t>
            </w:r>
            <w:r>
              <w:rPr>
                <w:rFonts w:eastAsia="黑体"/>
                <w:bCs/>
                <w:color w:val="000000"/>
                <w:kern w:val="0"/>
                <w:sz w:val="24"/>
              </w:rPr>
              <w:t>枢纽站场重点建设项目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8296" w:type="dxa"/>
          </w:tcPr>
          <w:p>
            <w:pPr>
              <w:adjustRightInd w:val="0"/>
              <w:snapToGrid w:val="0"/>
              <w:ind w:firstLine="480"/>
              <w:rPr>
                <w:kern w:val="0"/>
                <w:sz w:val="24"/>
              </w:rPr>
            </w:pPr>
            <w:r>
              <w:rPr>
                <w:rFonts w:hint="eastAsia" w:eastAsia="黑体"/>
                <w:bCs/>
                <w:color w:val="000000"/>
                <w:sz w:val="24"/>
              </w:rPr>
              <w:t>综合客运枢纽</w:t>
            </w:r>
            <w:r>
              <w:rPr>
                <w:rFonts w:hint="eastAsia"/>
                <w:kern w:val="0"/>
                <w:sz w:val="24"/>
              </w:rPr>
              <w:t>：建设成渝高铁资阳北综合客运枢纽、成自宜高铁资阳西综合客运枢纽、成达万高铁乐至南综合客运枢纽、成渝中线高铁安岳综合客运枢纽。</w:t>
            </w:r>
          </w:p>
          <w:p>
            <w:pPr>
              <w:adjustRightInd w:val="0"/>
              <w:snapToGrid w:val="0"/>
              <w:ind w:firstLine="480"/>
              <w:rPr>
                <w:kern w:val="0"/>
                <w:sz w:val="24"/>
              </w:rPr>
            </w:pPr>
            <w:r>
              <w:rPr>
                <w:rFonts w:hint="eastAsia" w:eastAsia="黑体"/>
                <w:bCs/>
                <w:color w:val="000000"/>
                <w:sz w:val="24"/>
              </w:rPr>
              <w:t>综合货运枢纽（物流园区）</w:t>
            </w:r>
            <w:r>
              <w:rPr>
                <w:rFonts w:hint="eastAsia"/>
                <w:kern w:val="0"/>
                <w:sz w:val="24"/>
              </w:rPr>
              <w:t>：建设成渝</w:t>
            </w:r>
            <w:r>
              <w:rPr>
                <w:kern w:val="0"/>
                <w:sz w:val="24"/>
              </w:rPr>
              <w:t>•</w:t>
            </w:r>
            <w:r>
              <w:rPr>
                <w:rFonts w:hint="eastAsia"/>
                <w:kern w:val="0"/>
                <w:sz w:val="24"/>
              </w:rPr>
              <w:t>紫微商贸物流园、资阳公铁物流港、乐至童家物流园。</w:t>
            </w:r>
          </w:p>
          <w:p>
            <w:pPr>
              <w:adjustRightInd w:val="0"/>
              <w:snapToGrid w:val="0"/>
              <w:ind w:firstLine="480"/>
              <w:rPr>
                <w:rFonts w:eastAsia="黑体"/>
                <w:bCs/>
                <w:color w:val="000000"/>
                <w:sz w:val="24"/>
              </w:rPr>
            </w:pPr>
            <w:r>
              <w:rPr>
                <w:rFonts w:hint="eastAsia" w:eastAsia="黑体"/>
                <w:bCs/>
                <w:color w:val="000000"/>
                <w:sz w:val="24"/>
              </w:rPr>
              <w:t>乡镇综合运输服务站：</w:t>
            </w:r>
            <w:r>
              <w:rPr>
                <w:rFonts w:hint="eastAsia"/>
                <w:kern w:val="0"/>
                <w:sz w:val="24"/>
              </w:rPr>
              <w:t>建设3</w:t>
            </w:r>
            <w:r>
              <w:rPr>
                <w:kern w:val="0"/>
                <w:sz w:val="24"/>
              </w:rPr>
              <w:t>3</w:t>
            </w:r>
            <w:r>
              <w:rPr>
                <w:rFonts w:hint="eastAsia"/>
                <w:kern w:val="0"/>
                <w:sz w:val="24"/>
              </w:rPr>
              <w:t>个特色集镇综合运输服务站。</w:t>
            </w:r>
          </w:p>
        </w:tc>
      </w:tr>
    </w:tbl>
    <w:p>
      <w:pPr>
        <w:pStyle w:val="2"/>
        <w:spacing w:after="0"/>
        <w:ind w:firstLine="643"/>
        <w:rPr>
          <w:rFonts w:ascii="仿宋_GB2312"/>
          <w:bCs/>
          <w:szCs w:val="32"/>
        </w:rPr>
      </w:pPr>
      <w:r>
        <w:rPr>
          <w:rFonts w:hint="eastAsia" w:eastAsia="楷体_GB2312"/>
          <w:b/>
          <w:bCs/>
          <w:szCs w:val="32"/>
        </w:rPr>
        <w:t>推动城际出行快速化。</w:t>
      </w:r>
      <w:r>
        <w:rPr>
          <w:rFonts w:hint="eastAsia"/>
        </w:rPr>
        <w:t>联合成都购置（租赁）一批高铁动车组，推动成资间高铁实现公交化运营。布局建设资阳城市候机楼，协同推进成资间公共交通、市域铁路“一卡通”“月票制”，积极开行资阳至天府国际机场、成都地铁的接驳快线，推动成资互设出租车返程配客点</w:t>
      </w:r>
      <w:r>
        <w:rPr>
          <w:rFonts w:hint="eastAsia" w:ascii="仿宋_GB2312"/>
          <w:bCs/>
          <w:szCs w:val="32"/>
        </w:rPr>
        <w:t>。逐步</w:t>
      </w:r>
      <w:r>
        <w:rPr>
          <w:rFonts w:hint="eastAsia"/>
          <w:szCs w:val="32"/>
        </w:rPr>
        <w:t>推行定制快客、旅游专线、通勤包车等城际道路客运新模式</w:t>
      </w:r>
      <w:r>
        <w:rPr>
          <w:rFonts w:hint="eastAsia" w:ascii="仿宋_GB2312"/>
          <w:bCs/>
          <w:szCs w:val="32"/>
        </w:rPr>
        <w:t>。</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159" w:type="dxa"/>
            <w:vAlign w:val="bottom"/>
          </w:tcPr>
          <w:p>
            <w:pPr>
              <w:adjustRightInd w:val="0"/>
              <w:snapToGrid w:val="0"/>
              <w:ind w:firstLine="0" w:firstLineChars="0"/>
              <w:jc w:val="center"/>
              <w:rPr>
                <w:rFonts w:eastAsia="黑体"/>
                <w:bCs/>
                <w:color w:val="000000"/>
                <w:kern w:val="0"/>
                <w:sz w:val="24"/>
              </w:rPr>
            </w:pPr>
            <w:r>
              <w:rPr>
                <w:rFonts w:eastAsia="黑体"/>
                <w:bCs/>
                <w:color w:val="000000"/>
                <w:kern w:val="0"/>
                <w:sz w:val="24"/>
              </w:rPr>
              <w:t>专栏</w:t>
            </w:r>
            <w:r>
              <w:rPr>
                <w:rFonts w:hint="eastAsia" w:eastAsia="黑体"/>
                <w:bCs/>
                <w:color w:val="000000"/>
                <w:kern w:val="0"/>
                <w:sz w:val="24"/>
              </w:rPr>
              <w:t>1</w:t>
            </w:r>
            <w:r>
              <w:rPr>
                <w:rFonts w:eastAsia="黑体"/>
                <w:bCs/>
                <w:color w:val="000000"/>
                <w:kern w:val="0"/>
                <w:sz w:val="24"/>
              </w:rPr>
              <w:t xml:space="preserve">4   </w:t>
            </w:r>
            <w:r>
              <w:rPr>
                <w:rFonts w:hint="eastAsia" w:eastAsia="黑体"/>
                <w:bCs/>
                <w:color w:val="000000"/>
                <w:kern w:val="0"/>
                <w:sz w:val="24"/>
              </w:rPr>
              <w:t>资阳市“十四五”城际运输服务发展重点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159" w:type="dxa"/>
          </w:tcPr>
          <w:p>
            <w:pPr>
              <w:ind w:firstLine="480"/>
              <w:rPr>
                <w:rFonts w:eastAsia="黑体"/>
                <w:bCs/>
                <w:color w:val="000000"/>
                <w:sz w:val="24"/>
              </w:rPr>
            </w:pPr>
            <w:r>
              <w:rPr>
                <w:rFonts w:hint="eastAsia" w:eastAsia="黑体"/>
                <w:bCs/>
                <w:color w:val="000000"/>
                <w:sz w:val="24"/>
              </w:rPr>
              <w:t>成资间：</w:t>
            </w:r>
            <w:r>
              <w:rPr>
                <w:kern w:val="0"/>
                <w:sz w:val="24"/>
              </w:rPr>
              <w:t>开通</w:t>
            </w:r>
            <w:r>
              <w:rPr>
                <w:rFonts w:hint="eastAsia"/>
                <w:kern w:val="0"/>
                <w:sz w:val="24"/>
              </w:rPr>
              <w:t>雁江、乐至至成都跨市域公交；发展资阳与成都热门商圈、主要站点及旅游景点之间的定制客运；</w:t>
            </w:r>
            <w:r>
              <w:rPr>
                <w:kern w:val="0"/>
                <w:sz w:val="24"/>
              </w:rPr>
              <w:t>推进</w:t>
            </w:r>
            <w:r>
              <w:rPr>
                <w:rFonts w:hint="eastAsia"/>
                <w:kern w:val="0"/>
                <w:sz w:val="24"/>
              </w:rPr>
              <w:t>轨道交通资阳线</w:t>
            </w:r>
            <w:r>
              <w:rPr>
                <w:kern w:val="0"/>
                <w:sz w:val="24"/>
              </w:rPr>
              <w:t>与成都轨道交通实现“一卡/码通”</w:t>
            </w:r>
            <w:r>
              <w:rPr>
                <w:rFonts w:hint="eastAsia"/>
                <w:kern w:val="0"/>
                <w:sz w:val="24"/>
              </w:rPr>
              <w:t>；在成都</w:t>
            </w:r>
            <w:r>
              <w:rPr>
                <w:kern w:val="0"/>
                <w:sz w:val="24"/>
              </w:rPr>
              <w:t>东部新区</w:t>
            </w:r>
            <w:r>
              <w:rPr>
                <w:rFonts w:hint="eastAsia"/>
                <w:kern w:val="0"/>
                <w:sz w:val="24"/>
              </w:rPr>
              <w:t>和</w:t>
            </w:r>
            <w:r>
              <w:rPr>
                <w:kern w:val="0"/>
                <w:sz w:val="24"/>
              </w:rPr>
              <w:t>资阳主城区</w:t>
            </w:r>
            <w:r>
              <w:rPr>
                <w:rFonts w:hint="eastAsia"/>
                <w:kern w:val="0"/>
                <w:sz w:val="24"/>
              </w:rPr>
              <w:t>之间研究</w:t>
            </w:r>
            <w:r>
              <w:rPr>
                <w:kern w:val="0"/>
                <w:sz w:val="24"/>
              </w:rPr>
              <w:t>设置异地出租车返程配客点</w:t>
            </w:r>
            <w:r>
              <w:rPr>
                <w:rFonts w:hint="eastAsia"/>
                <w:kern w:val="0"/>
                <w:sz w:val="24"/>
              </w:rPr>
              <w:t>。</w:t>
            </w:r>
          </w:p>
          <w:p>
            <w:pPr>
              <w:ind w:firstLine="480"/>
              <w:rPr>
                <w:rFonts w:eastAsia="黑体"/>
                <w:bCs/>
                <w:color w:val="000000"/>
                <w:sz w:val="24"/>
              </w:rPr>
            </w:pPr>
            <w:r>
              <w:rPr>
                <w:rFonts w:hint="eastAsia" w:eastAsia="黑体"/>
                <w:bCs/>
                <w:color w:val="000000"/>
                <w:sz w:val="24"/>
              </w:rPr>
              <w:t>资渝间：</w:t>
            </w:r>
            <w:r>
              <w:rPr>
                <w:rFonts w:hint="eastAsia"/>
                <w:kern w:val="0"/>
                <w:sz w:val="24"/>
              </w:rPr>
              <w:t>推动沿国省干线发展省际公交或推广道路客运公交化改造；推进资渝毗邻乡镇预约响应式客运服务互认；开通部分至重庆主城区大型商圈、机场、医院等重要目的地的定制客运路线；优化旅游景区客运线路组织，推动大足—安岳石刻精品旅游客运线路发展，统筹发展资渝两地景区直通车、定线循环车等客运服务；积极争取铜梁至大足旅游轻轨延伸至安岳。</w:t>
            </w:r>
          </w:p>
        </w:tc>
      </w:tr>
    </w:tbl>
    <w:p>
      <w:pPr>
        <w:pStyle w:val="2"/>
        <w:spacing w:after="0"/>
        <w:ind w:firstLine="643"/>
        <w:rPr>
          <w:rFonts w:ascii="仿宋_GB2312"/>
          <w:bCs/>
          <w:szCs w:val="32"/>
        </w:rPr>
      </w:pPr>
      <w:r>
        <w:rPr>
          <w:rFonts w:hint="eastAsia" w:eastAsia="楷体_GB2312"/>
          <w:b/>
          <w:bCs/>
          <w:szCs w:val="32"/>
        </w:rPr>
        <w:t>推动城市出行便捷化。</w:t>
      </w:r>
      <w:r>
        <w:rPr>
          <w:rFonts w:hint="eastAsia"/>
          <w:szCs w:val="32"/>
        </w:rPr>
        <w:t>深化实施“公交优先”战略，根据城市经济社会发展需要，持续扩大城市公交覆盖率，优化</w:t>
      </w:r>
      <w:r>
        <w:rPr>
          <w:rFonts w:hint="eastAsia"/>
        </w:rPr>
        <w:t>公交线路走向，强化商圈、场站、社区等主要交通发生源之间的公交线网连接，适时发展循环公交、社区公交、支线小公交。</w:t>
      </w:r>
      <w:r>
        <w:rPr>
          <w:rFonts w:hint="eastAsia" w:ascii="仿宋_GB2312"/>
          <w:bCs/>
          <w:szCs w:val="32"/>
        </w:rPr>
        <w:t>谋划设置主要城市主干道的公交专用道，推进公交枢纽站、首末站建设，增设公交停保场、港湾式公交停靠站，促进慢行系统与常规公交系统合理衔接。</w:t>
      </w:r>
      <w:bookmarkStart w:id="55" w:name="_Hlk66719515"/>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96" w:type="dxa"/>
            <w:vAlign w:val="bottom"/>
          </w:tcPr>
          <w:p>
            <w:pPr>
              <w:adjustRightInd w:val="0"/>
              <w:snapToGrid w:val="0"/>
              <w:ind w:firstLine="0" w:firstLineChars="0"/>
              <w:jc w:val="center"/>
              <w:rPr>
                <w:rFonts w:eastAsia="黑体"/>
                <w:bCs/>
                <w:color w:val="000000"/>
                <w:kern w:val="0"/>
                <w:sz w:val="24"/>
              </w:rPr>
            </w:pPr>
            <w:r>
              <w:rPr>
                <w:rFonts w:eastAsia="黑体"/>
                <w:bCs/>
                <w:color w:val="000000"/>
                <w:kern w:val="0"/>
                <w:sz w:val="24"/>
              </w:rPr>
              <w:t>专栏</w:t>
            </w:r>
            <w:r>
              <w:rPr>
                <w:rFonts w:hint="eastAsia" w:eastAsia="黑体"/>
                <w:bCs/>
                <w:color w:val="000000"/>
                <w:kern w:val="0"/>
                <w:sz w:val="24"/>
              </w:rPr>
              <w:t>1</w:t>
            </w:r>
            <w:r>
              <w:rPr>
                <w:rFonts w:eastAsia="黑体"/>
                <w:bCs/>
                <w:color w:val="000000"/>
                <w:kern w:val="0"/>
                <w:sz w:val="24"/>
              </w:rPr>
              <w:t xml:space="preserve">5   </w:t>
            </w:r>
            <w:r>
              <w:rPr>
                <w:rFonts w:hint="eastAsia" w:eastAsia="黑体"/>
                <w:bCs/>
                <w:color w:val="000000"/>
                <w:kern w:val="0"/>
                <w:sz w:val="24"/>
              </w:rPr>
              <w:t>资阳市</w:t>
            </w:r>
            <w:r>
              <w:rPr>
                <w:rFonts w:eastAsia="黑体"/>
                <w:bCs/>
                <w:color w:val="000000"/>
                <w:kern w:val="0"/>
                <w:sz w:val="24"/>
              </w:rPr>
              <w:t>“十四五”</w:t>
            </w:r>
            <w:r>
              <w:rPr>
                <w:rFonts w:hint="eastAsia" w:eastAsia="黑体"/>
                <w:bCs/>
                <w:color w:val="000000"/>
                <w:kern w:val="0"/>
                <w:sz w:val="24"/>
              </w:rPr>
              <w:t>城市公交发展重点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tcPr>
          <w:p>
            <w:pPr>
              <w:pStyle w:val="2"/>
              <w:spacing w:after="0"/>
              <w:ind w:firstLine="480"/>
              <w:rPr>
                <w:rFonts w:eastAsia="黑体"/>
                <w:bCs/>
                <w:color w:val="000000"/>
                <w:sz w:val="24"/>
              </w:rPr>
            </w:pPr>
            <w:r>
              <w:rPr>
                <w:rFonts w:hint="eastAsia" w:eastAsia="黑体"/>
                <w:bCs/>
                <w:color w:val="000000"/>
                <w:sz w:val="24"/>
              </w:rPr>
              <w:t>（1）公交线路</w:t>
            </w:r>
          </w:p>
          <w:p>
            <w:pPr>
              <w:pStyle w:val="2"/>
              <w:spacing w:after="0"/>
              <w:ind w:firstLine="480"/>
              <w:rPr>
                <w:kern w:val="0"/>
                <w:sz w:val="24"/>
              </w:rPr>
            </w:pPr>
            <w:r>
              <w:rPr>
                <w:rFonts w:hint="eastAsia"/>
                <w:kern w:val="0"/>
                <w:sz w:val="24"/>
              </w:rPr>
              <w:t>新增成渝高速路口—成都天府国际机场专线、环境学院南门—资阳西站高铁快线、城东高铁站—资阳西站、成渝高速路口—莲花办事处、四川现代—魏家湾。</w:t>
            </w:r>
          </w:p>
          <w:p>
            <w:pPr>
              <w:pStyle w:val="2"/>
              <w:spacing w:after="0"/>
              <w:ind w:firstLine="480"/>
              <w:rPr>
                <w:kern w:val="0"/>
                <w:sz w:val="24"/>
              </w:rPr>
            </w:pPr>
            <w:r>
              <w:rPr>
                <w:rFonts w:hint="eastAsia"/>
                <w:kern w:val="0"/>
                <w:sz w:val="24"/>
              </w:rPr>
              <w:t>延长（伸）城东高铁站—成渝高速路口高铁快线至资阳西站、城东高铁站—侯家坪派出所终点改为茶花苑教育园区。</w:t>
            </w:r>
          </w:p>
          <w:p>
            <w:pPr>
              <w:pStyle w:val="2"/>
              <w:spacing w:after="0"/>
              <w:ind w:firstLine="480"/>
              <w:rPr>
                <w:kern w:val="0"/>
                <w:sz w:val="24"/>
              </w:rPr>
            </w:pPr>
            <w:r>
              <w:rPr>
                <w:rFonts w:hint="eastAsia"/>
                <w:kern w:val="0"/>
                <w:sz w:val="24"/>
              </w:rPr>
              <w:t>截弯取直汽车客运中心至教育园区线路并配套支线。</w:t>
            </w:r>
          </w:p>
          <w:p>
            <w:pPr>
              <w:pStyle w:val="2"/>
              <w:spacing w:after="0"/>
              <w:ind w:firstLine="480"/>
              <w:rPr>
                <w:rFonts w:eastAsia="黑体"/>
                <w:bCs/>
                <w:color w:val="000000"/>
                <w:sz w:val="24"/>
              </w:rPr>
            </w:pPr>
            <w:r>
              <w:rPr>
                <w:rFonts w:hint="eastAsia"/>
                <w:kern w:val="0"/>
                <w:sz w:val="24"/>
              </w:rPr>
              <w:t>设立城东高铁站环线、成渝高速路口站环线；调整城东高铁站至教育园区、城东高铁站至幸福谷等线路走向。</w:t>
            </w:r>
          </w:p>
          <w:p>
            <w:pPr>
              <w:pStyle w:val="2"/>
              <w:spacing w:after="0"/>
              <w:ind w:firstLine="480"/>
              <w:rPr>
                <w:rFonts w:eastAsia="黑体"/>
                <w:bCs/>
                <w:color w:val="000000"/>
                <w:sz w:val="24"/>
              </w:rPr>
            </w:pPr>
            <w:r>
              <w:rPr>
                <w:rFonts w:hint="eastAsia" w:eastAsia="黑体"/>
                <w:bCs/>
                <w:color w:val="000000"/>
                <w:sz w:val="24"/>
              </w:rPr>
              <w:t>（2）公交枢纽</w:t>
            </w:r>
          </w:p>
          <w:p>
            <w:pPr>
              <w:pStyle w:val="2"/>
              <w:spacing w:after="0"/>
              <w:ind w:firstLine="480"/>
              <w:rPr>
                <w:rFonts w:eastAsia="黑体"/>
                <w:bCs/>
                <w:color w:val="000000"/>
                <w:sz w:val="24"/>
              </w:rPr>
            </w:pPr>
            <w:r>
              <w:rPr>
                <w:rFonts w:hint="eastAsia"/>
                <w:kern w:val="0"/>
                <w:sz w:val="24"/>
              </w:rPr>
              <w:t>建设城东、临空经济区、资阳北站、资阳西站、教育园区、城南等6个公交枢纽。</w:t>
            </w:r>
          </w:p>
          <w:p>
            <w:pPr>
              <w:pStyle w:val="2"/>
              <w:spacing w:after="0"/>
              <w:ind w:firstLine="480"/>
              <w:rPr>
                <w:rFonts w:eastAsia="黑体"/>
                <w:bCs/>
                <w:color w:val="000000"/>
                <w:sz w:val="24"/>
              </w:rPr>
            </w:pPr>
            <w:r>
              <w:rPr>
                <w:rFonts w:hint="eastAsia" w:eastAsia="黑体"/>
                <w:bCs/>
                <w:color w:val="000000"/>
                <w:sz w:val="24"/>
              </w:rPr>
              <w:t>（3）服务配套</w:t>
            </w:r>
          </w:p>
          <w:p>
            <w:pPr>
              <w:pStyle w:val="2"/>
              <w:spacing w:after="0"/>
              <w:ind w:firstLine="480"/>
              <w:rPr>
                <w:rFonts w:eastAsia="黑体"/>
                <w:bCs/>
                <w:color w:val="000000"/>
                <w:sz w:val="24"/>
              </w:rPr>
            </w:pPr>
            <w:r>
              <w:rPr>
                <w:rFonts w:hint="eastAsia"/>
                <w:bCs/>
                <w:color w:val="000000"/>
                <w:kern w:val="0"/>
                <w:sz w:val="24"/>
              </w:rPr>
              <w:t>调整公交收费系统，</w:t>
            </w:r>
            <w:r>
              <w:rPr>
                <w:rFonts w:hint="eastAsia"/>
                <w:kern w:val="0"/>
                <w:sz w:val="24"/>
              </w:rPr>
              <w:t>完善城市公交智能调度系统，搭建“全方式”公交支付系统，通过网络平台和站台LED显示屏实现公交信息实时可查。</w:t>
            </w:r>
          </w:p>
        </w:tc>
      </w:tr>
    </w:tbl>
    <w:p>
      <w:pPr>
        <w:pStyle w:val="2"/>
        <w:spacing w:after="0"/>
        <w:ind w:firstLine="643"/>
        <w:rPr>
          <w:rFonts w:ascii="仿宋_GB2312"/>
          <w:bCs/>
          <w:szCs w:val="32"/>
        </w:rPr>
      </w:pPr>
      <w:r>
        <w:rPr>
          <w:rFonts w:hint="eastAsia" w:eastAsia="楷体_GB2312"/>
          <w:b/>
          <w:bCs/>
          <w:szCs w:val="32"/>
        </w:rPr>
        <w:t>推动城乡出行一体化。</w:t>
      </w:r>
      <w:r>
        <w:rPr>
          <w:rFonts w:hint="eastAsia" w:ascii="仿宋_GB2312"/>
          <w:bCs/>
          <w:szCs w:val="32"/>
        </w:rPr>
        <w:t>以近郊镇村为重点，通过延伸城市公交线路或开通城乡公交的形式，率先实现城乡客运一体化。对客运相对集中、距离城镇相对较远的农村地区，推动客运班线公交化改造，提升客运服务效率。采取班线客运、预约响应、区域经营等模式，解决偏远地区出行需要。加强城乡客运资源统筹，积极稳妥推进农村客运班线公司化改造。</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296" w:type="dxa"/>
            <w:vAlign w:val="bottom"/>
          </w:tcPr>
          <w:p>
            <w:pPr>
              <w:adjustRightInd w:val="0"/>
              <w:snapToGrid w:val="0"/>
              <w:ind w:firstLine="0" w:firstLineChars="0"/>
              <w:jc w:val="center"/>
              <w:rPr>
                <w:rFonts w:eastAsia="黑体"/>
                <w:bCs/>
                <w:color w:val="000000"/>
                <w:kern w:val="0"/>
                <w:sz w:val="24"/>
              </w:rPr>
            </w:pPr>
            <w:r>
              <w:rPr>
                <w:rFonts w:eastAsia="黑体"/>
                <w:bCs/>
                <w:color w:val="000000"/>
                <w:kern w:val="0"/>
                <w:sz w:val="24"/>
              </w:rPr>
              <w:t>专栏</w:t>
            </w:r>
            <w:r>
              <w:rPr>
                <w:rFonts w:hint="eastAsia" w:eastAsia="黑体"/>
                <w:bCs/>
                <w:color w:val="000000"/>
                <w:kern w:val="0"/>
                <w:sz w:val="24"/>
              </w:rPr>
              <w:t>1</w:t>
            </w:r>
            <w:r>
              <w:rPr>
                <w:rFonts w:eastAsia="黑体"/>
                <w:bCs/>
                <w:color w:val="000000"/>
                <w:kern w:val="0"/>
                <w:sz w:val="24"/>
              </w:rPr>
              <w:t xml:space="preserve">6   </w:t>
            </w:r>
            <w:r>
              <w:rPr>
                <w:rFonts w:hint="eastAsia" w:eastAsia="黑体"/>
                <w:bCs/>
                <w:color w:val="000000"/>
                <w:kern w:val="0"/>
                <w:sz w:val="24"/>
              </w:rPr>
              <w:t>资阳市</w:t>
            </w:r>
            <w:r>
              <w:rPr>
                <w:rFonts w:eastAsia="黑体"/>
                <w:bCs/>
                <w:color w:val="000000"/>
                <w:kern w:val="0"/>
                <w:sz w:val="24"/>
              </w:rPr>
              <w:t>“十四五”</w:t>
            </w:r>
            <w:r>
              <w:rPr>
                <w:rFonts w:hint="eastAsia" w:eastAsia="黑体"/>
                <w:bCs/>
                <w:color w:val="000000"/>
                <w:kern w:val="0"/>
                <w:sz w:val="24"/>
              </w:rPr>
              <w:t>农村客运发展重点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296" w:type="dxa"/>
          </w:tcPr>
          <w:p>
            <w:pPr>
              <w:pStyle w:val="2"/>
              <w:spacing w:after="0"/>
              <w:ind w:firstLine="480"/>
              <w:rPr>
                <w:kern w:val="0"/>
                <w:sz w:val="24"/>
              </w:rPr>
            </w:pPr>
            <w:r>
              <w:rPr>
                <w:rFonts w:hint="eastAsia"/>
                <w:kern w:val="0"/>
                <w:sz w:val="24"/>
              </w:rPr>
              <w:t>（1）将村级招呼站（牌）、驾驶员、车辆纳入乡村客运监管服务平台管理，推动车辆安装具备主动智能防控功能的4G终端。</w:t>
            </w:r>
          </w:p>
          <w:p>
            <w:pPr>
              <w:pStyle w:val="2"/>
              <w:spacing w:after="0"/>
              <w:ind w:firstLine="480"/>
              <w:rPr>
                <w:kern w:val="0"/>
                <w:sz w:val="24"/>
              </w:rPr>
            </w:pPr>
            <w:r>
              <w:rPr>
                <w:rFonts w:hint="eastAsia"/>
                <w:kern w:val="0"/>
                <w:sz w:val="24"/>
              </w:rPr>
              <w:t>（2）结合乡镇行政区划和村级建制调整改革，全面调整优化既有班线客运线路，鼓励农村客运与城市公交站点有序衔接和融合建设。</w:t>
            </w:r>
          </w:p>
          <w:p>
            <w:pPr>
              <w:pStyle w:val="2"/>
              <w:spacing w:after="0"/>
              <w:ind w:firstLine="480"/>
              <w:rPr>
                <w:kern w:val="0"/>
                <w:sz w:val="24"/>
              </w:rPr>
            </w:pPr>
            <w:r>
              <w:rPr>
                <w:rFonts w:hint="eastAsia"/>
                <w:kern w:val="0"/>
                <w:sz w:val="24"/>
              </w:rPr>
              <w:t>（3）建立健全乡村客运市县财政投入机制，积极推广客货两用车型。</w:t>
            </w:r>
          </w:p>
        </w:tc>
      </w:tr>
      <w:bookmarkEnd w:id="55"/>
    </w:tbl>
    <w:p>
      <w:pPr>
        <w:pStyle w:val="2"/>
        <w:spacing w:after="0"/>
        <w:ind w:firstLine="643"/>
        <w:rPr>
          <w:rFonts w:ascii="仿宋_GB2312"/>
          <w:bCs/>
          <w:szCs w:val="32"/>
        </w:rPr>
      </w:pPr>
      <w:bookmarkStart w:id="56" w:name="_Hlk71135605"/>
      <w:r>
        <w:rPr>
          <w:rFonts w:hint="eastAsia" w:eastAsia="楷体_GB2312"/>
          <w:b/>
          <w:bCs/>
          <w:szCs w:val="32"/>
        </w:rPr>
        <w:t>推动货运物流现代化。</w:t>
      </w:r>
      <w:bookmarkEnd w:id="56"/>
      <w:r>
        <w:rPr>
          <w:rFonts w:hint="eastAsia" w:ascii="仿宋_GB2312"/>
          <w:bCs/>
          <w:szCs w:val="32"/>
        </w:rPr>
        <w:t>协同成都共建“青白江—天府空港—资阳”物流带，积极争创中欧班列和陆海班列资阳基地。建设内陆无水港，鼓励开通至宜宾港、泸州港、重庆港集装箱城际货运班车，形成“公铁水”联运通道。完善配送车辆便利化通行政策，促进城际干线甩挂运输和城市末端共同配送有机衔接，促进货运“一单制”建设和标准化装备设施应用，促进各种方式之间运输企业信息共享和业务协同。</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159" w:type="dxa"/>
            <w:vAlign w:val="bottom"/>
          </w:tcPr>
          <w:p>
            <w:pPr>
              <w:adjustRightInd w:val="0"/>
              <w:snapToGrid w:val="0"/>
              <w:ind w:firstLine="0" w:firstLineChars="0"/>
              <w:jc w:val="center"/>
              <w:rPr>
                <w:rFonts w:eastAsia="黑体"/>
                <w:bCs/>
                <w:color w:val="000000"/>
                <w:kern w:val="0"/>
                <w:sz w:val="24"/>
              </w:rPr>
            </w:pPr>
            <w:r>
              <w:rPr>
                <w:rFonts w:eastAsia="黑体"/>
                <w:bCs/>
                <w:color w:val="000000"/>
                <w:kern w:val="0"/>
                <w:sz w:val="24"/>
              </w:rPr>
              <w:t>专栏</w:t>
            </w:r>
            <w:r>
              <w:rPr>
                <w:rFonts w:hint="eastAsia" w:eastAsia="黑体"/>
                <w:bCs/>
                <w:color w:val="000000"/>
                <w:kern w:val="0"/>
                <w:sz w:val="24"/>
              </w:rPr>
              <w:t>1</w:t>
            </w:r>
            <w:r>
              <w:rPr>
                <w:rFonts w:eastAsia="黑体"/>
                <w:bCs/>
                <w:color w:val="000000"/>
                <w:kern w:val="0"/>
                <w:sz w:val="24"/>
              </w:rPr>
              <w:t xml:space="preserve">7   </w:t>
            </w:r>
            <w:r>
              <w:rPr>
                <w:rFonts w:hint="eastAsia" w:eastAsia="黑体"/>
                <w:bCs/>
                <w:color w:val="000000"/>
                <w:kern w:val="0"/>
                <w:sz w:val="24"/>
              </w:rPr>
              <w:t>资阳市“十四五”现代物流发展重点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8159" w:type="dxa"/>
          </w:tcPr>
          <w:p>
            <w:pPr>
              <w:pStyle w:val="2"/>
              <w:spacing w:after="0"/>
              <w:ind w:firstLine="480"/>
              <w:rPr>
                <w:kern w:val="0"/>
                <w:sz w:val="24"/>
              </w:rPr>
            </w:pPr>
            <w:r>
              <w:rPr>
                <w:rFonts w:hint="eastAsia" w:eastAsia="黑体"/>
                <w:bCs/>
                <w:color w:val="000000"/>
                <w:sz w:val="24"/>
              </w:rPr>
              <w:t>多式联运：</w:t>
            </w:r>
            <w:r>
              <w:rPr>
                <w:rFonts w:hint="eastAsia"/>
                <w:kern w:val="0"/>
                <w:sz w:val="24"/>
              </w:rPr>
              <w:t>培育形成以天府国际机场为核心的航空物流为主的空铁公联运服务基地，开展资阳公铁物流港公铁联运中心、联运接驳中心项目建设。</w:t>
            </w:r>
          </w:p>
          <w:p>
            <w:pPr>
              <w:pStyle w:val="2"/>
              <w:spacing w:after="0"/>
              <w:ind w:firstLine="480"/>
              <w:rPr>
                <w:kern w:val="0"/>
                <w:sz w:val="24"/>
              </w:rPr>
            </w:pPr>
            <w:r>
              <w:rPr>
                <w:rFonts w:hint="eastAsia" w:eastAsia="黑体"/>
                <w:bCs/>
                <w:color w:val="000000"/>
                <w:sz w:val="24"/>
              </w:rPr>
              <w:t>城市配送：</w:t>
            </w:r>
            <w:r>
              <w:rPr>
                <w:rFonts w:hint="eastAsia"/>
                <w:kern w:val="0"/>
                <w:sz w:val="24"/>
              </w:rPr>
              <w:t>鼓励物流企业采用先进信息系统与技术；促进电子商务、邮政快递、现代交通与物流配送体系的对接和配套融合；在城区合理新建快递超市，完善末端收投平台；完成物联网b2b2c现代商贸物流生态云平台项目建设。</w:t>
            </w:r>
          </w:p>
        </w:tc>
      </w:tr>
    </w:tbl>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57" w:name="_Toc72864742"/>
      <w:r>
        <w:rPr>
          <w:rFonts w:hint="eastAsia" w:ascii="Times New Roman" w:hAnsi="Times New Roman" w:eastAsia="楷体_GB2312" w:cs="Times New Roman"/>
        </w:rPr>
        <w:t>（四）塑造特色鲜明的交通融合示范工程</w:t>
      </w:r>
      <w:bookmarkEnd w:id="57"/>
    </w:p>
    <w:p>
      <w:pPr>
        <w:pStyle w:val="2"/>
        <w:spacing w:after="0"/>
        <w:ind w:firstLine="643"/>
        <w:rPr>
          <w:szCs w:val="32"/>
        </w:rPr>
      </w:pPr>
      <w:r>
        <w:rPr>
          <w:rFonts w:hint="eastAsia" w:eastAsia="楷体_GB2312"/>
          <w:b/>
          <w:bCs/>
          <w:szCs w:val="32"/>
        </w:rPr>
        <w:t>深化“交通+旅游”。</w:t>
      </w:r>
      <w:r>
        <w:rPr>
          <w:rFonts w:hint="eastAsia"/>
          <w:bCs/>
          <w:szCs w:val="32"/>
        </w:rPr>
        <w:t>围绕资阳大足文旅融合发展示范区建设，加快乐至旅游环线、</w:t>
      </w:r>
      <w:r>
        <w:rPr>
          <w:bCs/>
          <w:szCs w:val="32"/>
        </w:rPr>
        <w:t>安岳卧佛至大足旅游快速通道</w:t>
      </w:r>
      <w:r>
        <w:rPr>
          <w:rFonts w:hint="eastAsia"/>
          <w:bCs/>
          <w:szCs w:val="32"/>
        </w:rPr>
        <w:t>等旅游公路建设</w:t>
      </w:r>
      <w:bookmarkStart w:id="58" w:name="_Hlk54031276"/>
      <w:r>
        <w:rPr>
          <w:rFonts w:hint="eastAsia"/>
          <w:bCs/>
          <w:szCs w:val="32"/>
        </w:rPr>
        <w:t>，解决直达景区“最后一公里”问题。</w:t>
      </w:r>
      <w:r>
        <w:rPr>
          <w:rFonts w:hint="eastAsia"/>
          <w:szCs w:val="32"/>
        </w:rPr>
        <w:t>完善旅游服务功能，</w:t>
      </w:r>
      <w:r>
        <w:rPr>
          <w:rFonts w:hint="eastAsia"/>
          <w:bCs/>
          <w:szCs w:val="32"/>
        </w:rPr>
        <w:t>共建示范区运输服务体系，实现服务融合。整合服务信息，通过信息平台推送旅客与景区实时互动信息，实现信息融合。</w:t>
      </w:r>
    </w:p>
    <w:bookmarkEnd w:id="58"/>
    <w:p>
      <w:pPr>
        <w:pStyle w:val="2"/>
        <w:spacing w:after="0"/>
        <w:ind w:firstLine="643"/>
        <w:rPr>
          <w:szCs w:val="32"/>
        </w:rPr>
      </w:pPr>
      <w:r>
        <w:rPr>
          <w:rFonts w:hint="eastAsia" w:eastAsia="楷体_GB2312"/>
          <w:b/>
          <w:bCs/>
          <w:szCs w:val="32"/>
        </w:rPr>
        <w:t>深化“交通+制造”。</w:t>
      </w:r>
      <w:bookmarkStart w:id="59" w:name="_Hlk54031384"/>
      <w:r>
        <w:rPr>
          <w:rFonts w:hint="eastAsia"/>
          <w:szCs w:val="32"/>
        </w:rPr>
        <w:t>依托中车资阳机车等企业集团的本地制造优势，大力发展空铁、齿轨等新制式轨道交通装备，培育壮大新能源与智能网联汽车产业。抢抓天府国际机场建成机遇，引进航空整机、零部件、新材料先进制造企业，推动通用航空产业园项目前期工作。</w:t>
      </w:r>
    </w:p>
    <w:bookmarkEnd w:id="59"/>
    <w:p>
      <w:pPr>
        <w:pStyle w:val="2"/>
        <w:spacing w:after="0"/>
        <w:ind w:firstLine="643"/>
        <w:rPr>
          <w:szCs w:val="32"/>
        </w:rPr>
      </w:pPr>
      <w:r>
        <w:rPr>
          <w:rFonts w:hint="eastAsia" w:eastAsia="楷体_GB2312"/>
          <w:b/>
          <w:bCs/>
          <w:szCs w:val="32"/>
        </w:rPr>
        <w:t>深化“交通+邮快”。</w:t>
      </w:r>
      <w:r>
        <w:rPr>
          <w:rFonts w:hint="eastAsia"/>
          <w:szCs w:val="32"/>
        </w:rPr>
        <w:t>落实“快递进村”试点任务，整合寄递网点与城乡客运站、电子商务服务站等设施，依托现有班线客运及公交线路，在农村地区开设部分“定时、定点、定线”的寄递配送线路，适度推动客货同网运行。积极构建乡村客运网、邮快网、物流网、旅游网、商业网等“五张网络”，加快推进区县“金通工程”样板县创建。</w:t>
      </w:r>
    </w:p>
    <w:p>
      <w:pPr>
        <w:pStyle w:val="2"/>
        <w:spacing w:after="0"/>
        <w:ind w:firstLine="643"/>
        <w:rPr>
          <w:szCs w:val="32"/>
        </w:rPr>
      </w:pPr>
      <w:r>
        <w:rPr>
          <w:rFonts w:hint="eastAsia" w:eastAsia="楷体_GB2312"/>
          <w:b/>
          <w:bCs/>
          <w:szCs w:val="32"/>
        </w:rPr>
        <w:t>深化“交通+产城”。</w:t>
      </w:r>
      <w:r>
        <w:rPr>
          <w:rFonts w:hint="eastAsia"/>
          <w:szCs w:val="32"/>
        </w:rPr>
        <w:t>依托成渝直线走廊及全域临空优势，引导主要交通廊道沿线布局城镇组团及产业集群，强化产业功能区与高快速路网的有效衔接，重点</w:t>
      </w:r>
      <w:r>
        <w:rPr>
          <w:rFonts w:hint="eastAsia"/>
        </w:rPr>
        <w:t>发展交通装备制造、临空高端制造等</w:t>
      </w:r>
      <w:r>
        <w:t>产业</w:t>
      </w:r>
      <w:r>
        <w:rPr>
          <w:rFonts w:hint="eastAsia"/>
        </w:rPr>
        <w:t>，构建服务和配套成渝的产业体系</w:t>
      </w:r>
      <w:r>
        <w:rPr>
          <w:rFonts w:hint="eastAsia"/>
          <w:szCs w:val="32"/>
        </w:rPr>
        <w:t>。拓展高速公路服务区功能，打造一批彰显区县特色的主题型服务区。实施轨道交通TOD综合开发，将资阳西站及北站打造为城市地标。</w:t>
      </w:r>
      <w:r>
        <w:rPr>
          <w:szCs w:val="32"/>
        </w:rPr>
        <w:t xml:space="preserve"> </w:t>
      </w:r>
    </w:p>
    <w:tbl>
      <w:tblPr>
        <w:tblStyle w:val="21"/>
        <w:tblW w:w="4867"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bookmarkStart w:id="60" w:name="_Hlk69456504"/>
            <w:r>
              <w:rPr>
                <w:rFonts w:eastAsia="黑体"/>
                <w:bCs/>
                <w:color w:val="000000"/>
                <w:sz w:val="24"/>
              </w:rPr>
              <w:t>专栏18   资阳市</w:t>
            </w:r>
            <w:r>
              <w:rPr>
                <w:rFonts w:hint="eastAsia" w:eastAsia="黑体"/>
                <w:bCs/>
                <w:color w:val="000000"/>
                <w:sz w:val="24"/>
              </w:rPr>
              <w:t>“十四五”</w:t>
            </w:r>
            <w:r>
              <w:rPr>
                <w:rFonts w:eastAsia="黑体"/>
                <w:bCs/>
                <w:color w:val="000000"/>
                <w:sz w:val="24"/>
              </w:rPr>
              <w:t>交通融合示范</w:t>
            </w:r>
            <w:r>
              <w:rPr>
                <w:rFonts w:hint="eastAsia" w:eastAsia="黑体"/>
                <w:bCs/>
                <w:color w:val="000000"/>
                <w:sz w:val="24"/>
              </w:rPr>
              <w:t>工程发展重点</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9123" w:hRule="atLeast"/>
          <w:jc w:val="center"/>
        </w:trPr>
        <w:tc>
          <w:tcPr>
            <w:tcW w:w="5000" w:type="pct"/>
            <w:shd w:val="solid" w:color="FFFFFF" w:fill="auto"/>
            <w:noWrap/>
            <w:vAlign w:val="center"/>
          </w:tcPr>
          <w:p>
            <w:pPr>
              <w:adjustRightInd w:val="0"/>
              <w:snapToGrid w:val="0"/>
              <w:ind w:firstLine="480"/>
              <w:rPr>
                <w:rFonts w:eastAsia="黑体"/>
                <w:bCs/>
                <w:color w:val="000000"/>
                <w:sz w:val="24"/>
              </w:rPr>
            </w:pPr>
            <w:r>
              <w:rPr>
                <w:rFonts w:hint="eastAsia" w:eastAsia="黑体"/>
                <w:bCs/>
                <w:color w:val="000000"/>
                <w:sz w:val="24"/>
              </w:rPr>
              <w:t>交旅融合发展：</w:t>
            </w:r>
            <w:r>
              <w:rPr>
                <w:rFonts w:hint="eastAsia"/>
                <w:sz w:val="24"/>
              </w:rPr>
              <w:t>建设</w:t>
            </w:r>
            <w:r>
              <w:rPr>
                <w:sz w:val="24"/>
              </w:rPr>
              <w:t>S207线</w:t>
            </w:r>
            <w:r>
              <w:rPr>
                <w:rFonts w:hint="eastAsia"/>
                <w:sz w:val="24"/>
              </w:rPr>
              <w:t>安岳卧佛</w:t>
            </w:r>
            <w:r>
              <w:rPr>
                <w:sz w:val="24"/>
              </w:rPr>
              <w:t>至大足快速通道</w:t>
            </w:r>
            <w:r>
              <w:rPr>
                <w:rFonts w:hint="eastAsia"/>
                <w:sz w:val="24"/>
              </w:rPr>
              <w:t>、宴宾大道、花溪谷至临空经济区旅游环线、乐至旅游环线；加强旅游公路沿线环境建设、服务设施布局；鼓励客运站专设旅游售票窗口、客运企业与酒店联合经营、旅行社代替客运企业组织客源、旅游班车多样化等“运游结合”模式发展。</w:t>
            </w:r>
          </w:p>
          <w:p>
            <w:pPr>
              <w:pStyle w:val="2"/>
              <w:spacing w:after="0"/>
              <w:ind w:firstLine="480"/>
              <w:rPr>
                <w:rFonts w:eastAsia="黑体"/>
                <w:bCs/>
                <w:color w:val="000000"/>
                <w:sz w:val="24"/>
              </w:rPr>
            </w:pPr>
            <w:r>
              <w:rPr>
                <w:rFonts w:hint="eastAsia" w:eastAsia="黑体"/>
                <w:bCs/>
                <w:color w:val="000000"/>
                <w:sz w:val="24"/>
              </w:rPr>
              <w:t>特色产业基地：</w:t>
            </w:r>
            <w:r>
              <w:rPr>
                <w:rFonts w:hint="eastAsia"/>
                <w:sz w:val="24"/>
              </w:rPr>
              <w:t>做大做强机车商用车企业集群，突破发展轨道交通等新制式轨道交通装备，加快发展氢能、锂电等新能源汽车；发展临空制造、保税加工等高端制造业和临空商务、跨境电商等现代服务业，打造国际临空制造服务基地；建设农产品加工园区、物流供应平台、产业对接平台，建设成渝绿色食品生产加工配送基地。</w:t>
            </w:r>
          </w:p>
          <w:p>
            <w:pPr>
              <w:pStyle w:val="2"/>
              <w:spacing w:after="0"/>
              <w:ind w:firstLine="480"/>
              <w:rPr>
                <w:rFonts w:eastAsia="黑体"/>
                <w:bCs/>
                <w:color w:val="000000"/>
                <w:sz w:val="24"/>
              </w:rPr>
            </w:pPr>
            <w:r>
              <w:rPr>
                <w:rFonts w:hint="eastAsia" w:eastAsia="黑体"/>
                <w:bCs/>
                <w:color w:val="000000"/>
                <w:sz w:val="24"/>
              </w:rPr>
              <w:t>快递进村试点：</w:t>
            </w:r>
            <w:r>
              <w:rPr>
                <w:rFonts w:hint="eastAsia"/>
                <w:sz w:val="24"/>
              </w:rPr>
              <w:t>启动安岳、雁江仓配处理中心二期项目、乐至新仓储中心建项目，推动乡镇快递物流运营中心及村级“金通·邮快驿站”建设，增开一批“交邮合作”线路，建立“种植基地+生产加工+商贸流通+物流运输+邮政金融服务”一体化供应链体系，构建村、镇、区三级协调配合的“次日达”物流配送体系。</w:t>
            </w:r>
          </w:p>
          <w:p>
            <w:pPr>
              <w:pStyle w:val="2"/>
              <w:spacing w:after="0"/>
              <w:ind w:firstLine="480"/>
              <w:rPr>
                <w:rFonts w:eastAsia="黑体"/>
                <w:bCs/>
                <w:color w:val="000000"/>
                <w:sz w:val="24"/>
              </w:rPr>
            </w:pPr>
            <w:r>
              <w:rPr>
                <w:rFonts w:hint="eastAsia" w:eastAsia="黑体"/>
                <w:bCs/>
                <w:color w:val="000000"/>
                <w:sz w:val="24"/>
              </w:rPr>
              <w:t>主题型服务区：</w:t>
            </w:r>
            <w:r>
              <w:rPr>
                <w:rFonts w:hint="eastAsia"/>
                <w:sz w:val="24"/>
              </w:rPr>
              <w:t>打造遂资眉乐至服务区、成渝高速资阳服务区、内遂高速长河服务区等3个主题型服务区。</w:t>
            </w:r>
          </w:p>
          <w:p>
            <w:pPr>
              <w:pStyle w:val="2"/>
              <w:spacing w:after="0"/>
              <w:ind w:firstLine="480"/>
              <w:rPr>
                <w:rFonts w:eastAsia="黑体"/>
                <w:bCs/>
                <w:color w:val="000000"/>
                <w:sz w:val="24"/>
              </w:rPr>
            </w:pPr>
            <w:r>
              <w:rPr>
                <w:rFonts w:hint="eastAsia" w:eastAsia="黑体"/>
                <w:bCs/>
                <w:color w:val="000000"/>
                <w:sz w:val="24"/>
              </w:rPr>
              <w:t>站点综合开发：</w:t>
            </w:r>
            <w:r>
              <w:rPr>
                <w:rFonts w:hint="eastAsia"/>
                <w:sz w:val="24"/>
              </w:rPr>
              <w:t>以成自高铁资阳西站、轨道交通资阳线站点为试点示范，探索TOD筹融资模式创新，拓展购物中心、商业办公、餐饮服务、休闲娱乐及旅游集散等城市服务功能，建设集“游购娱行”功能于一体的“站城一体化”综合交通枢纽。</w:t>
            </w:r>
          </w:p>
        </w:tc>
      </w:tr>
      <w:bookmarkEnd w:id="60"/>
    </w:tbl>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61" w:name="_Toc72864743"/>
      <w:r>
        <w:rPr>
          <w:rFonts w:hint="eastAsia" w:ascii="Times New Roman" w:hAnsi="Times New Roman" w:eastAsia="楷体_GB2312" w:cs="Times New Roman"/>
        </w:rPr>
        <w:t>（五）</w:t>
      </w:r>
      <w:r>
        <w:rPr>
          <w:rFonts w:ascii="Times New Roman" w:hAnsi="Times New Roman" w:eastAsia="楷体_GB2312" w:cs="Times New Roman"/>
        </w:rPr>
        <w:t>建立运行有效的交通运输</w:t>
      </w:r>
      <w:r>
        <w:rPr>
          <w:rFonts w:hint="eastAsia" w:ascii="Times New Roman" w:hAnsi="Times New Roman" w:eastAsia="楷体_GB2312" w:cs="Times New Roman"/>
        </w:rPr>
        <w:t>保障</w:t>
      </w:r>
      <w:r>
        <w:rPr>
          <w:rFonts w:ascii="Times New Roman" w:hAnsi="Times New Roman" w:eastAsia="楷体_GB2312" w:cs="Times New Roman"/>
        </w:rPr>
        <w:t>体系</w:t>
      </w:r>
      <w:bookmarkEnd w:id="61"/>
    </w:p>
    <w:p>
      <w:pPr>
        <w:pStyle w:val="2"/>
        <w:spacing w:after="0"/>
        <w:ind w:firstLine="643"/>
      </w:pPr>
      <w:r>
        <w:rPr>
          <w:rFonts w:hint="eastAsia" w:eastAsia="楷体_GB2312"/>
          <w:b/>
          <w:bCs/>
          <w:szCs w:val="32"/>
        </w:rPr>
        <w:t>智慧交通。</w:t>
      </w:r>
      <w:r>
        <w:rPr>
          <w:rFonts w:hint="eastAsia"/>
        </w:rPr>
        <w:t>依托资阳云计算中心</w:t>
      </w:r>
      <w:r>
        <w:t>打造智慧交通云平台，</w:t>
      </w:r>
      <w:r>
        <w:rPr>
          <w:rFonts w:hint="eastAsia"/>
        </w:rPr>
        <w:t>完善</w:t>
      </w:r>
      <w:r>
        <w:t>重点路段</w:t>
      </w:r>
      <w:r>
        <w:rPr>
          <w:rFonts w:hint="eastAsia"/>
        </w:rPr>
        <w:t>（航段）</w:t>
      </w:r>
      <w:r>
        <w:t>视频监控、流量检测和区间测速</w:t>
      </w:r>
      <w:r>
        <w:rPr>
          <w:rFonts w:hint="eastAsia"/>
        </w:rPr>
        <w:t>等交通感知系统建设，积极开展智慧高速公路试点示范。推进</w:t>
      </w:r>
      <w:r>
        <w:t>出行信息服务“一站式”查询</w:t>
      </w:r>
      <w:r>
        <w:rPr>
          <w:rFonts w:hint="eastAsia"/>
        </w:rPr>
        <w:t>和货运物流单据电子化及跨方式互认，</w:t>
      </w:r>
      <w:r>
        <w:t>提高运载装备智能化水平</w:t>
      </w:r>
      <w:r>
        <w:rPr>
          <w:rFonts w:hint="eastAsia"/>
        </w:rPr>
        <w:t>。推进非现场执法系统建设，推动同城化交通运营管理和联合执法网络“一张网”有效搭建。</w:t>
      </w:r>
    </w:p>
    <w:p>
      <w:pPr>
        <w:spacing w:line="630" w:lineRule="exact"/>
        <w:ind w:firstLine="643"/>
      </w:pPr>
      <w:r>
        <w:rPr>
          <w:rFonts w:hint="eastAsia" w:eastAsia="楷体_GB2312"/>
          <w:b/>
          <w:bCs/>
          <w:szCs w:val="32"/>
        </w:rPr>
        <w:t>平安交通。</w:t>
      </w:r>
      <w:r>
        <w:rPr>
          <w:rFonts w:hint="eastAsia" w:ascii="仿宋_GB2312"/>
          <w:szCs w:val="32"/>
        </w:rPr>
        <w:t>强化“两客一危”、重载货车、农村运输市</w:t>
      </w:r>
      <w:r>
        <w:rPr>
          <w:rFonts w:hint="eastAsia"/>
        </w:rPr>
        <w:t>场、运输新业态等</w:t>
      </w:r>
      <w:r>
        <w:rPr>
          <w:rFonts w:hint="eastAsia" w:ascii="仿宋_GB2312"/>
          <w:szCs w:val="32"/>
        </w:rPr>
        <w:t>重点领域安全监管，</w:t>
      </w:r>
      <w:r>
        <w:rPr>
          <w:rFonts w:hint="eastAsia" w:ascii="仿宋_GB2312"/>
          <w:bCs/>
          <w:szCs w:val="32"/>
        </w:rPr>
        <w:t>加强重点区域和路段的风险管控。积极开展“平安渡运”专项工程，逐年推进渡口基础设施标准化改造。建立跨区域、跨部门</w:t>
      </w:r>
      <w:r>
        <w:rPr>
          <w:rFonts w:ascii="仿宋_GB2312"/>
          <w:bCs/>
          <w:szCs w:val="32"/>
        </w:rPr>
        <w:t>应急联动机制</w:t>
      </w:r>
      <w:r>
        <w:rPr>
          <w:rFonts w:hint="eastAsia" w:ascii="仿宋_GB2312"/>
          <w:bCs/>
          <w:szCs w:val="32"/>
        </w:rPr>
        <w:t>及社会救援力量合作机制，建立市县公路交通应急装备物资储备中心和应急救援队伍。完善应急处置预案，</w:t>
      </w:r>
      <w:r>
        <w:rPr>
          <w:rFonts w:hint="eastAsia"/>
        </w:rPr>
        <w:t>建立交通监测预警体系和信息发布平台，加强对大型节假日、疫情防控等应急保障，做好交通组织管理、发展应急物流。</w:t>
      </w:r>
    </w:p>
    <w:p>
      <w:pPr>
        <w:pStyle w:val="2"/>
        <w:spacing w:after="0"/>
        <w:ind w:firstLine="643"/>
        <w:rPr>
          <w:rFonts w:ascii="黑体" w:hAnsi="黑体" w:eastAsia="黑体"/>
          <w:bCs/>
          <w:szCs w:val="32"/>
        </w:rPr>
      </w:pPr>
      <w:r>
        <w:rPr>
          <w:rFonts w:hint="eastAsia" w:eastAsia="楷体_GB2312"/>
          <w:b/>
          <w:bCs/>
          <w:szCs w:val="32"/>
        </w:rPr>
        <w:t>绿色交通。</w:t>
      </w:r>
      <w:r>
        <w:rPr>
          <w:rFonts w:hint="eastAsia" w:ascii="仿宋_GB2312"/>
          <w:bCs/>
          <w:szCs w:val="32"/>
        </w:rPr>
        <w:t>在“零碳交通”领域与成都城投集团开展务实合作，</w:t>
      </w:r>
      <w:r>
        <w:rPr>
          <w:rFonts w:hint="eastAsia"/>
        </w:rPr>
        <w:t>积极开展“公交都市”“绿色出行”等示范工程创建</w:t>
      </w:r>
      <w:r>
        <w:rPr>
          <w:rFonts w:hint="eastAsia" w:ascii="仿宋_GB2312"/>
          <w:bCs/>
          <w:szCs w:val="32"/>
        </w:rPr>
        <w:t>，加快推进公共服务领域的充电基础设施建设，持续提升新增及更新交通装备中高效低耗运力比重，大力支持多式联运、甩挂运输等高效运输方式发展，严格落实汽车排放检验与维护制度</w:t>
      </w:r>
      <w:r>
        <w:rPr>
          <w:bCs/>
          <w:szCs w:val="32"/>
        </w:rPr>
        <w:t>（I/M制</w:t>
      </w:r>
      <w:r>
        <w:rPr>
          <w:rFonts w:hint="eastAsia" w:ascii="仿宋_GB2312"/>
          <w:bCs/>
          <w:szCs w:val="32"/>
        </w:rPr>
        <w:t>度）。推广使用绿色环保施工材料</w:t>
      </w:r>
      <w:r>
        <w:rPr>
          <w:rFonts w:ascii="仿宋_GB2312"/>
          <w:bCs/>
          <w:szCs w:val="32"/>
        </w:rPr>
        <w:t>,</w:t>
      </w:r>
      <w:r>
        <w:rPr>
          <w:rFonts w:hint="eastAsia" w:ascii="仿宋_GB2312"/>
          <w:bCs/>
          <w:szCs w:val="32"/>
        </w:rPr>
        <w:t>落实生态保护和水土保持措施，打造绿色环保优质示范工程。</w:t>
      </w:r>
    </w:p>
    <w:p>
      <w:pPr>
        <w:adjustRightInd w:val="0"/>
        <w:snapToGrid w:val="0"/>
        <w:ind w:firstLine="643"/>
        <w:rPr>
          <w:rFonts w:ascii="仿宋_GB2312" w:cstheme="minorBidi"/>
          <w:bCs/>
          <w:szCs w:val="32"/>
        </w:rPr>
      </w:pPr>
      <w:r>
        <w:rPr>
          <w:rFonts w:hint="eastAsia" w:eastAsia="楷体_GB2312"/>
          <w:b/>
          <w:bCs/>
          <w:color w:val="000000" w:themeColor="text1"/>
          <w:szCs w:val="32"/>
          <w14:textFill>
            <w14:solidFill>
              <w14:schemeClr w14:val="tx1"/>
            </w14:solidFill>
          </w14:textFill>
        </w:rPr>
        <w:t>共享交通。</w:t>
      </w:r>
      <w:r>
        <w:rPr>
          <w:rFonts w:hint="eastAsia" w:ascii="仿宋_GB2312" w:cstheme="minorBidi"/>
          <w:bCs/>
          <w:szCs w:val="32"/>
        </w:rPr>
        <w:t>关注老年群体、弱势群体出行需求，加快无障碍交通基础设施建设改造，提高特殊人群出行便利程度和服务水平。</w:t>
      </w:r>
      <w:r>
        <w:rPr>
          <w:rFonts w:ascii="仿宋_GB2312" w:cstheme="minorBidi"/>
          <w:bCs/>
          <w:szCs w:val="32"/>
        </w:rPr>
        <w:t>注重个性</w:t>
      </w:r>
      <w:r>
        <w:rPr>
          <w:rFonts w:hint="eastAsia" w:ascii="仿宋_GB2312" w:cstheme="minorBidi"/>
          <w:bCs/>
          <w:szCs w:val="32"/>
        </w:rPr>
        <w:t>化出行</w:t>
      </w:r>
      <w:r>
        <w:rPr>
          <w:rFonts w:ascii="仿宋_GB2312" w:cstheme="minorBidi"/>
          <w:bCs/>
          <w:szCs w:val="32"/>
        </w:rPr>
        <w:t>服务</w:t>
      </w:r>
      <w:r>
        <w:rPr>
          <w:rFonts w:hint="eastAsia" w:ascii="仿宋_GB2312" w:cstheme="minorBidi"/>
          <w:bCs/>
          <w:szCs w:val="32"/>
        </w:rPr>
        <w:t>，</w:t>
      </w:r>
      <w:r>
        <w:rPr>
          <w:rFonts w:hint="eastAsia"/>
          <w:szCs w:val="22"/>
        </w:rPr>
        <w:t>规范</w:t>
      </w:r>
      <w:r>
        <w:rPr>
          <w:szCs w:val="22"/>
        </w:rPr>
        <w:t>引导巡游</w:t>
      </w:r>
      <w:r>
        <w:rPr>
          <w:rFonts w:hint="eastAsia"/>
          <w:szCs w:val="22"/>
        </w:rPr>
        <w:t>及</w:t>
      </w:r>
      <w:r>
        <w:rPr>
          <w:szCs w:val="22"/>
        </w:rPr>
        <w:t>网约</w:t>
      </w:r>
      <w:r>
        <w:rPr>
          <w:rFonts w:hint="eastAsia"/>
          <w:szCs w:val="22"/>
        </w:rPr>
        <w:t>出租</w:t>
      </w:r>
      <w:r>
        <w:rPr>
          <w:szCs w:val="22"/>
        </w:rPr>
        <w:t>车、共享汽车、</w:t>
      </w:r>
      <w:r>
        <w:rPr>
          <w:rFonts w:hint="eastAsia"/>
          <w:szCs w:val="22"/>
        </w:rPr>
        <w:t>共享单车</w:t>
      </w:r>
      <w:r>
        <w:rPr>
          <w:szCs w:val="22"/>
        </w:rPr>
        <w:t>等健康发展</w:t>
      </w:r>
      <w:r>
        <w:rPr>
          <w:rFonts w:hint="eastAsia"/>
          <w:szCs w:val="22"/>
        </w:rPr>
        <w:t>。</w:t>
      </w:r>
      <w:r>
        <w:rPr>
          <w:rFonts w:hint="eastAsia" w:cstheme="minorBidi"/>
          <w:szCs w:val="22"/>
        </w:rPr>
        <w:t>加快培育本地道路货运龙头示范企业并积极向多式联运经营人转变，</w:t>
      </w:r>
      <w:r>
        <w:rPr>
          <w:rFonts w:hint="eastAsia" w:ascii="仿宋_GB2312" w:cstheme="minorBidi"/>
          <w:bCs/>
          <w:szCs w:val="32"/>
        </w:rPr>
        <w:t>引导小微型货运企业成立联盟、大车队，规范无车承运人发展，</w:t>
      </w:r>
      <w:r>
        <w:rPr>
          <w:rFonts w:hint="eastAsia"/>
          <w:szCs w:val="22"/>
        </w:rPr>
        <w:t>积极发展</w:t>
      </w:r>
      <w:r>
        <w:rPr>
          <w:szCs w:val="22"/>
        </w:rPr>
        <w:t>共享物流、共同配送等模式</w:t>
      </w:r>
      <w:r>
        <w:rPr>
          <w:rFonts w:hint="eastAsia" w:ascii="仿宋_GB2312" w:cstheme="minorBidi"/>
          <w:bCs/>
          <w:szCs w:val="32"/>
        </w:rPr>
        <w:t>。</w:t>
      </w:r>
    </w:p>
    <w:tbl>
      <w:tblPr>
        <w:tblStyle w:val="21"/>
        <w:tblW w:w="4867"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bookmarkStart w:id="62" w:name="_Hlk72828787"/>
            <w:r>
              <w:rPr>
                <w:rFonts w:eastAsia="黑体"/>
                <w:bCs/>
                <w:color w:val="000000"/>
                <w:sz w:val="24"/>
              </w:rPr>
              <w:t>专栏</w:t>
            </w:r>
            <w:r>
              <w:rPr>
                <w:rFonts w:hint="eastAsia" w:eastAsia="黑体"/>
                <w:bCs/>
                <w:color w:val="000000"/>
                <w:sz w:val="24"/>
              </w:rPr>
              <w:t>1</w:t>
            </w:r>
            <w:r>
              <w:rPr>
                <w:rFonts w:eastAsia="黑体"/>
                <w:bCs/>
                <w:color w:val="000000"/>
                <w:sz w:val="24"/>
              </w:rPr>
              <w:t>9   资阳市“十四五”交通</w:t>
            </w:r>
            <w:r>
              <w:rPr>
                <w:rFonts w:hint="eastAsia" w:eastAsia="黑体"/>
                <w:bCs/>
                <w:color w:val="000000"/>
                <w:sz w:val="24"/>
              </w:rPr>
              <w:t>运输保障体系发展重点</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87" w:hRule="atLeast"/>
          <w:jc w:val="center"/>
        </w:trPr>
        <w:tc>
          <w:tcPr>
            <w:tcW w:w="5000" w:type="pct"/>
            <w:shd w:val="solid" w:color="FFFFFF" w:fill="auto"/>
            <w:noWrap/>
            <w:vAlign w:val="center"/>
          </w:tcPr>
          <w:p>
            <w:pPr>
              <w:adjustRightInd w:val="0"/>
              <w:snapToGrid w:val="0"/>
              <w:ind w:firstLine="480"/>
              <w:rPr>
                <w:sz w:val="24"/>
              </w:rPr>
            </w:pPr>
            <w:bookmarkStart w:id="63" w:name="_Hlk71288511"/>
            <w:r>
              <w:rPr>
                <w:rFonts w:hint="eastAsia" w:eastAsia="黑体"/>
                <w:bCs/>
                <w:color w:val="000000"/>
                <w:sz w:val="24"/>
              </w:rPr>
              <w:t>公路交通应急装备物资储备中心</w:t>
            </w:r>
            <w:bookmarkEnd w:id="63"/>
            <w:r>
              <w:rPr>
                <w:rFonts w:hint="eastAsia"/>
                <w:sz w:val="24"/>
              </w:rPr>
              <w:t>：完成市级储备中心（与养护与应急保通中心联合布设）基础设施建设及装备物资储备，建立装备物资出入库、调拨使用、更新报废，应急队伍组建以及培训演练等运行管理制度体系，推进信息化建设，提高运行管理效率，指导区县筹建县级储备中心。</w:t>
            </w:r>
          </w:p>
          <w:p>
            <w:pPr>
              <w:adjustRightInd w:val="0"/>
              <w:snapToGrid w:val="0"/>
              <w:ind w:firstLine="480"/>
              <w:rPr>
                <w:sz w:val="24"/>
              </w:rPr>
            </w:pPr>
            <w:r>
              <w:rPr>
                <w:rFonts w:hint="eastAsia" w:eastAsia="黑体"/>
                <w:bCs/>
                <w:color w:val="000000"/>
                <w:sz w:val="24"/>
              </w:rPr>
              <w:t>高速公路服务区充电站</w:t>
            </w:r>
            <w:r>
              <w:rPr>
                <w:rFonts w:hint="eastAsia"/>
                <w:sz w:val="24"/>
              </w:rPr>
              <w:t>：2</w:t>
            </w:r>
            <w:r>
              <w:rPr>
                <w:sz w:val="24"/>
              </w:rPr>
              <w:t>021</w:t>
            </w:r>
            <w:r>
              <w:rPr>
                <w:rFonts w:hint="eastAsia"/>
                <w:sz w:val="24"/>
              </w:rPr>
              <w:t>年沿成安渝高速安岳和乐至服务区各新增充电桩8个、电动汽车专用停车位数1</w:t>
            </w:r>
            <w:r>
              <w:rPr>
                <w:sz w:val="24"/>
              </w:rPr>
              <w:t>6</w:t>
            </w:r>
            <w:r>
              <w:rPr>
                <w:rFonts w:hint="eastAsia"/>
                <w:sz w:val="24"/>
              </w:rPr>
              <w:t>个，2</w:t>
            </w:r>
            <w:r>
              <w:rPr>
                <w:sz w:val="24"/>
              </w:rPr>
              <w:t>022</w:t>
            </w:r>
            <w:r>
              <w:rPr>
                <w:rFonts w:hint="eastAsia"/>
                <w:sz w:val="24"/>
              </w:rPr>
              <w:t>年沿成渝高速资阳服务区、内遂高速安岳服务区各新增充电桩8个、电动汽车专用停车位数1</w:t>
            </w:r>
            <w:r>
              <w:rPr>
                <w:sz w:val="24"/>
              </w:rPr>
              <w:t>6</w:t>
            </w:r>
            <w:r>
              <w:rPr>
                <w:rFonts w:hint="eastAsia"/>
                <w:sz w:val="24"/>
              </w:rPr>
              <w:t>个；2</w:t>
            </w:r>
            <w:r>
              <w:rPr>
                <w:sz w:val="24"/>
              </w:rPr>
              <w:t>023</w:t>
            </w:r>
            <w:r>
              <w:rPr>
                <w:rFonts w:hint="eastAsia"/>
                <w:sz w:val="24"/>
              </w:rPr>
              <w:t>年沿遂资眉高速资阳西服务区和乐至服务区各新增充电桩8个、电动汽车专用停车位数1</w:t>
            </w:r>
            <w:r>
              <w:rPr>
                <w:sz w:val="24"/>
              </w:rPr>
              <w:t>6</w:t>
            </w:r>
            <w:r>
              <w:rPr>
                <w:rFonts w:hint="eastAsia"/>
                <w:sz w:val="24"/>
              </w:rPr>
              <w:t>个。</w:t>
            </w:r>
          </w:p>
          <w:p>
            <w:pPr>
              <w:pStyle w:val="2"/>
              <w:spacing w:after="0"/>
              <w:ind w:firstLine="480"/>
              <w:rPr>
                <w:rFonts w:eastAsia="黑体"/>
                <w:bCs/>
                <w:color w:val="000000"/>
                <w:sz w:val="24"/>
              </w:rPr>
            </w:pPr>
            <w:r>
              <w:rPr>
                <w:rFonts w:hint="eastAsia" w:eastAsia="黑体"/>
                <w:bCs/>
                <w:color w:val="000000"/>
                <w:sz w:val="24"/>
              </w:rPr>
              <w:t>无障碍服务设施建设：</w:t>
            </w:r>
            <w:r>
              <w:rPr>
                <w:rFonts w:hint="eastAsia"/>
                <w:sz w:val="24"/>
              </w:rPr>
              <w:t>积极推动“一键叫车”服务，鼓励在医院、养老院等场所设置出租车候客点、临时停靠点，积极发展低地板公交，建造优质步行空间。加快推进主要客运站场引导标志、无障碍通道、低位售票窗口等设施改造，着力提升客运站场人工服务质量。</w:t>
            </w:r>
          </w:p>
        </w:tc>
      </w:tr>
      <w:bookmarkEnd w:id="62"/>
    </w:tbl>
    <w:p>
      <w:pPr>
        <w:pStyle w:val="5"/>
        <w:keepNext w:val="0"/>
        <w:keepLines w:val="0"/>
        <w:adjustRightInd w:val="0"/>
        <w:snapToGrid w:val="0"/>
        <w:spacing w:before="0" w:after="0" w:line="360" w:lineRule="auto"/>
        <w:ind w:firstLine="643"/>
        <w:rPr>
          <w:rFonts w:ascii="仿宋_GB2312"/>
          <w:b w:val="0"/>
          <w:bCs w:val="0"/>
        </w:rPr>
      </w:pPr>
      <w:bookmarkStart w:id="64" w:name="_Toc72864744"/>
      <w:r>
        <w:rPr>
          <w:rFonts w:hint="eastAsia" w:ascii="Times New Roman" w:hAnsi="Times New Roman" w:eastAsia="楷体_GB2312" w:cs="Times New Roman"/>
        </w:rPr>
        <w:t>（六）加强行业治理体系和治理能力建设</w:t>
      </w:r>
      <w:bookmarkEnd w:id="64"/>
    </w:p>
    <w:p>
      <w:pPr>
        <w:pStyle w:val="2"/>
        <w:spacing w:after="0"/>
        <w:ind w:firstLine="643"/>
        <w:rPr>
          <w:rFonts w:eastAsia="楷体_GB2312"/>
          <w:b/>
          <w:bCs/>
          <w:szCs w:val="32"/>
        </w:rPr>
      </w:pPr>
      <w:r>
        <w:rPr>
          <w:rFonts w:hint="eastAsia" w:eastAsia="楷体_GB2312"/>
          <w:b/>
          <w:bCs/>
          <w:szCs w:val="32"/>
        </w:rPr>
        <w:t>养护管理。</w:t>
      </w:r>
      <w:r>
        <w:rPr>
          <w:rFonts w:hint="eastAsia" w:ascii="仿宋_GB2312"/>
          <w:bCs/>
          <w:szCs w:val="32"/>
        </w:rPr>
        <w:t>落实深化农村公路管理养护体制改革重点任务，构建“市级督导、县为主体、分级管理、镇村尽责、群众参与”的管养体制，完善养护资金</w:t>
      </w:r>
      <w:r>
        <w:rPr>
          <w:rFonts w:ascii="仿宋_GB2312"/>
          <w:bCs/>
          <w:szCs w:val="32"/>
        </w:rPr>
        <w:t>支持政策和</w:t>
      </w:r>
      <w:r>
        <w:rPr>
          <w:rFonts w:hint="eastAsia" w:ascii="仿宋_GB2312"/>
          <w:bCs/>
          <w:szCs w:val="32"/>
        </w:rPr>
        <w:t>绩效考核评价体系，推进养护站点建设、建立路产路权保护队伍、加强安全和应急管理、强化科技手段应用</w:t>
      </w:r>
      <w:r>
        <w:rPr>
          <w:rFonts w:hint="eastAsia" w:eastAsia="楷体_GB2312"/>
          <w:b/>
          <w:bCs/>
          <w:szCs w:val="32"/>
        </w:rPr>
        <w:t>。</w:t>
      </w:r>
      <w:r>
        <w:rPr>
          <w:rFonts w:hint="eastAsia" w:ascii="仿宋_GB2312"/>
          <w:bCs/>
          <w:szCs w:val="32"/>
        </w:rPr>
        <w:t>加强养护巡查和日常养护，强化预防性养护，储备应急养护，合理安排大中修工程、路网结构改造工程和服务设施建设。</w:t>
      </w:r>
    </w:p>
    <w:tbl>
      <w:tblPr>
        <w:tblStyle w:val="21"/>
        <w:tblW w:w="5000"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r>
              <w:rPr>
                <w:rFonts w:eastAsia="黑体"/>
                <w:bCs/>
                <w:color w:val="000000"/>
                <w:sz w:val="24"/>
              </w:rPr>
              <w:t>专栏</w:t>
            </w:r>
            <w:r>
              <w:rPr>
                <w:rFonts w:hint="eastAsia" w:eastAsia="黑体"/>
                <w:bCs/>
                <w:color w:val="000000"/>
                <w:sz w:val="24"/>
              </w:rPr>
              <w:t>2</w:t>
            </w:r>
            <w:r>
              <w:rPr>
                <w:rFonts w:eastAsia="黑体"/>
                <w:bCs/>
                <w:color w:val="000000"/>
                <w:sz w:val="24"/>
              </w:rPr>
              <w:t>0   资阳市“十四五”</w:t>
            </w:r>
            <w:r>
              <w:rPr>
                <w:rFonts w:hint="eastAsia" w:eastAsia="黑体"/>
                <w:bCs/>
                <w:color w:val="000000"/>
                <w:sz w:val="24"/>
              </w:rPr>
              <w:t>养护管理工作重点</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319" w:hRule="atLeast"/>
          <w:jc w:val="center"/>
        </w:trPr>
        <w:tc>
          <w:tcPr>
            <w:tcW w:w="5000" w:type="pct"/>
            <w:shd w:val="solid" w:color="FFFFFF" w:fill="auto"/>
            <w:noWrap/>
            <w:vAlign w:val="center"/>
          </w:tcPr>
          <w:p>
            <w:pPr>
              <w:adjustRightInd w:val="0"/>
              <w:snapToGrid w:val="0"/>
              <w:ind w:firstLine="480"/>
              <w:rPr>
                <w:bCs/>
                <w:color w:val="000000"/>
                <w:sz w:val="24"/>
              </w:rPr>
            </w:pPr>
            <w:r>
              <w:rPr>
                <w:rFonts w:hint="eastAsia" w:eastAsia="黑体"/>
                <w:bCs/>
                <w:color w:val="000000"/>
                <w:sz w:val="24"/>
              </w:rPr>
              <w:t>公路养护工程</w:t>
            </w:r>
          </w:p>
          <w:p>
            <w:pPr>
              <w:adjustRightInd w:val="0"/>
              <w:snapToGrid w:val="0"/>
              <w:ind w:firstLine="480"/>
              <w:rPr>
                <w:sz w:val="24"/>
              </w:rPr>
            </w:pPr>
            <w:r>
              <w:rPr>
                <w:sz w:val="24"/>
              </w:rPr>
              <w:t>实施普通国省道预防性养护#公里、大中修工程#公里，农村公路预防性养护#公里、大中修工程#，建设#个县级养护和应急保通中心，新改建#个乡镇养护管理站，完成国省道病危桥整治#座、农村公路病危桥整治#座，实施公路安全生命防护工程#公里，建设#个普通</w:t>
            </w:r>
            <w:r>
              <w:rPr>
                <w:rFonts w:hint="eastAsia"/>
                <w:sz w:val="24"/>
              </w:rPr>
              <w:t>干线公路</w:t>
            </w:r>
            <w:r>
              <w:rPr>
                <w:sz w:val="24"/>
              </w:rPr>
              <w:t>服务区、#个超限检测站，推动超限检测站（国家Ⅱ类及以上）与服务区同步规划、设计、建设</w:t>
            </w:r>
            <w:r>
              <w:rPr>
                <w:rFonts w:hint="eastAsia"/>
                <w:sz w:val="24"/>
              </w:rPr>
              <w:t>，</w:t>
            </w:r>
            <w:r>
              <w:rPr>
                <w:sz w:val="24"/>
              </w:rPr>
              <w:t>完善农村公路限宽限高保护设施</w:t>
            </w:r>
            <w:r>
              <w:rPr>
                <w:rFonts w:hint="eastAsia"/>
                <w:sz w:val="24"/>
              </w:rPr>
              <w:t>。</w:t>
            </w:r>
          </w:p>
          <w:p>
            <w:pPr>
              <w:adjustRightInd w:val="0"/>
              <w:snapToGrid w:val="0"/>
              <w:ind w:firstLine="480"/>
              <w:rPr>
                <w:rFonts w:eastAsia="黑体"/>
                <w:bCs/>
                <w:color w:val="000000"/>
                <w:sz w:val="24"/>
              </w:rPr>
            </w:pPr>
            <w:r>
              <w:rPr>
                <w:rFonts w:hint="eastAsia" w:eastAsia="黑体"/>
                <w:bCs/>
                <w:color w:val="000000"/>
                <w:sz w:val="24"/>
              </w:rPr>
              <w:t>管养能力建设</w:t>
            </w:r>
          </w:p>
          <w:p>
            <w:pPr>
              <w:adjustRightInd w:val="0"/>
              <w:snapToGrid w:val="0"/>
              <w:ind w:firstLine="480"/>
              <w:rPr>
                <w:rFonts w:eastAsia="黑体"/>
                <w:bCs/>
                <w:color w:val="000000"/>
                <w:sz w:val="24"/>
              </w:rPr>
            </w:pPr>
            <w:r>
              <w:rPr>
                <w:rFonts w:hint="eastAsia"/>
                <w:sz w:val="24"/>
              </w:rPr>
              <w:t>分类推进养护市场化改革，鼓励将干线公路建设养护与农村公路捆绑招标，对大中修、灾毁抢修、应急保通等专业性工程交由专业养护队伍承担，探索推进农村公路日常养护市场化，鼓励通过分段承包、定额包干等办法，吸收沿线群众参与农村公路的日常保洁、绿化等非专业项目。</w:t>
            </w:r>
          </w:p>
          <w:p>
            <w:pPr>
              <w:pStyle w:val="2"/>
              <w:spacing w:after="0"/>
              <w:ind w:firstLine="480"/>
              <w:rPr>
                <w:sz w:val="24"/>
              </w:rPr>
            </w:pPr>
            <w:r>
              <w:rPr>
                <w:rFonts w:hint="eastAsia"/>
                <w:sz w:val="24"/>
              </w:rPr>
              <w:t>积极推进信息化建设，强化公路日常养护信息管理系统应用，建立完善农村公路统计监测体系和综合数据平台，通过信息化平台进行绩效管理和考核评估，提升养护科学决策水平。着力推广治超不停车检测系统。</w:t>
            </w:r>
          </w:p>
          <w:p>
            <w:pPr>
              <w:pStyle w:val="2"/>
              <w:spacing w:after="0"/>
              <w:ind w:firstLine="480"/>
              <w:rPr>
                <w:sz w:val="24"/>
              </w:rPr>
            </w:pPr>
            <w:r>
              <w:rPr>
                <w:rFonts w:hint="eastAsia"/>
                <w:sz w:val="24"/>
              </w:rPr>
              <w:t>开展“幸福美丽乡村路”创建，坚持“实、安、绿、美、融”方向，大力提升农村公路路域环境，全面开展“美丽农村路”创建工作，在“一县一品牌”基础上，努力形成镇镇有美丽农村路的格局。</w:t>
            </w:r>
          </w:p>
        </w:tc>
      </w:tr>
    </w:tbl>
    <w:p>
      <w:pPr>
        <w:pStyle w:val="2"/>
        <w:spacing w:after="0"/>
        <w:ind w:firstLine="643"/>
        <w:rPr>
          <w:rFonts w:ascii="仿宋_GB2312"/>
          <w:szCs w:val="32"/>
        </w:rPr>
      </w:pPr>
      <w:r>
        <w:rPr>
          <w:rFonts w:hint="eastAsia" w:eastAsia="楷体_GB2312"/>
          <w:b/>
          <w:bCs/>
          <w:szCs w:val="32"/>
        </w:rPr>
        <w:t>法制交通。</w:t>
      </w:r>
      <w:r>
        <w:rPr>
          <w:rFonts w:hint="eastAsia" w:ascii="仿宋_GB2312"/>
          <w:szCs w:val="32"/>
        </w:rPr>
        <w:t>有序开展行业法规制度清理和后评估工作，突出空白领域和薄弱环节立法，促进省市交通及市级部门间立法协调，为优化行业营商环境创造法制条件。深化执法模式改革，落实市县“局队合一”综合执法改革要求，指导推进乡镇综合执法改革，努力</w:t>
      </w:r>
      <w:r>
        <w:rPr>
          <w:rFonts w:hint="eastAsia"/>
          <w:color w:val="000000" w:themeColor="text1"/>
          <w:szCs w:val="32"/>
          <w14:textFill>
            <w14:solidFill>
              <w14:schemeClr w14:val="tx1"/>
            </w14:solidFill>
          </w14:textFill>
        </w:rPr>
        <w:t>在</w:t>
      </w:r>
      <w:r>
        <w:rPr>
          <w:rFonts w:hint="eastAsia"/>
        </w:rPr>
        <w:t>市场行为监管、交通应急管理、交通污染防治等领域与毗邻地区形成有效执法联动。</w:t>
      </w:r>
      <w:r>
        <w:rPr>
          <w:rFonts w:hint="eastAsia" w:ascii="仿宋_GB2312"/>
          <w:szCs w:val="32"/>
        </w:rPr>
        <w:t>推进交通运输“四基四化”建设，强化行政执法“三项制度”落实，提升移动执法、非现场执法规范性。</w:t>
      </w:r>
    </w:p>
    <w:p>
      <w:pPr>
        <w:pStyle w:val="2"/>
        <w:spacing w:after="0"/>
        <w:ind w:firstLine="643"/>
        <w:rPr>
          <w:rFonts w:ascii="仿宋_GB2312"/>
          <w:szCs w:val="32"/>
        </w:rPr>
      </w:pPr>
      <w:r>
        <w:rPr>
          <w:rFonts w:hint="eastAsia" w:eastAsia="楷体_GB2312"/>
          <w:b/>
          <w:bCs/>
          <w:szCs w:val="32"/>
        </w:rPr>
        <w:t>体制创新。</w:t>
      </w:r>
      <w:r>
        <w:rPr>
          <w:rFonts w:hint="eastAsia" w:ascii="仿宋_GB2312"/>
          <w:szCs w:val="32"/>
        </w:rPr>
        <w:t>落实“大交通”管理体制改革要求，促进各运输方式统筹发展。</w:t>
      </w:r>
      <w:r>
        <w:rPr>
          <w:rFonts w:ascii="仿宋_GB2312"/>
          <w:szCs w:val="32"/>
        </w:rPr>
        <w:t>探索</w:t>
      </w:r>
      <w:r>
        <w:rPr>
          <w:rFonts w:hint="eastAsia" w:ascii="仿宋_GB2312"/>
          <w:szCs w:val="32"/>
        </w:rPr>
        <w:t>推进交通运输行政审批跨市域“无差别化”受理，推进成资、资渝间跨市（省）重点项目同步同标，推进毗邻地区公共交通运营补助标准和支持政策等协同配套。深化行政审批制度改革，加大“直接取消审批”“实行告知承诺”“优化审批服务”三种改革方式应用力度。强化事中事后监管，全面构建以“双随机、一公开”监管为基础，以重点监管为补充，以信用监管为核心的新型监管体制。</w:t>
      </w:r>
    </w:p>
    <w:p>
      <w:pPr>
        <w:pStyle w:val="5"/>
        <w:keepNext w:val="0"/>
        <w:keepLines w:val="0"/>
        <w:adjustRightInd w:val="0"/>
        <w:snapToGrid w:val="0"/>
        <w:spacing w:before="0" w:after="0" w:line="360" w:lineRule="auto"/>
        <w:ind w:firstLine="643"/>
        <w:rPr>
          <w:rFonts w:ascii="Times New Roman" w:hAnsi="Times New Roman" w:eastAsia="楷体_GB2312" w:cs="Times New Roman"/>
        </w:rPr>
      </w:pPr>
      <w:bookmarkStart w:id="65" w:name="_Toc72864745"/>
      <w:r>
        <w:rPr>
          <w:rFonts w:hint="eastAsia" w:ascii="Times New Roman" w:hAnsi="Times New Roman" w:eastAsia="楷体_GB2312" w:cs="Times New Roman"/>
        </w:rPr>
        <w:t>（七）推进高水平交通强市建设走在前列</w:t>
      </w:r>
      <w:bookmarkEnd w:id="65"/>
    </w:p>
    <w:p>
      <w:pPr>
        <w:ind w:firstLine="640"/>
      </w:pPr>
      <w:r>
        <w:rPr>
          <w:rFonts w:hint="eastAsia"/>
        </w:rPr>
        <w:t>高质量完成“构建成渝地区双城经济圈一体化交通网”试点任务，努力探索形成符合资阳实际、体现资阳特色、展现资阳智慧的交通强省“资阳模式”。</w:t>
      </w:r>
    </w:p>
    <w:p>
      <w:pPr>
        <w:ind w:firstLine="643"/>
        <w:rPr>
          <w:szCs w:val="32"/>
        </w:rPr>
      </w:pPr>
      <w:r>
        <w:rPr>
          <w:rFonts w:eastAsia="楷体_GB2312"/>
          <w:b/>
          <w:bCs/>
          <w:szCs w:val="32"/>
        </w:rPr>
        <w:t>打造都市圈交通同城同网样板。</w:t>
      </w:r>
      <w:r>
        <w:rPr>
          <w:szCs w:val="32"/>
        </w:rPr>
        <w:t>重点</w:t>
      </w:r>
      <w:r>
        <w:rPr>
          <w:rFonts w:hint="eastAsia"/>
          <w:szCs w:val="32"/>
        </w:rPr>
        <w:t>打造</w:t>
      </w:r>
      <w:r>
        <w:rPr>
          <w:szCs w:val="32"/>
        </w:rPr>
        <w:t>“轨道上的城市”，推进铁路公交化运营，加快形成以轨道交通、高快速公路为骨干的成资1小时通勤交通网。</w:t>
      </w:r>
    </w:p>
    <w:p>
      <w:pPr>
        <w:ind w:firstLine="643"/>
        <w:rPr>
          <w:szCs w:val="32"/>
        </w:rPr>
      </w:pPr>
      <w:r>
        <w:rPr>
          <w:rFonts w:hint="eastAsia" w:eastAsia="楷体_GB2312"/>
          <w:b/>
          <w:bCs/>
          <w:szCs w:val="32"/>
        </w:rPr>
        <w:t>打造资阳大足共建巴蜀文旅走廊样板。</w:t>
      </w:r>
      <w:r>
        <w:rPr>
          <w:rFonts w:hint="eastAsia"/>
          <w:szCs w:val="32"/>
        </w:rPr>
        <w:t>重点推进资阳—大足旅游风景廊道建设，打造巴蜀石刻艺术文化精品旅游线路，建设一批旅游示范线公路，拓展和提升交通设施旅游服务功能。</w:t>
      </w:r>
    </w:p>
    <w:p>
      <w:pPr>
        <w:ind w:firstLine="643"/>
        <w:rPr>
          <w:szCs w:val="32"/>
        </w:rPr>
      </w:pPr>
      <w:r>
        <w:rPr>
          <w:rFonts w:hint="eastAsia" w:eastAsia="楷体_GB2312"/>
          <w:b/>
          <w:bCs/>
          <w:szCs w:val="32"/>
        </w:rPr>
        <w:t>打造成资共建国际航空门户枢纽样板。</w:t>
      </w:r>
      <w:r>
        <w:rPr>
          <w:rFonts w:hint="eastAsia"/>
          <w:szCs w:val="32"/>
        </w:rPr>
        <w:t>重点强化资阳联系成都两大国际机场的集疏运通道建设，大力发展航空维修及培训等相关产业，推动航空物流在资中转、名优产品外销，打造成渝最大的客运中转换乘和物流集散中心。</w:t>
      </w:r>
    </w:p>
    <w:p>
      <w:pPr>
        <w:ind w:firstLine="643"/>
      </w:pPr>
      <w:r>
        <w:rPr>
          <w:rFonts w:hint="eastAsia" w:eastAsia="楷体_GB2312"/>
          <w:b/>
          <w:bCs/>
          <w:szCs w:val="32"/>
        </w:rPr>
        <w:t>打造交通装备制造产业集群发展样板。</w:t>
      </w:r>
      <w:r>
        <w:rPr>
          <w:rFonts w:hint="eastAsia"/>
        </w:rPr>
        <w:t>重点推进轨道交通装备和商用、专用汽车整车及零部件等产业发展，积极引进智能物流装备、新能源汽车核心零部件等产业链上下游企业，建设新能源汽车、轨道交通装备、通用航空等产业基地。</w:t>
      </w:r>
    </w:p>
    <w:p>
      <w:pPr>
        <w:ind w:firstLine="643"/>
      </w:pPr>
      <w:r>
        <w:rPr>
          <w:rFonts w:hint="eastAsia" w:eastAsia="楷体_GB2312"/>
          <w:b/>
          <w:bCs/>
          <w:szCs w:val="32"/>
        </w:rPr>
        <w:t>打造交通服务乡村振兴发展样板。</w:t>
      </w:r>
      <w:r>
        <w:rPr>
          <w:rFonts w:hint="eastAsia"/>
        </w:rPr>
        <w:t>重点提升农村公路质量和安全水平，推进路景融合的“幸福美丽乡村路”建设，推进农村公路与特色小镇、产业基地、旅游景区、乡村旅游等组合开发，探索农村公路“+特色产业”“+乡村旅游”“+电商物流”等富民新模式。</w:t>
      </w:r>
    </w:p>
    <w:tbl>
      <w:tblPr>
        <w:tblStyle w:val="21"/>
        <w:tblW w:w="4917" w:type="pct"/>
        <w:jc w:val="center"/>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shd w:val="solid" w:color="FFFFFF" w:fill="auto"/>
          <w:tblCellMar>
            <w:top w:w="0" w:type="dxa"/>
            <w:left w:w="108" w:type="dxa"/>
            <w:bottom w:w="0" w:type="dxa"/>
            <w:right w:w="108" w:type="dxa"/>
          </w:tblCellMar>
        </w:tblPrEx>
        <w:trPr>
          <w:trHeight w:val="567" w:hRule="atLeast"/>
          <w:tblHeader/>
          <w:jc w:val="center"/>
        </w:trPr>
        <w:tc>
          <w:tcPr>
            <w:tcW w:w="5000" w:type="pct"/>
            <w:shd w:val="solid" w:color="FFFFFF" w:fill="auto"/>
            <w:noWrap/>
            <w:vAlign w:val="bottom"/>
          </w:tcPr>
          <w:p>
            <w:pPr>
              <w:adjustRightInd w:val="0"/>
              <w:snapToGrid w:val="0"/>
              <w:ind w:firstLine="0" w:firstLineChars="0"/>
              <w:jc w:val="center"/>
              <w:rPr>
                <w:rFonts w:eastAsia="黑体"/>
                <w:bCs/>
                <w:color w:val="FFFFFF"/>
                <w:kern w:val="0"/>
                <w:sz w:val="24"/>
              </w:rPr>
            </w:pPr>
            <w:bookmarkStart w:id="66" w:name="_Hlk72846323"/>
            <w:r>
              <w:rPr>
                <w:rFonts w:eastAsia="黑体"/>
                <w:bCs/>
                <w:color w:val="000000"/>
                <w:sz w:val="24"/>
              </w:rPr>
              <w:t>专栏2</w:t>
            </w:r>
            <w:bookmarkEnd w:id="66"/>
            <w:r>
              <w:rPr>
                <w:rFonts w:eastAsia="黑体"/>
                <w:bCs/>
                <w:color w:val="000000"/>
                <w:sz w:val="24"/>
              </w:rPr>
              <w:t xml:space="preserve">1   </w:t>
            </w:r>
            <w:r>
              <w:rPr>
                <w:rFonts w:hint="eastAsia" w:eastAsia="黑体"/>
                <w:bCs/>
                <w:color w:val="000000"/>
                <w:sz w:val="24"/>
              </w:rPr>
              <w:t>“构建成渝地区双城经济圈一体化交通网”资阳市主要试点任务</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5000" w:type="pct"/>
            <w:shd w:val="solid" w:color="FFFFFF" w:fill="auto"/>
            <w:noWrap/>
            <w:vAlign w:val="center"/>
          </w:tcPr>
          <w:p>
            <w:pPr>
              <w:adjustRightInd w:val="0"/>
              <w:snapToGrid w:val="0"/>
              <w:ind w:firstLine="480"/>
              <w:rPr>
                <w:sz w:val="24"/>
              </w:rPr>
            </w:pPr>
            <w:r>
              <w:rPr>
                <w:rFonts w:hint="eastAsia"/>
                <w:sz w:val="24"/>
              </w:rPr>
              <w:t>配合编制成渝地区双城经济圈总体纲要交通专项规划，建设成渝中线铁路、成资临空大道、资中经安岳至铜梁高速、成渝扩容高速等重点项目，推动资渝交界区开行跨省公交，依托成渝高速扩容推动智慧高速建设。</w:t>
            </w:r>
          </w:p>
        </w:tc>
      </w:tr>
    </w:tbl>
    <w:p>
      <w:pPr>
        <w:pStyle w:val="4"/>
        <w:keepNext w:val="0"/>
        <w:keepLines w:val="0"/>
        <w:adjustRightInd w:val="0"/>
        <w:snapToGrid w:val="0"/>
        <w:spacing w:before="0" w:after="0" w:line="360" w:lineRule="auto"/>
        <w:ind w:firstLine="643"/>
        <w:rPr>
          <w:rFonts w:eastAsia="黑体" w:cs="Times New Roman"/>
        </w:rPr>
      </w:pPr>
      <w:bookmarkStart w:id="67" w:name="_Toc44228340"/>
      <w:bookmarkStart w:id="68" w:name="_Toc72864746"/>
      <w:r>
        <w:rPr>
          <w:rFonts w:eastAsia="黑体" w:cs="Times New Roman"/>
        </w:rPr>
        <w:br w:type="page"/>
      </w:r>
    </w:p>
    <w:p>
      <w:pPr>
        <w:pStyle w:val="4"/>
        <w:keepNext w:val="0"/>
        <w:keepLines w:val="0"/>
        <w:adjustRightInd w:val="0"/>
        <w:snapToGrid w:val="0"/>
        <w:spacing w:before="0" w:after="0" w:line="360" w:lineRule="auto"/>
        <w:ind w:firstLine="643"/>
        <w:rPr>
          <w:rFonts w:eastAsia="黑体" w:cs="Times New Roman"/>
        </w:rPr>
      </w:pPr>
      <w:r>
        <w:rPr>
          <w:rFonts w:hint="eastAsia" w:eastAsia="黑体" w:cs="Times New Roman"/>
        </w:rPr>
        <w:t>六、资金需求</w:t>
      </w:r>
      <w:bookmarkEnd w:id="67"/>
      <w:bookmarkEnd w:id="68"/>
    </w:p>
    <w:p>
      <w:pPr>
        <w:overflowPunct w:val="0"/>
        <w:ind w:firstLine="640"/>
        <w:rPr>
          <w:szCs w:val="32"/>
        </w:rPr>
      </w:pPr>
      <w:bookmarkStart w:id="69" w:name="_Hlk54031728"/>
      <w:r>
        <w:rPr>
          <w:szCs w:val="32"/>
        </w:rPr>
        <w:t>“十四五”资阳综合交通建设规划投资1132.2亿元</w:t>
      </w:r>
      <w:r>
        <w:rPr>
          <w:rFonts w:hint="eastAsia"/>
          <w:szCs w:val="32"/>
        </w:rPr>
        <w:t>（含储备项目）</w:t>
      </w:r>
      <w:r>
        <w:rPr>
          <w:szCs w:val="32"/>
        </w:rPr>
        <w:t>，其中铁路建设投资415</w:t>
      </w:r>
      <w:r>
        <w:rPr>
          <w:rFonts w:hint="eastAsia"/>
          <w:szCs w:val="32"/>
        </w:rPr>
        <w:t>.</w:t>
      </w:r>
      <w:r>
        <w:rPr>
          <w:szCs w:val="32"/>
        </w:rPr>
        <w:t>6亿元，公路建设投资</w:t>
      </w:r>
      <w:r>
        <w:rPr>
          <w:rFonts w:hint="eastAsia"/>
          <w:szCs w:val="32"/>
        </w:rPr>
        <w:t>6</w:t>
      </w:r>
      <w:r>
        <w:rPr>
          <w:szCs w:val="32"/>
        </w:rPr>
        <w:t>48.7亿元，水运建设投资</w:t>
      </w:r>
      <w:r>
        <w:rPr>
          <w:rFonts w:hint="eastAsia"/>
          <w:szCs w:val="32"/>
        </w:rPr>
        <w:t>3</w:t>
      </w:r>
      <w:r>
        <w:rPr>
          <w:szCs w:val="32"/>
        </w:rPr>
        <w:t>.8亿元，航空建设投资</w:t>
      </w:r>
      <w:r>
        <w:rPr>
          <w:rFonts w:hint="eastAsia"/>
          <w:szCs w:val="32"/>
        </w:rPr>
        <w:t>0</w:t>
      </w:r>
      <w:r>
        <w:rPr>
          <w:szCs w:val="32"/>
        </w:rPr>
        <w:t>.5亿元，枢纽及站场建设投资</w:t>
      </w:r>
      <w:r>
        <w:rPr>
          <w:rFonts w:hint="eastAsia"/>
          <w:szCs w:val="32"/>
        </w:rPr>
        <w:t>6</w:t>
      </w:r>
      <w:r>
        <w:rPr>
          <w:szCs w:val="32"/>
        </w:rPr>
        <w:t>3.6亿元。</w:t>
      </w:r>
    </w:p>
    <w:tbl>
      <w:tblPr>
        <w:tblStyle w:val="52"/>
        <w:tblW w:w="864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Layout w:type="autofit"/>
        <w:tblCellMar>
          <w:top w:w="0" w:type="dxa"/>
          <w:left w:w="108" w:type="dxa"/>
          <w:bottom w:w="0" w:type="dxa"/>
          <w:right w:w="108" w:type="dxa"/>
        </w:tblCellMar>
      </w:tblPr>
      <w:tblGrid>
        <w:gridCol w:w="1067"/>
        <w:gridCol w:w="1158"/>
        <w:gridCol w:w="1177"/>
        <w:gridCol w:w="1843"/>
        <w:gridCol w:w="33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567" w:hRule="atLeast"/>
          <w:tblHeader/>
          <w:jc w:val="center"/>
        </w:trPr>
        <w:tc>
          <w:tcPr>
            <w:tcW w:w="8642" w:type="dxa"/>
            <w:gridSpan w:val="5"/>
            <w:shd w:val="clear" w:color="auto" w:fill="FFFFFF"/>
            <w:vAlign w:val="center"/>
          </w:tcPr>
          <w:p>
            <w:pPr>
              <w:widowControl/>
              <w:spacing w:line="240" w:lineRule="auto"/>
              <w:ind w:firstLine="640" w:firstLineChars="0"/>
              <w:jc w:val="center"/>
              <w:rPr>
                <w:rFonts w:ascii="黑体" w:hAnsi="黑体" w:eastAsia="黑体"/>
                <w:bCs/>
                <w:color w:val="000000"/>
                <w:kern w:val="0"/>
                <w:sz w:val="21"/>
                <w:szCs w:val="21"/>
              </w:rPr>
            </w:pPr>
            <w:r>
              <w:rPr>
                <w:rFonts w:hint="eastAsia" w:eastAsia="黑体"/>
                <w:bCs/>
                <w:color w:val="000000"/>
                <w:sz w:val="24"/>
              </w:rPr>
              <w:t>专栏2</w:t>
            </w:r>
            <w:r>
              <w:rPr>
                <w:rFonts w:eastAsia="黑体"/>
                <w:bCs/>
                <w:color w:val="000000"/>
                <w:sz w:val="24"/>
              </w:rPr>
              <w:t xml:space="preserve">2   </w:t>
            </w:r>
            <w:r>
              <w:rPr>
                <w:rFonts w:hint="eastAsia" w:eastAsia="黑体"/>
                <w:bCs/>
                <w:color w:val="000000"/>
                <w:sz w:val="24"/>
              </w:rPr>
              <w:t>资阳市“十四五”综合交通建设规模及规划投资（项目调整）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tblHeader/>
          <w:jc w:val="center"/>
        </w:trPr>
        <w:tc>
          <w:tcPr>
            <w:tcW w:w="1067" w:type="dxa"/>
            <w:shd w:val="clear" w:color="auto" w:fill="FFFFFF"/>
            <w:vAlign w:val="center"/>
          </w:tcPr>
          <w:p>
            <w:pPr>
              <w:widowControl/>
              <w:spacing w:line="240" w:lineRule="auto"/>
              <w:ind w:firstLine="0" w:firstLineChars="0"/>
              <w:jc w:val="center"/>
              <w:rPr>
                <w:rFonts w:ascii="黑体" w:hAnsi="黑体" w:eastAsia="黑体"/>
                <w:bCs/>
                <w:color w:val="000000"/>
                <w:kern w:val="0"/>
                <w:sz w:val="21"/>
                <w:szCs w:val="21"/>
              </w:rPr>
            </w:pPr>
            <w:r>
              <w:rPr>
                <w:rFonts w:ascii="黑体" w:hAnsi="黑体" w:eastAsia="黑体"/>
                <w:bCs/>
                <w:color w:val="000000"/>
                <w:kern w:val="0"/>
                <w:sz w:val="21"/>
                <w:szCs w:val="21"/>
              </w:rPr>
              <w:t>运输</w:t>
            </w:r>
          </w:p>
          <w:p>
            <w:pPr>
              <w:widowControl/>
              <w:spacing w:line="240" w:lineRule="auto"/>
              <w:ind w:firstLine="0" w:firstLineChars="0"/>
              <w:jc w:val="center"/>
              <w:rPr>
                <w:rFonts w:ascii="黑体" w:hAnsi="黑体" w:eastAsia="黑体"/>
                <w:bCs/>
                <w:color w:val="000000"/>
                <w:kern w:val="0"/>
                <w:sz w:val="21"/>
                <w:szCs w:val="21"/>
              </w:rPr>
            </w:pPr>
            <w:r>
              <w:rPr>
                <w:rFonts w:ascii="黑体" w:hAnsi="黑体" w:eastAsia="黑体"/>
                <w:bCs/>
                <w:color w:val="000000"/>
                <w:kern w:val="0"/>
                <w:sz w:val="21"/>
                <w:szCs w:val="21"/>
              </w:rPr>
              <w:t>方式</w:t>
            </w:r>
          </w:p>
        </w:tc>
        <w:tc>
          <w:tcPr>
            <w:tcW w:w="1158" w:type="dxa"/>
            <w:shd w:val="clear" w:color="auto" w:fill="FFFFFF"/>
            <w:vAlign w:val="center"/>
          </w:tcPr>
          <w:p>
            <w:pPr>
              <w:widowControl/>
              <w:spacing w:line="240" w:lineRule="auto"/>
              <w:ind w:firstLine="0" w:firstLineChars="0"/>
              <w:jc w:val="center"/>
              <w:rPr>
                <w:rFonts w:ascii="黑体" w:hAnsi="黑体" w:eastAsia="黑体"/>
                <w:bCs/>
                <w:color w:val="000000"/>
                <w:kern w:val="0"/>
                <w:sz w:val="21"/>
                <w:szCs w:val="21"/>
              </w:rPr>
            </w:pPr>
            <w:r>
              <w:rPr>
                <w:rFonts w:ascii="黑体" w:hAnsi="黑体" w:eastAsia="黑体"/>
                <w:bCs/>
                <w:color w:val="000000"/>
                <w:kern w:val="0"/>
                <w:sz w:val="21"/>
                <w:szCs w:val="21"/>
              </w:rPr>
              <w:t>建设</w:t>
            </w:r>
          </w:p>
          <w:p>
            <w:pPr>
              <w:widowControl/>
              <w:spacing w:line="240" w:lineRule="auto"/>
              <w:ind w:firstLine="0" w:firstLineChars="0"/>
              <w:jc w:val="center"/>
              <w:rPr>
                <w:rFonts w:ascii="黑体" w:hAnsi="黑体" w:eastAsia="黑体"/>
                <w:bCs/>
                <w:color w:val="000000"/>
                <w:kern w:val="0"/>
                <w:sz w:val="21"/>
                <w:szCs w:val="21"/>
              </w:rPr>
            </w:pPr>
            <w:r>
              <w:rPr>
                <w:rFonts w:ascii="黑体" w:hAnsi="黑体" w:eastAsia="黑体"/>
                <w:bCs/>
                <w:color w:val="000000"/>
                <w:kern w:val="0"/>
                <w:sz w:val="21"/>
                <w:szCs w:val="21"/>
              </w:rPr>
              <w:t>规模</w:t>
            </w:r>
          </w:p>
        </w:tc>
        <w:tc>
          <w:tcPr>
            <w:tcW w:w="1177" w:type="dxa"/>
            <w:shd w:val="clear" w:color="auto" w:fill="FFFFFF"/>
            <w:vAlign w:val="center"/>
          </w:tcPr>
          <w:p>
            <w:pPr>
              <w:widowControl/>
              <w:spacing w:line="240" w:lineRule="auto"/>
              <w:ind w:firstLine="0" w:firstLineChars="0"/>
              <w:jc w:val="center"/>
              <w:rPr>
                <w:rFonts w:ascii="黑体" w:hAnsi="黑体" w:eastAsia="黑体"/>
                <w:bCs/>
                <w:color w:val="000000"/>
                <w:kern w:val="0"/>
                <w:sz w:val="21"/>
                <w:szCs w:val="21"/>
              </w:rPr>
            </w:pPr>
            <w:r>
              <w:rPr>
                <w:rFonts w:ascii="黑体" w:hAnsi="黑体" w:eastAsia="黑体"/>
                <w:bCs/>
                <w:color w:val="000000"/>
                <w:kern w:val="0"/>
                <w:sz w:val="21"/>
                <w:szCs w:val="21"/>
              </w:rPr>
              <w:t>规</w:t>
            </w:r>
            <w:r>
              <w:rPr>
                <w:rFonts w:hint="eastAsia" w:ascii="黑体" w:hAnsi="黑体" w:eastAsia="黑体"/>
                <w:bCs/>
                <w:color w:val="000000"/>
                <w:kern w:val="0"/>
                <w:sz w:val="21"/>
                <w:szCs w:val="21"/>
              </w:rPr>
              <w:t>划投</w:t>
            </w:r>
            <w:r>
              <w:rPr>
                <w:rFonts w:ascii="黑体" w:hAnsi="黑体" w:eastAsia="黑体"/>
                <w:bCs/>
                <w:color w:val="000000"/>
                <w:kern w:val="0"/>
                <w:sz w:val="21"/>
                <w:szCs w:val="21"/>
              </w:rPr>
              <w:t>资</w:t>
            </w:r>
          </w:p>
        </w:tc>
        <w:tc>
          <w:tcPr>
            <w:tcW w:w="5240" w:type="dxa"/>
            <w:gridSpan w:val="2"/>
            <w:shd w:val="clear" w:color="auto" w:fill="FFFFFF"/>
            <w:vAlign w:val="center"/>
          </w:tcPr>
          <w:p>
            <w:pPr>
              <w:widowControl/>
              <w:spacing w:line="240" w:lineRule="auto"/>
              <w:ind w:firstLine="640" w:firstLineChars="0"/>
              <w:jc w:val="center"/>
              <w:rPr>
                <w:rFonts w:ascii="黑体" w:hAnsi="黑体" w:eastAsia="黑体"/>
                <w:bCs/>
                <w:color w:val="000000"/>
                <w:kern w:val="0"/>
                <w:sz w:val="21"/>
                <w:szCs w:val="21"/>
                <w:lang w:val="zh-CN"/>
              </w:rPr>
            </w:pPr>
            <w:r>
              <w:rPr>
                <w:rFonts w:ascii="黑体" w:hAnsi="黑体" w:eastAsia="黑体"/>
                <w:bCs/>
                <w:color w:val="000000"/>
                <w:kern w:val="0"/>
                <w:sz w:val="21"/>
                <w:szCs w:val="21"/>
              </w:rPr>
              <w:t>主要建设内容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restart"/>
            <w:shd w:val="clear" w:color="auto" w:fill="FFFFFF"/>
            <w:vAlign w:val="center"/>
          </w:tcPr>
          <w:p>
            <w:pPr>
              <w:widowControl/>
              <w:spacing w:line="240" w:lineRule="auto"/>
              <w:ind w:firstLine="0" w:firstLineChars="0"/>
              <w:jc w:val="center"/>
              <w:rPr>
                <w:color w:val="000000"/>
                <w:kern w:val="0"/>
                <w:sz w:val="21"/>
                <w:szCs w:val="21"/>
              </w:rPr>
            </w:pPr>
            <w:r>
              <w:rPr>
                <w:color w:val="000000"/>
                <w:kern w:val="0"/>
                <w:sz w:val="21"/>
                <w:szCs w:val="21"/>
              </w:rPr>
              <w:t>铁路</w:t>
            </w:r>
          </w:p>
        </w:tc>
        <w:tc>
          <w:tcPr>
            <w:tcW w:w="1158" w:type="dxa"/>
            <w:vMerge w:val="restart"/>
            <w:shd w:val="clear" w:color="auto" w:fill="FFFFFF"/>
            <w:vAlign w:val="center"/>
          </w:tcPr>
          <w:p>
            <w:pPr>
              <w:spacing w:line="240" w:lineRule="auto"/>
              <w:ind w:firstLine="0" w:firstLineChars="0"/>
              <w:jc w:val="center"/>
              <w:rPr>
                <w:color w:val="000000"/>
                <w:kern w:val="0"/>
                <w:sz w:val="21"/>
                <w:szCs w:val="21"/>
              </w:rPr>
            </w:pPr>
            <w:r>
              <w:rPr>
                <w:rFonts w:hint="eastAsia"/>
                <w:color w:val="000000"/>
                <w:kern w:val="0"/>
                <w:sz w:val="21"/>
                <w:szCs w:val="21"/>
              </w:rPr>
              <w:t>3</w:t>
            </w:r>
            <w:r>
              <w:rPr>
                <w:color w:val="000000"/>
                <w:kern w:val="0"/>
                <w:sz w:val="21"/>
                <w:szCs w:val="21"/>
              </w:rPr>
              <w:t>35.2</w:t>
            </w:r>
          </w:p>
          <w:p>
            <w:pPr>
              <w:spacing w:line="240" w:lineRule="auto"/>
              <w:ind w:firstLine="0" w:firstLineChars="0"/>
              <w:jc w:val="center"/>
              <w:rPr>
                <w:color w:val="000000"/>
                <w:kern w:val="0"/>
                <w:sz w:val="21"/>
                <w:szCs w:val="21"/>
              </w:rPr>
            </w:pPr>
            <w:r>
              <w:rPr>
                <w:color w:val="000000"/>
                <w:kern w:val="0"/>
                <w:sz w:val="21"/>
                <w:szCs w:val="21"/>
              </w:rPr>
              <w:t>公里</w:t>
            </w:r>
          </w:p>
        </w:tc>
        <w:tc>
          <w:tcPr>
            <w:tcW w:w="1177" w:type="dxa"/>
            <w:vMerge w:val="restart"/>
            <w:shd w:val="clear" w:color="auto" w:fill="FFFFFF"/>
            <w:vAlign w:val="center"/>
          </w:tcPr>
          <w:p>
            <w:pPr>
              <w:spacing w:line="240" w:lineRule="auto"/>
              <w:ind w:firstLine="0" w:firstLineChars="0"/>
              <w:rPr>
                <w:color w:val="000000"/>
                <w:sz w:val="21"/>
                <w:szCs w:val="21"/>
              </w:rPr>
            </w:pPr>
            <w:r>
              <w:rPr>
                <w:color w:val="000000"/>
                <w:sz w:val="21"/>
                <w:szCs w:val="21"/>
              </w:rPr>
              <w:t>415.6</w:t>
            </w:r>
            <w:r>
              <w:rPr>
                <w:rFonts w:hint="eastAsia"/>
                <w:color w:val="000000"/>
                <w:sz w:val="21"/>
                <w:szCs w:val="21"/>
              </w:rPr>
              <w:t>亿元</w:t>
            </w:r>
          </w:p>
        </w:tc>
        <w:tc>
          <w:tcPr>
            <w:tcW w:w="1843"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干线</w:t>
            </w:r>
            <w:r>
              <w:rPr>
                <w:color w:val="000000"/>
                <w:sz w:val="21"/>
                <w:szCs w:val="21"/>
              </w:rPr>
              <w:t>铁路</w:t>
            </w:r>
          </w:p>
        </w:tc>
        <w:tc>
          <w:tcPr>
            <w:tcW w:w="3397" w:type="dxa"/>
            <w:shd w:val="clear" w:color="auto" w:fill="FFFFFF"/>
            <w:vAlign w:val="center"/>
          </w:tcPr>
          <w:p>
            <w:pPr>
              <w:spacing w:line="240" w:lineRule="auto"/>
              <w:ind w:firstLine="0" w:firstLineChars="0"/>
              <w:rPr>
                <w:color w:val="000000"/>
                <w:sz w:val="21"/>
                <w:szCs w:val="21"/>
              </w:rPr>
            </w:pPr>
            <w:r>
              <w:rPr>
                <w:rFonts w:hint="eastAsia"/>
                <w:color w:val="000000"/>
                <w:sz w:val="21"/>
                <w:szCs w:val="21"/>
              </w:rPr>
              <w:t>续建</w:t>
            </w:r>
            <w:r>
              <w:rPr>
                <w:color w:val="000000"/>
                <w:sz w:val="21"/>
                <w:szCs w:val="21"/>
              </w:rPr>
              <w:t>103.9</w:t>
            </w:r>
            <w:r>
              <w:rPr>
                <w:rFonts w:hint="eastAsia"/>
                <w:color w:val="000000"/>
                <w:sz w:val="21"/>
                <w:szCs w:val="21"/>
              </w:rPr>
              <w:t>公里，新开工</w:t>
            </w:r>
            <w:r>
              <w:rPr>
                <w:color w:val="000000"/>
                <w:sz w:val="21"/>
                <w:szCs w:val="21"/>
              </w:rPr>
              <w:t>139</w:t>
            </w:r>
            <w:r>
              <w:rPr>
                <w:rFonts w:hint="eastAsia"/>
                <w:color w:val="000000"/>
                <w:sz w:val="21"/>
                <w:szCs w:val="21"/>
              </w:rPr>
              <w:t>公里（含扩能改造4</w:t>
            </w:r>
            <w:r>
              <w:rPr>
                <w:color w:val="000000"/>
                <w:sz w:val="21"/>
                <w:szCs w:val="21"/>
              </w:rPr>
              <w:t>5</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85"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3" w:firstLineChars="0"/>
              <w:jc w:val="center"/>
              <w:rPr>
                <w:color w:val="000000"/>
                <w:sz w:val="21"/>
                <w:szCs w:val="21"/>
              </w:rPr>
            </w:pPr>
          </w:p>
        </w:tc>
        <w:tc>
          <w:tcPr>
            <w:tcW w:w="1177" w:type="dxa"/>
            <w:vMerge w:val="continue"/>
            <w:shd w:val="clear" w:color="auto" w:fill="FFFFFF"/>
            <w:vAlign w:val="center"/>
          </w:tcPr>
          <w:p>
            <w:pPr>
              <w:spacing w:line="240" w:lineRule="auto"/>
              <w:ind w:firstLine="643"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城际铁路</w:t>
            </w:r>
          </w:p>
        </w:tc>
        <w:tc>
          <w:tcPr>
            <w:tcW w:w="3397"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新开工7</w:t>
            </w:r>
            <w:r>
              <w:rPr>
                <w:color w:val="000000"/>
                <w:sz w:val="21"/>
                <w:szCs w:val="21"/>
              </w:rPr>
              <w:t>3</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135"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3" w:firstLineChars="0"/>
              <w:jc w:val="center"/>
              <w:rPr>
                <w:color w:val="000000"/>
                <w:sz w:val="21"/>
                <w:szCs w:val="21"/>
              </w:rPr>
            </w:pPr>
          </w:p>
        </w:tc>
        <w:tc>
          <w:tcPr>
            <w:tcW w:w="1177" w:type="dxa"/>
            <w:vMerge w:val="continue"/>
            <w:shd w:val="clear" w:color="auto" w:fill="FFFFFF"/>
            <w:vAlign w:val="center"/>
          </w:tcPr>
          <w:p>
            <w:pPr>
              <w:spacing w:line="240" w:lineRule="auto"/>
              <w:ind w:firstLine="643"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市域铁路</w:t>
            </w:r>
          </w:p>
        </w:tc>
        <w:tc>
          <w:tcPr>
            <w:tcW w:w="3397"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续建1</w:t>
            </w:r>
            <w:r>
              <w:rPr>
                <w:color w:val="000000"/>
                <w:sz w:val="21"/>
                <w:szCs w:val="21"/>
              </w:rPr>
              <w:t>9.3</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restart"/>
            <w:shd w:val="clear" w:color="auto" w:fill="FFFFFF"/>
            <w:vAlign w:val="center"/>
          </w:tcPr>
          <w:p>
            <w:pPr>
              <w:spacing w:line="240" w:lineRule="auto"/>
              <w:ind w:firstLine="0" w:firstLineChars="0"/>
              <w:jc w:val="center"/>
              <w:rPr>
                <w:color w:val="000000"/>
                <w:kern w:val="0"/>
                <w:sz w:val="21"/>
                <w:szCs w:val="21"/>
              </w:rPr>
            </w:pPr>
            <w:r>
              <w:rPr>
                <w:color w:val="000000"/>
                <w:kern w:val="0"/>
                <w:sz w:val="21"/>
                <w:szCs w:val="21"/>
              </w:rPr>
              <w:t>公路</w:t>
            </w:r>
          </w:p>
        </w:tc>
        <w:tc>
          <w:tcPr>
            <w:tcW w:w="1158" w:type="dxa"/>
            <w:vMerge w:val="restart"/>
            <w:shd w:val="clear" w:color="auto" w:fill="FFFFFF"/>
            <w:vAlign w:val="center"/>
          </w:tcPr>
          <w:p>
            <w:pPr>
              <w:spacing w:line="240" w:lineRule="auto"/>
              <w:ind w:firstLine="0" w:firstLineChars="0"/>
              <w:jc w:val="center"/>
              <w:rPr>
                <w:color w:val="000000"/>
                <w:kern w:val="0"/>
                <w:sz w:val="21"/>
                <w:szCs w:val="21"/>
              </w:rPr>
            </w:pPr>
            <w:r>
              <w:rPr>
                <w:rFonts w:hint="eastAsia"/>
                <w:color w:val="000000"/>
                <w:kern w:val="0"/>
                <w:sz w:val="21"/>
                <w:szCs w:val="21"/>
              </w:rPr>
              <w:t>9</w:t>
            </w:r>
            <w:r>
              <w:rPr>
                <w:color w:val="000000"/>
                <w:kern w:val="0"/>
                <w:sz w:val="21"/>
                <w:szCs w:val="21"/>
              </w:rPr>
              <w:t>560.8</w:t>
            </w:r>
          </w:p>
          <w:p>
            <w:pPr>
              <w:spacing w:line="240" w:lineRule="auto"/>
              <w:ind w:firstLine="0" w:firstLineChars="0"/>
              <w:jc w:val="center"/>
              <w:rPr>
                <w:color w:val="000000"/>
                <w:kern w:val="0"/>
                <w:sz w:val="21"/>
                <w:szCs w:val="21"/>
              </w:rPr>
            </w:pPr>
            <w:r>
              <w:rPr>
                <w:color w:val="000000"/>
                <w:kern w:val="0"/>
                <w:sz w:val="21"/>
                <w:szCs w:val="21"/>
              </w:rPr>
              <w:t>公里</w:t>
            </w:r>
          </w:p>
        </w:tc>
        <w:tc>
          <w:tcPr>
            <w:tcW w:w="1177" w:type="dxa"/>
            <w:vMerge w:val="restart"/>
            <w:shd w:val="clear" w:color="auto" w:fill="FFFFFF"/>
            <w:vAlign w:val="center"/>
          </w:tcPr>
          <w:p>
            <w:pPr>
              <w:spacing w:line="240" w:lineRule="auto"/>
              <w:ind w:firstLine="0" w:firstLineChars="0"/>
              <w:rPr>
                <w:color w:val="000000"/>
                <w:sz w:val="21"/>
                <w:szCs w:val="21"/>
              </w:rPr>
            </w:pPr>
            <w:r>
              <w:rPr>
                <w:rFonts w:hint="eastAsia"/>
                <w:color w:val="000000"/>
                <w:sz w:val="21"/>
                <w:szCs w:val="21"/>
              </w:rPr>
              <w:t>6</w:t>
            </w:r>
            <w:r>
              <w:rPr>
                <w:color w:val="000000"/>
                <w:sz w:val="21"/>
                <w:szCs w:val="21"/>
              </w:rPr>
              <w:t>48.7</w:t>
            </w:r>
            <w:r>
              <w:rPr>
                <w:rFonts w:hint="eastAsia"/>
                <w:color w:val="000000"/>
                <w:sz w:val="21"/>
                <w:szCs w:val="21"/>
              </w:rPr>
              <w:t>亿元</w:t>
            </w: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高速公路</w:t>
            </w:r>
          </w:p>
        </w:tc>
        <w:tc>
          <w:tcPr>
            <w:tcW w:w="3397" w:type="dxa"/>
            <w:shd w:val="clear" w:color="auto" w:fill="FFFFFF"/>
            <w:vAlign w:val="center"/>
          </w:tcPr>
          <w:p>
            <w:pPr>
              <w:spacing w:line="240" w:lineRule="auto"/>
              <w:ind w:firstLine="0" w:firstLineChars="0"/>
              <w:rPr>
                <w:color w:val="000000"/>
                <w:sz w:val="21"/>
                <w:szCs w:val="21"/>
              </w:rPr>
            </w:pPr>
            <w:r>
              <w:rPr>
                <w:rFonts w:hint="eastAsia"/>
                <w:color w:val="000000"/>
                <w:sz w:val="21"/>
                <w:szCs w:val="21"/>
              </w:rPr>
              <w:t>新开工1</w:t>
            </w:r>
            <w:r>
              <w:rPr>
                <w:color w:val="000000"/>
                <w:sz w:val="21"/>
                <w:szCs w:val="21"/>
              </w:rPr>
              <w:t>10.6</w:t>
            </w:r>
            <w:r>
              <w:rPr>
                <w:rFonts w:hint="eastAsia"/>
                <w:color w:val="000000"/>
                <w:sz w:val="21"/>
                <w:szCs w:val="21"/>
              </w:rPr>
              <w:t>公里，其中扩容改造</w:t>
            </w:r>
            <w:r>
              <w:rPr>
                <w:color w:val="000000"/>
                <w:sz w:val="21"/>
                <w:szCs w:val="21"/>
              </w:rPr>
              <w:t>45.6</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3" w:firstLineChars="0"/>
              <w:jc w:val="center"/>
              <w:rPr>
                <w:color w:val="000000"/>
                <w:sz w:val="21"/>
                <w:szCs w:val="21"/>
              </w:rPr>
            </w:pPr>
          </w:p>
        </w:tc>
        <w:tc>
          <w:tcPr>
            <w:tcW w:w="1177" w:type="dxa"/>
            <w:vMerge w:val="continue"/>
            <w:shd w:val="clear" w:color="auto" w:fill="FFFFFF"/>
            <w:vAlign w:val="center"/>
          </w:tcPr>
          <w:p>
            <w:pPr>
              <w:spacing w:line="240" w:lineRule="auto"/>
              <w:ind w:firstLine="643"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快速通道</w:t>
            </w:r>
          </w:p>
        </w:tc>
        <w:tc>
          <w:tcPr>
            <w:tcW w:w="3397" w:type="dxa"/>
            <w:shd w:val="clear" w:color="auto" w:fill="FFFFFF"/>
            <w:vAlign w:val="center"/>
          </w:tcPr>
          <w:p>
            <w:pPr>
              <w:spacing w:line="240" w:lineRule="auto"/>
              <w:ind w:firstLine="0" w:firstLineChars="0"/>
              <w:rPr>
                <w:color w:val="000000"/>
                <w:sz w:val="21"/>
                <w:szCs w:val="21"/>
              </w:rPr>
            </w:pPr>
            <w:r>
              <w:rPr>
                <w:rFonts w:hint="eastAsia"/>
                <w:color w:val="000000"/>
                <w:sz w:val="21"/>
                <w:szCs w:val="21"/>
              </w:rPr>
              <w:t>新开工</w:t>
            </w:r>
            <w:r>
              <w:rPr>
                <w:color w:val="000000"/>
                <w:sz w:val="21"/>
                <w:szCs w:val="21"/>
              </w:rPr>
              <w:t>182.3</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3" w:firstLineChars="0"/>
              <w:jc w:val="center"/>
              <w:rPr>
                <w:color w:val="000000"/>
                <w:sz w:val="21"/>
                <w:szCs w:val="21"/>
              </w:rPr>
            </w:pPr>
          </w:p>
        </w:tc>
        <w:tc>
          <w:tcPr>
            <w:tcW w:w="1177" w:type="dxa"/>
            <w:vMerge w:val="continue"/>
            <w:shd w:val="clear" w:color="auto" w:fill="FFFFFF"/>
            <w:vAlign w:val="center"/>
          </w:tcPr>
          <w:p>
            <w:pPr>
              <w:spacing w:line="240" w:lineRule="auto"/>
              <w:ind w:firstLine="643"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普通国省道</w:t>
            </w:r>
          </w:p>
        </w:tc>
        <w:tc>
          <w:tcPr>
            <w:tcW w:w="3397" w:type="dxa"/>
            <w:shd w:val="clear" w:color="auto" w:fill="FFFFFF"/>
            <w:vAlign w:val="center"/>
          </w:tcPr>
          <w:p>
            <w:pPr>
              <w:spacing w:line="240" w:lineRule="auto"/>
              <w:ind w:firstLine="0" w:firstLineChars="0"/>
              <w:rPr>
                <w:color w:val="000000"/>
                <w:sz w:val="21"/>
                <w:szCs w:val="21"/>
              </w:rPr>
            </w:pPr>
            <w:r>
              <w:rPr>
                <w:color w:val="000000"/>
                <w:sz w:val="21"/>
                <w:szCs w:val="21"/>
              </w:rPr>
              <w:t>续建121.9公里；新开工606公里，其中</w:t>
            </w:r>
            <w:r>
              <w:rPr>
                <w:rFonts w:hint="eastAsia"/>
                <w:color w:val="000000"/>
                <w:sz w:val="21"/>
                <w:szCs w:val="21"/>
              </w:rPr>
              <w:t>升级改造2</w:t>
            </w:r>
            <w:r>
              <w:rPr>
                <w:color w:val="000000"/>
                <w:sz w:val="21"/>
                <w:szCs w:val="21"/>
              </w:rPr>
              <w:t>28.5</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3" w:firstLineChars="0"/>
              <w:jc w:val="center"/>
              <w:rPr>
                <w:color w:val="000000"/>
                <w:sz w:val="21"/>
                <w:szCs w:val="21"/>
              </w:rPr>
            </w:pPr>
          </w:p>
        </w:tc>
        <w:tc>
          <w:tcPr>
            <w:tcW w:w="1177" w:type="dxa"/>
            <w:vMerge w:val="continue"/>
            <w:shd w:val="clear" w:color="auto" w:fill="FFFFFF"/>
            <w:vAlign w:val="center"/>
          </w:tcPr>
          <w:p>
            <w:pPr>
              <w:spacing w:line="240" w:lineRule="auto"/>
              <w:ind w:firstLine="643"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农村公路</w:t>
            </w:r>
          </w:p>
        </w:tc>
        <w:tc>
          <w:tcPr>
            <w:tcW w:w="3397" w:type="dxa"/>
            <w:shd w:val="clear" w:color="auto" w:fill="FFFFFF"/>
            <w:vAlign w:val="center"/>
          </w:tcPr>
          <w:p>
            <w:pPr>
              <w:spacing w:line="240" w:lineRule="auto"/>
              <w:ind w:firstLine="640" w:firstLineChars="0"/>
              <w:jc w:val="center"/>
              <w:rPr>
                <w:color w:val="000000"/>
                <w:sz w:val="21"/>
                <w:szCs w:val="21"/>
              </w:rPr>
            </w:pPr>
            <w:r>
              <w:rPr>
                <w:rFonts w:hint="eastAsia"/>
                <w:color w:val="000000"/>
                <w:sz w:val="21"/>
                <w:szCs w:val="21"/>
              </w:rPr>
              <w:t>建设里程8</w:t>
            </w:r>
            <w:r>
              <w:rPr>
                <w:color w:val="000000"/>
                <w:sz w:val="21"/>
                <w:szCs w:val="21"/>
              </w:rPr>
              <w:t>540</w:t>
            </w:r>
            <w:r>
              <w:rPr>
                <w:rFonts w:hint="eastAsia"/>
                <w:color w:val="000000"/>
                <w:sz w:val="21"/>
                <w:szCs w:val="21"/>
              </w:rPr>
              <w:t>公里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restart"/>
            <w:shd w:val="clear" w:color="auto" w:fill="FFFFFF"/>
            <w:vAlign w:val="center"/>
          </w:tcPr>
          <w:p>
            <w:pPr>
              <w:widowControl/>
              <w:spacing w:line="240" w:lineRule="auto"/>
              <w:ind w:firstLine="0" w:firstLineChars="0"/>
              <w:jc w:val="center"/>
              <w:rPr>
                <w:color w:val="000000"/>
                <w:kern w:val="0"/>
                <w:sz w:val="21"/>
                <w:szCs w:val="21"/>
              </w:rPr>
            </w:pPr>
            <w:r>
              <w:rPr>
                <w:color w:val="000000"/>
                <w:kern w:val="0"/>
                <w:sz w:val="21"/>
                <w:szCs w:val="21"/>
              </w:rPr>
              <w:t>水</w:t>
            </w:r>
            <w:r>
              <w:rPr>
                <w:rFonts w:hint="eastAsia"/>
                <w:color w:val="000000"/>
                <w:kern w:val="0"/>
                <w:sz w:val="21"/>
                <w:szCs w:val="21"/>
              </w:rPr>
              <w:t>运</w:t>
            </w:r>
          </w:p>
        </w:tc>
        <w:tc>
          <w:tcPr>
            <w:tcW w:w="1158" w:type="dxa"/>
            <w:vMerge w:val="restart"/>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1</w:t>
            </w:r>
            <w:r>
              <w:rPr>
                <w:color w:val="000000"/>
                <w:sz w:val="21"/>
                <w:szCs w:val="21"/>
              </w:rPr>
              <w:t>4个</w:t>
            </w:r>
          </w:p>
        </w:tc>
        <w:tc>
          <w:tcPr>
            <w:tcW w:w="1177" w:type="dxa"/>
            <w:vMerge w:val="restart"/>
            <w:shd w:val="clear" w:color="auto" w:fill="FFFFFF"/>
            <w:vAlign w:val="center"/>
          </w:tcPr>
          <w:p>
            <w:pPr>
              <w:spacing w:line="240" w:lineRule="auto"/>
              <w:ind w:firstLine="0" w:firstLineChars="0"/>
              <w:rPr>
                <w:color w:val="000000"/>
                <w:sz w:val="21"/>
                <w:szCs w:val="21"/>
              </w:rPr>
            </w:pPr>
            <w:r>
              <w:rPr>
                <w:color w:val="000000"/>
                <w:sz w:val="21"/>
                <w:szCs w:val="21"/>
              </w:rPr>
              <w:t>3.8</w:t>
            </w:r>
            <w:r>
              <w:rPr>
                <w:rFonts w:hint="eastAsia"/>
                <w:color w:val="000000"/>
                <w:sz w:val="21"/>
                <w:szCs w:val="21"/>
              </w:rPr>
              <w:t>亿元</w:t>
            </w: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渡口标准化改造</w:t>
            </w:r>
          </w:p>
        </w:tc>
        <w:tc>
          <w:tcPr>
            <w:tcW w:w="3397" w:type="dxa"/>
            <w:shd w:val="clear" w:color="auto" w:fill="FFFFFF"/>
            <w:vAlign w:val="center"/>
          </w:tcPr>
          <w:p>
            <w:pPr>
              <w:spacing w:line="240" w:lineRule="auto"/>
              <w:ind w:firstLine="640" w:firstLineChars="0"/>
              <w:jc w:val="center"/>
              <w:rPr>
                <w:color w:val="000000"/>
                <w:sz w:val="21"/>
                <w:szCs w:val="21"/>
              </w:rPr>
            </w:pPr>
            <w:r>
              <w:rPr>
                <w:rFonts w:hint="eastAsia"/>
                <w:color w:val="000000"/>
                <w:sz w:val="21"/>
                <w:szCs w:val="21"/>
              </w:rPr>
              <w:t>改建9个渡口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282"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0" w:firstLineChars="0"/>
              <w:jc w:val="center"/>
              <w:rPr>
                <w:color w:val="000000"/>
                <w:sz w:val="21"/>
                <w:szCs w:val="21"/>
              </w:rPr>
            </w:pPr>
          </w:p>
        </w:tc>
        <w:tc>
          <w:tcPr>
            <w:tcW w:w="1177" w:type="dxa"/>
            <w:vMerge w:val="continue"/>
            <w:shd w:val="clear" w:color="auto" w:fill="FFFFFF"/>
            <w:vAlign w:val="center"/>
          </w:tcPr>
          <w:p>
            <w:pPr>
              <w:spacing w:line="240" w:lineRule="auto"/>
              <w:ind w:firstLine="640"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旅游客运码头</w:t>
            </w:r>
          </w:p>
        </w:tc>
        <w:tc>
          <w:tcPr>
            <w:tcW w:w="3397" w:type="dxa"/>
            <w:shd w:val="clear" w:color="auto" w:fill="FFFFFF"/>
            <w:vAlign w:val="center"/>
          </w:tcPr>
          <w:p>
            <w:pPr>
              <w:spacing w:line="240" w:lineRule="auto"/>
              <w:ind w:firstLine="640" w:firstLineChars="0"/>
              <w:jc w:val="center"/>
              <w:rPr>
                <w:color w:val="000000"/>
                <w:sz w:val="21"/>
                <w:szCs w:val="21"/>
              </w:rPr>
            </w:pPr>
            <w:r>
              <w:rPr>
                <w:rFonts w:hint="eastAsia"/>
                <w:color w:val="000000"/>
                <w:sz w:val="21"/>
                <w:szCs w:val="21"/>
              </w:rPr>
              <w:t>新建项目4个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282"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0" w:firstLineChars="0"/>
              <w:jc w:val="center"/>
              <w:rPr>
                <w:color w:val="000000"/>
                <w:sz w:val="21"/>
                <w:szCs w:val="21"/>
              </w:rPr>
            </w:pPr>
          </w:p>
        </w:tc>
        <w:tc>
          <w:tcPr>
            <w:tcW w:w="1177" w:type="dxa"/>
            <w:vMerge w:val="continue"/>
            <w:shd w:val="clear" w:color="auto" w:fill="FFFFFF"/>
            <w:vAlign w:val="center"/>
          </w:tcPr>
          <w:p>
            <w:pPr>
              <w:spacing w:line="240" w:lineRule="auto"/>
              <w:ind w:firstLine="640"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旅游航道</w:t>
            </w:r>
          </w:p>
        </w:tc>
        <w:tc>
          <w:tcPr>
            <w:tcW w:w="3397"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建设1</w:t>
            </w:r>
            <w:r>
              <w:rPr>
                <w:color w:val="000000"/>
                <w:sz w:val="21"/>
                <w:szCs w:val="21"/>
              </w:rPr>
              <w:t>4</w:t>
            </w:r>
            <w:r>
              <w:rPr>
                <w:rFonts w:hint="eastAsia"/>
                <w:color w:val="000000"/>
                <w:sz w:val="21"/>
                <w:szCs w:val="21"/>
              </w:rPr>
              <w:t>.</w:t>
            </w:r>
            <w:r>
              <w:rPr>
                <w:color w:val="000000"/>
                <w:sz w:val="21"/>
                <w:szCs w:val="21"/>
              </w:rPr>
              <w:t>5</w:t>
            </w:r>
            <w:r>
              <w:rPr>
                <w:rFonts w:hint="eastAsia"/>
                <w:color w:val="000000"/>
                <w:sz w:val="21"/>
                <w:szCs w:val="21"/>
              </w:rPr>
              <w:t>公里V级旅游航道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shd w:val="clear" w:color="auto" w:fill="FFFFFF"/>
            <w:vAlign w:val="center"/>
          </w:tcPr>
          <w:p>
            <w:pPr>
              <w:widowControl/>
              <w:spacing w:line="240" w:lineRule="auto"/>
              <w:ind w:firstLine="0" w:firstLineChars="0"/>
              <w:jc w:val="center"/>
              <w:rPr>
                <w:color w:val="000000"/>
                <w:kern w:val="0"/>
                <w:sz w:val="21"/>
                <w:szCs w:val="21"/>
              </w:rPr>
            </w:pPr>
            <w:r>
              <w:rPr>
                <w:color w:val="000000"/>
                <w:kern w:val="0"/>
                <w:sz w:val="21"/>
                <w:szCs w:val="21"/>
              </w:rPr>
              <w:t>航</w:t>
            </w:r>
            <w:r>
              <w:rPr>
                <w:rFonts w:hint="eastAsia"/>
                <w:color w:val="000000"/>
                <w:kern w:val="0"/>
                <w:sz w:val="21"/>
                <w:szCs w:val="21"/>
              </w:rPr>
              <w:t>空</w:t>
            </w:r>
          </w:p>
        </w:tc>
        <w:tc>
          <w:tcPr>
            <w:tcW w:w="1158"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1</w:t>
            </w:r>
            <w:r>
              <w:rPr>
                <w:color w:val="000000"/>
                <w:sz w:val="21"/>
                <w:szCs w:val="21"/>
              </w:rPr>
              <w:t>个</w:t>
            </w:r>
          </w:p>
        </w:tc>
        <w:tc>
          <w:tcPr>
            <w:tcW w:w="1177" w:type="dxa"/>
            <w:shd w:val="clear" w:color="auto" w:fill="FFFFFF"/>
            <w:vAlign w:val="center"/>
          </w:tcPr>
          <w:p>
            <w:pPr>
              <w:spacing w:line="240" w:lineRule="auto"/>
              <w:ind w:firstLine="0" w:firstLineChars="0"/>
              <w:rPr>
                <w:color w:val="000000"/>
                <w:sz w:val="21"/>
                <w:szCs w:val="21"/>
              </w:rPr>
            </w:pPr>
            <w:r>
              <w:rPr>
                <w:rFonts w:hint="eastAsia"/>
                <w:color w:val="000000"/>
                <w:sz w:val="21"/>
                <w:szCs w:val="21"/>
              </w:rPr>
              <w:t>0</w:t>
            </w:r>
            <w:r>
              <w:rPr>
                <w:color w:val="000000"/>
                <w:sz w:val="21"/>
                <w:szCs w:val="21"/>
              </w:rPr>
              <w:t>.5</w:t>
            </w:r>
            <w:r>
              <w:rPr>
                <w:rFonts w:hint="eastAsia"/>
                <w:color w:val="000000"/>
                <w:sz w:val="21"/>
                <w:szCs w:val="21"/>
              </w:rPr>
              <w:t>亿元</w:t>
            </w:r>
          </w:p>
        </w:tc>
        <w:tc>
          <w:tcPr>
            <w:tcW w:w="1843" w:type="dxa"/>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公共航空运输</w:t>
            </w:r>
          </w:p>
        </w:tc>
        <w:tc>
          <w:tcPr>
            <w:tcW w:w="3397" w:type="dxa"/>
            <w:shd w:val="clear" w:color="auto" w:fill="FFFFFF"/>
            <w:vAlign w:val="center"/>
          </w:tcPr>
          <w:p>
            <w:pPr>
              <w:spacing w:line="240" w:lineRule="auto"/>
              <w:ind w:firstLine="640" w:firstLineChars="0"/>
              <w:jc w:val="center"/>
              <w:rPr>
                <w:color w:val="000000"/>
                <w:sz w:val="21"/>
                <w:szCs w:val="21"/>
              </w:rPr>
            </w:pPr>
            <w:r>
              <w:rPr>
                <w:rFonts w:hint="eastAsia"/>
                <w:color w:val="000000"/>
                <w:sz w:val="21"/>
                <w:szCs w:val="21"/>
              </w:rPr>
              <w:t>资阳城市候机楼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restart"/>
            <w:shd w:val="clear" w:color="auto" w:fill="FFFFFF"/>
            <w:vAlign w:val="center"/>
          </w:tcPr>
          <w:p>
            <w:pPr>
              <w:widowControl/>
              <w:spacing w:line="240" w:lineRule="auto"/>
              <w:ind w:firstLine="0" w:firstLineChars="0"/>
              <w:jc w:val="center"/>
              <w:rPr>
                <w:color w:val="000000"/>
                <w:kern w:val="0"/>
                <w:sz w:val="21"/>
                <w:szCs w:val="21"/>
              </w:rPr>
            </w:pPr>
            <w:r>
              <w:rPr>
                <w:color w:val="000000"/>
                <w:kern w:val="0"/>
                <w:sz w:val="21"/>
                <w:szCs w:val="21"/>
              </w:rPr>
              <w:t>枢纽站场</w:t>
            </w:r>
          </w:p>
        </w:tc>
        <w:tc>
          <w:tcPr>
            <w:tcW w:w="1158" w:type="dxa"/>
            <w:vMerge w:val="restart"/>
            <w:shd w:val="clear" w:color="auto" w:fill="FFFFFF"/>
            <w:vAlign w:val="center"/>
          </w:tcPr>
          <w:p>
            <w:pPr>
              <w:spacing w:line="240" w:lineRule="auto"/>
              <w:ind w:firstLine="0" w:firstLineChars="0"/>
              <w:jc w:val="center"/>
              <w:rPr>
                <w:color w:val="000000"/>
                <w:sz w:val="21"/>
                <w:szCs w:val="21"/>
              </w:rPr>
            </w:pPr>
            <w:r>
              <w:rPr>
                <w:rFonts w:hint="eastAsia"/>
                <w:color w:val="000000"/>
                <w:sz w:val="21"/>
                <w:szCs w:val="21"/>
              </w:rPr>
              <w:t>4</w:t>
            </w:r>
            <w:r>
              <w:rPr>
                <w:color w:val="000000"/>
                <w:sz w:val="21"/>
                <w:szCs w:val="21"/>
              </w:rPr>
              <w:t>4</w:t>
            </w:r>
            <w:r>
              <w:rPr>
                <w:rFonts w:hint="eastAsia"/>
                <w:color w:val="000000"/>
                <w:sz w:val="21"/>
                <w:szCs w:val="21"/>
              </w:rPr>
              <w:t>个</w:t>
            </w:r>
          </w:p>
        </w:tc>
        <w:tc>
          <w:tcPr>
            <w:tcW w:w="1177" w:type="dxa"/>
            <w:vMerge w:val="restart"/>
            <w:shd w:val="clear" w:color="auto" w:fill="FFFFFF"/>
            <w:vAlign w:val="center"/>
          </w:tcPr>
          <w:p>
            <w:pPr>
              <w:spacing w:line="240" w:lineRule="auto"/>
              <w:ind w:firstLine="0" w:firstLineChars="0"/>
              <w:rPr>
                <w:color w:val="000000"/>
                <w:sz w:val="21"/>
                <w:szCs w:val="21"/>
              </w:rPr>
            </w:pPr>
            <w:r>
              <w:rPr>
                <w:rFonts w:hint="eastAsia"/>
                <w:color w:val="000000"/>
                <w:sz w:val="21"/>
                <w:szCs w:val="21"/>
              </w:rPr>
              <w:t>6</w:t>
            </w:r>
            <w:r>
              <w:rPr>
                <w:color w:val="000000"/>
                <w:sz w:val="21"/>
                <w:szCs w:val="21"/>
              </w:rPr>
              <w:t>3.6</w:t>
            </w:r>
            <w:r>
              <w:rPr>
                <w:rFonts w:hint="eastAsia"/>
                <w:color w:val="000000"/>
                <w:sz w:val="21"/>
                <w:szCs w:val="21"/>
              </w:rPr>
              <w:t>亿元</w:t>
            </w: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客运站场</w:t>
            </w:r>
          </w:p>
        </w:tc>
        <w:tc>
          <w:tcPr>
            <w:tcW w:w="3397" w:type="dxa"/>
            <w:shd w:val="clear" w:color="auto" w:fill="FFFFFF"/>
            <w:vAlign w:val="center"/>
          </w:tcPr>
          <w:p>
            <w:pPr>
              <w:spacing w:line="240" w:lineRule="auto"/>
              <w:ind w:firstLine="0" w:firstLineChars="0"/>
              <w:rPr>
                <w:color w:val="000000"/>
                <w:sz w:val="21"/>
                <w:szCs w:val="21"/>
              </w:rPr>
            </w:pPr>
            <w:r>
              <w:rPr>
                <w:rFonts w:hint="eastAsia"/>
                <w:color w:val="000000"/>
                <w:sz w:val="21"/>
                <w:szCs w:val="21"/>
              </w:rPr>
              <w:t>续建综合客运枢纽1个，新建综合客运枢纽3个；新建市级客运站1个，改建县级客运站2个，新建县级客运站1个，新改建乡镇综合运输服务站3</w:t>
            </w:r>
            <w:r>
              <w:rPr>
                <w:color w:val="000000"/>
                <w:sz w:val="21"/>
                <w:szCs w:val="21"/>
              </w:rPr>
              <w:t>3</w:t>
            </w:r>
            <w:r>
              <w:rPr>
                <w:rFonts w:hint="eastAsia"/>
                <w:color w:val="000000"/>
                <w:sz w:val="21"/>
                <w:szCs w:val="21"/>
              </w:rPr>
              <w:t>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shd w:val="clear" w:color="auto" w:fill="2F5496"/>
          <w:tblCellMar>
            <w:top w:w="0" w:type="dxa"/>
            <w:left w:w="108" w:type="dxa"/>
            <w:bottom w:w="0" w:type="dxa"/>
            <w:right w:w="108" w:type="dxa"/>
          </w:tblCellMar>
        </w:tblPrEx>
        <w:trPr>
          <w:trHeight w:val="340" w:hRule="atLeast"/>
          <w:jc w:val="center"/>
        </w:trPr>
        <w:tc>
          <w:tcPr>
            <w:tcW w:w="1067" w:type="dxa"/>
            <w:vMerge w:val="continue"/>
            <w:shd w:val="clear" w:color="auto" w:fill="FFFFFF"/>
            <w:vAlign w:val="center"/>
          </w:tcPr>
          <w:p>
            <w:pPr>
              <w:widowControl/>
              <w:spacing w:line="240" w:lineRule="auto"/>
              <w:ind w:firstLine="643" w:firstLineChars="0"/>
              <w:jc w:val="center"/>
              <w:rPr>
                <w:color w:val="000000"/>
                <w:kern w:val="0"/>
                <w:sz w:val="21"/>
                <w:szCs w:val="21"/>
              </w:rPr>
            </w:pPr>
          </w:p>
        </w:tc>
        <w:tc>
          <w:tcPr>
            <w:tcW w:w="1158" w:type="dxa"/>
            <w:vMerge w:val="continue"/>
            <w:shd w:val="clear" w:color="auto" w:fill="FFFFFF"/>
            <w:vAlign w:val="center"/>
          </w:tcPr>
          <w:p>
            <w:pPr>
              <w:spacing w:line="240" w:lineRule="auto"/>
              <w:ind w:firstLine="640" w:firstLineChars="0"/>
              <w:jc w:val="center"/>
              <w:rPr>
                <w:color w:val="000000"/>
                <w:sz w:val="21"/>
                <w:szCs w:val="21"/>
              </w:rPr>
            </w:pPr>
          </w:p>
        </w:tc>
        <w:tc>
          <w:tcPr>
            <w:tcW w:w="1177" w:type="dxa"/>
            <w:vMerge w:val="continue"/>
            <w:shd w:val="clear" w:color="auto" w:fill="FFFFFF"/>
            <w:vAlign w:val="center"/>
          </w:tcPr>
          <w:p>
            <w:pPr>
              <w:spacing w:line="240" w:lineRule="auto"/>
              <w:ind w:firstLine="643" w:firstLineChars="0"/>
              <w:jc w:val="center"/>
              <w:rPr>
                <w:color w:val="000000"/>
                <w:sz w:val="21"/>
                <w:szCs w:val="21"/>
              </w:rPr>
            </w:pPr>
          </w:p>
        </w:tc>
        <w:tc>
          <w:tcPr>
            <w:tcW w:w="1843" w:type="dxa"/>
            <w:shd w:val="clear" w:color="auto" w:fill="FFFFFF"/>
            <w:vAlign w:val="center"/>
          </w:tcPr>
          <w:p>
            <w:pPr>
              <w:spacing w:line="240" w:lineRule="auto"/>
              <w:ind w:firstLine="0" w:firstLineChars="0"/>
              <w:jc w:val="center"/>
              <w:rPr>
                <w:color w:val="000000"/>
                <w:sz w:val="21"/>
                <w:szCs w:val="21"/>
              </w:rPr>
            </w:pPr>
            <w:r>
              <w:rPr>
                <w:color w:val="000000"/>
                <w:sz w:val="21"/>
                <w:szCs w:val="21"/>
              </w:rPr>
              <w:t>货运站场</w:t>
            </w:r>
          </w:p>
        </w:tc>
        <w:tc>
          <w:tcPr>
            <w:tcW w:w="3397" w:type="dxa"/>
            <w:shd w:val="clear" w:color="auto" w:fill="FFFFFF"/>
            <w:vAlign w:val="center"/>
          </w:tcPr>
          <w:p>
            <w:pPr>
              <w:spacing w:line="240" w:lineRule="auto"/>
              <w:ind w:firstLine="0" w:firstLineChars="0"/>
              <w:rPr>
                <w:color w:val="000000"/>
                <w:sz w:val="21"/>
                <w:szCs w:val="21"/>
                <w:highlight w:val="yellow"/>
              </w:rPr>
            </w:pPr>
            <w:r>
              <w:rPr>
                <w:rFonts w:hint="eastAsia"/>
                <w:color w:val="000000"/>
                <w:sz w:val="21"/>
                <w:szCs w:val="21"/>
              </w:rPr>
              <w:t>新建综合货运枢纽（物流园区）3个</w:t>
            </w:r>
          </w:p>
        </w:tc>
      </w:tr>
      <w:bookmarkEnd w:id="69"/>
    </w:tbl>
    <w:p>
      <w:pPr>
        <w:pStyle w:val="4"/>
        <w:spacing w:before="0" w:after="0"/>
        <w:ind w:firstLine="643"/>
        <w:rPr>
          <w:rFonts w:eastAsia="黑体"/>
        </w:rPr>
      </w:pPr>
      <w:bookmarkStart w:id="70" w:name="_Toc72864747"/>
      <w:r>
        <w:rPr>
          <w:rFonts w:eastAsia="黑体"/>
        </w:rPr>
        <w:br w:type="page"/>
      </w:r>
    </w:p>
    <w:p>
      <w:pPr>
        <w:pStyle w:val="4"/>
        <w:spacing w:before="0" w:after="0"/>
        <w:ind w:firstLine="643"/>
        <w:rPr>
          <w:rFonts w:eastAsia="黑体"/>
        </w:rPr>
      </w:pPr>
      <w:r>
        <w:rPr>
          <w:rFonts w:hint="eastAsia" w:eastAsia="黑体"/>
        </w:rPr>
        <w:t>七、实施效果</w:t>
      </w:r>
      <w:bookmarkEnd w:id="70"/>
    </w:p>
    <w:p>
      <w:pPr>
        <w:ind w:firstLine="643"/>
      </w:pPr>
      <w:r>
        <w:rPr>
          <w:rFonts w:hint="eastAsia" w:eastAsia="楷体_GB2312"/>
          <w:b/>
          <w:bCs/>
          <w:szCs w:val="32"/>
        </w:rPr>
        <w:t>“5”</w:t>
      </w:r>
      <w:r>
        <w:rPr>
          <w:rFonts w:hint="eastAsia"/>
          <w:b/>
        </w:rPr>
        <w:t>—</w:t>
      </w:r>
      <w:r>
        <w:rPr>
          <w:rFonts w:eastAsia="楷体_GB2312"/>
          <w:b/>
          <w:bCs/>
          <w:szCs w:val="32"/>
        </w:rPr>
        <w:t>5</w:t>
      </w:r>
      <w:r>
        <w:rPr>
          <w:rFonts w:hint="eastAsia" w:eastAsia="楷体_GB2312"/>
          <w:b/>
          <w:bCs/>
          <w:szCs w:val="32"/>
        </w:rPr>
        <w:t>张基础设施网络有效搭建。</w:t>
      </w:r>
      <w:r>
        <w:rPr>
          <w:rFonts w:hint="eastAsia"/>
        </w:rPr>
        <w:t>规划实施完成后，资阳将形成由发达的轨道网、密集的高速网、完善的干线网、广泛的基础网、高效的城市网组成的基础设施网络，构筑空铁公一体、多线连成渝、市域大畅通的综合交通格局。</w:t>
      </w:r>
    </w:p>
    <w:p>
      <w:pPr>
        <w:ind w:firstLine="643"/>
        <w:rPr>
          <w:rFonts w:eastAsia="楷体_GB2312"/>
          <w:b/>
          <w:bCs/>
          <w:szCs w:val="32"/>
        </w:rPr>
      </w:pPr>
      <w:r>
        <w:rPr>
          <w:rFonts w:hint="eastAsia" w:eastAsia="楷体_GB2312"/>
          <w:b/>
          <w:bCs/>
          <w:szCs w:val="32"/>
        </w:rPr>
        <w:t>“4”—</w:t>
      </w:r>
      <w:r>
        <w:rPr>
          <w:rFonts w:eastAsia="楷体_GB2312"/>
          <w:b/>
          <w:bCs/>
          <w:szCs w:val="32"/>
        </w:rPr>
        <w:t>4</w:t>
      </w:r>
      <w:r>
        <w:rPr>
          <w:rFonts w:hint="eastAsia" w:eastAsia="楷体_GB2312"/>
          <w:b/>
          <w:bCs/>
          <w:szCs w:val="32"/>
        </w:rPr>
        <w:t>大出行空间尺度合理配置。</w:t>
      </w:r>
      <w:r>
        <w:rPr>
          <w:rFonts w:hint="eastAsia"/>
        </w:rPr>
        <w:t>规划实施完成后，资阳将形成区际、城际、城市、城乡等多层级的运输服务网络，在融入全国主要城市“3小时”航空圈和成渝地区主要城市“2小时”高铁圈外，全面形成成资1小时通勤、资渝1小时通达、市域1小时畅达3个“1小时”交通圈。</w:t>
      </w:r>
    </w:p>
    <w:p>
      <w:pPr>
        <w:pStyle w:val="2"/>
        <w:spacing w:after="0"/>
        <w:ind w:firstLine="643"/>
      </w:pPr>
      <w:r>
        <w:rPr>
          <w:rFonts w:hint="eastAsia" w:eastAsia="楷体_GB2312"/>
          <w:b/>
          <w:bCs/>
          <w:szCs w:val="32"/>
        </w:rPr>
        <w:t>“3”—</w:t>
      </w:r>
      <w:r>
        <w:rPr>
          <w:rFonts w:eastAsia="楷体_GB2312"/>
          <w:b/>
          <w:bCs/>
          <w:szCs w:val="32"/>
        </w:rPr>
        <w:t>3</w:t>
      </w:r>
      <w:r>
        <w:rPr>
          <w:rFonts w:hint="eastAsia" w:eastAsia="楷体_GB2312"/>
          <w:b/>
          <w:bCs/>
          <w:szCs w:val="32"/>
        </w:rPr>
        <w:t>个发展领域实现全省领先。</w:t>
      </w:r>
      <w:r>
        <w:rPr>
          <w:rFonts w:hint="eastAsia"/>
        </w:rPr>
        <w:t>规划实施完成后，资阳将在全省地级市中率先实现“县县通达高铁、县县有枢纽站”交通格局，率先获批“金通工程</w:t>
      </w:r>
      <w:r>
        <w:t>•</w:t>
      </w:r>
      <w:r>
        <w:rPr>
          <w:rFonts w:hint="eastAsia"/>
        </w:rPr>
        <w:t>天府交邮通”全省示范市及“交邮融合</w:t>
      </w:r>
      <w:r>
        <w:t>•</w:t>
      </w:r>
      <w:r>
        <w:rPr>
          <w:rFonts w:hint="eastAsia"/>
        </w:rPr>
        <w:t>快递进村”全国示范市，率先建成“国家机车商用车制造基地”。</w:t>
      </w:r>
    </w:p>
    <w:p>
      <w:pPr>
        <w:pStyle w:val="2"/>
        <w:spacing w:after="0"/>
        <w:ind w:firstLine="643"/>
      </w:pPr>
      <w:r>
        <w:rPr>
          <w:rFonts w:hint="eastAsia" w:eastAsia="楷体_GB2312"/>
          <w:b/>
          <w:bCs/>
          <w:szCs w:val="32"/>
        </w:rPr>
        <w:t>“2”—2项投资指标取得历史突破。</w:t>
      </w:r>
      <w:r>
        <w:rPr>
          <w:rFonts w:hint="eastAsia"/>
        </w:rPr>
        <w:t>规划实施完成后，资阳综合交通投资规模将达到新高度、首次突破“千亿元”大关，交通基本建设投资占全社会固定资产投资的比例同步达到新高度。</w:t>
      </w:r>
    </w:p>
    <w:p>
      <w:pPr>
        <w:pStyle w:val="2"/>
        <w:spacing w:after="0"/>
        <w:ind w:firstLine="643"/>
      </w:pPr>
      <w:r>
        <w:rPr>
          <w:rFonts w:hint="eastAsia" w:eastAsia="楷体_GB2312"/>
          <w:b/>
          <w:bCs/>
          <w:szCs w:val="32"/>
        </w:rPr>
        <w:t>“1”</w:t>
      </w:r>
      <w:bookmarkStart w:id="71" w:name="_Hlk73000730"/>
      <w:r>
        <w:rPr>
          <w:rFonts w:hint="eastAsia" w:eastAsia="楷体_GB2312"/>
          <w:b/>
          <w:bCs/>
          <w:szCs w:val="32"/>
        </w:rPr>
        <w:t>—</w:t>
      </w:r>
      <w:bookmarkEnd w:id="71"/>
      <w:r>
        <w:rPr>
          <w:rFonts w:hint="eastAsia" w:eastAsia="楷体_GB2312"/>
          <w:b/>
          <w:bCs/>
          <w:szCs w:val="32"/>
        </w:rPr>
        <w:t>1条成渝首选直捷交通走廊。</w:t>
      </w:r>
      <w:r>
        <w:rPr>
          <w:rFonts w:hint="eastAsia"/>
        </w:rPr>
        <w:t>规划实施完成后，成都经资阳至重庆将形成</w:t>
      </w:r>
      <w:r>
        <w:t>2</w:t>
      </w:r>
      <w:r>
        <w:rPr>
          <w:rFonts w:hint="eastAsia"/>
        </w:rPr>
        <w:t>条双向六车道高速公路通道、3条时速3</w:t>
      </w:r>
      <w:r>
        <w:t>50</w:t>
      </w:r>
      <w:r>
        <w:rPr>
          <w:rFonts w:hint="eastAsia"/>
        </w:rPr>
        <w:t>公里高速铁路通道，资阳作为成渝直连通道几何中心的交通优势更加凸显。</w:t>
      </w:r>
      <w:r>
        <w:br w:type="page"/>
      </w:r>
    </w:p>
    <w:p>
      <w:pPr>
        <w:pStyle w:val="4"/>
        <w:keepNext w:val="0"/>
        <w:keepLines w:val="0"/>
        <w:adjustRightInd w:val="0"/>
        <w:snapToGrid w:val="0"/>
        <w:spacing w:before="0" w:after="0" w:line="360" w:lineRule="auto"/>
        <w:ind w:firstLine="643"/>
        <w:rPr>
          <w:rFonts w:eastAsia="黑体" w:cs="Times New Roman"/>
        </w:rPr>
      </w:pPr>
      <w:bookmarkStart w:id="72" w:name="_Toc72864748"/>
      <w:r>
        <w:rPr>
          <w:rFonts w:hint="eastAsia" w:eastAsia="黑体" w:cs="Times New Roman"/>
        </w:rPr>
        <w:t>八、环境影响</w:t>
      </w:r>
      <w:bookmarkEnd w:id="72"/>
    </w:p>
    <w:p>
      <w:pPr>
        <w:ind w:firstLine="640"/>
      </w:pPr>
      <w:r>
        <w:rPr>
          <w:rFonts w:hint="eastAsia"/>
        </w:rPr>
        <w:t>本规划围绕生态优先、绿色发展要求，在交通建设、运输生产、行业管理全过程，注重集约节约、可持续发展，全面提高资源综合利用效率，降低污染排放水平。</w:t>
      </w:r>
    </w:p>
    <w:p>
      <w:pPr>
        <w:adjustRightInd w:val="0"/>
        <w:snapToGrid w:val="0"/>
        <w:ind w:firstLine="643"/>
        <w:outlineLvl w:val="2"/>
        <w:rPr>
          <w:rFonts w:eastAsia="楷体_GB2312"/>
          <w:b/>
          <w:bCs/>
          <w:szCs w:val="32"/>
        </w:rPr>
      </w:pPr>
      <w:bookmarkStart w:id="73" w:name="_Toc72864749"/>
      <w:r>
        <w:rPr>
          <w:rFonts w:hint="eastAsia" w:eastAsia="楷体_GB2312"/>
          <w:b/>
          <w:bCs/>
          <w:szCs w:val="32"/>
        </w:rPr>
        <w:t>（一）生态环境概述</w:t>
      </w:r>
      <w:bookmarkEnd w:id="73"/>
    </w:p>
    <w:p>
      <w:pPr>
        <w:adjustRightInd w:val="0"/>
        <w:snapToGrid w:val="0"/>
        <w:ind w:firstLine="640"/>
      </w:pPr>
      <w:r>
        <w:rPr>
          <w:rFonts w:hint="eastAsia"/>
        </w:rPr>
        <w:t>根据生态空间划定结果，资阳境内共有2处省级自然保护区、4处县级及以上集中式饮用水源地自然保护地、8处重要湖库以及若干公益林，生态空间总面积184.4平方公里，占全市幅员面积的3.2%。</w:t>
      </w:r>
    </w:p>
    <w:p>
      <w:pPr>
        <w:adjustRightInd w:val="0"/>
        <w:snapToGrid w:val="0"/>
        <w:ind w:firstLine="643"/>
        <w:outlineLvl w:val="2"/>
        <w:rPr>
          <w:rFonts w:eastAsia="楷体_GB2312"/>
          <w:b/>
          <w:bCs/>
          <w:szCs w:val="32"/>
        </w:rPr>
      </w:pPr>
      <w:bookmarkStart w:id="74" w:name="_Toc72864750"/>
      <w:r>
        <w:rPr>
          <w:rFonts w:hint="eastAsia" w:eastAsia="楷体_GB2312"/>
          <w:b/>
          <w:bCs/>
          <w:szCs w:val="32"/>
        </w:rPr>
        <w:t>（二）环境影响分析</w:t>
      </w:r>
      <w:bookmarkEnd w:id="74"/>
    </w:p>
    <w:p>
      <w:pPr>
        <w:ind w:firstLine="643"/>
        <w:rPr>
          <w:rFonts w:eastAsia="楷体_GB2312"/>
          <w:b/>
          <w:bCs/>
          <w:szCs w:val="32"/>
        </w:rPr>
      </w:pPr>
      <w:r>
        <w:rPr>
          <w:rFonts w:hint="eastAsia" w:eastAsia="楷体_GB2312"/>
          <w:b/>
          <w:bCs/>
          <w:szCs w:val="32"/>
        </w:rPr>
        <w:t>1</w:t>
      </w:r>
      <w:r>
        <w:rPr>
          <w:rFonts w:eastAsia="楷体_GB2312"/>
          <w:b/>
          <w:bCs/>
          <w:szCs w:val="32"/>
        </w:rPr>
        <w:t xml:space="preserve">. </w:t>
      </w:r>
      <w:r>
        <w:rPr>
          <w:rFonts w:hint="eastAsia" w:eastAsia="楷体_GB2312"/>
          <w:b/>
          <w:bCs/>
          <w:szCs w:val="32"/>
        </w:rPr>
        <w:t>相关规划协调性分析</w:t>
      </w:r>
    </w:p>
    <w:p>
      <w:pPr>
        <w:ind w:firstLine="640"/>
      </w:pPr>
      <w:r>
        <w:rPr>
          <w:rFonts w:hint="eastAsia"/>
        </w:rPr>
        <w:t>本规划与《国家综合立体网规划纲要》《四川省综合立体网规划纲要（2</w:t>
      </w:r>
      <w:r>
        <w:t>021</w:t>
      </w:r>
      <w:r>
        <w:rPr>
          <w:rFonts w:hint="eastAsia"/>
        </w:rPr>
        <w:t>-</w:t>
      </w:r>
      <w:r>
        <w:t>2035</w:t>
      </w:r>
      <w:r>
        <w:rPr>
          <w:rFonts w:hint="eastAsia"/>
        </w:rPr>
        <w:t>年）》等上层规划相符合，与正在编制的《资阳市国土空间总体规划（2</w:t>
      </w:r>
      <w:r>
        <w:t>020</w:t>
      </w:r>
      <w:r>
        <w:rPr>
          <w:rFonts w:hint="eastAsia"/>
        </w:rPr>
        <w:t>-</w:t>
      </w:r>
      <w:r>
        <w:t>2035</w:t>
      </w:r>
      <w:r>
        <w:rPr>
          <w:rFonts w:hint="eastAsia"/>
        </w:rPr>
        <w:t>年）》、“三线一单”生态环境分区管控等相衔接。规划不涉及全省主体功能区规划的禁止开发区域，不会对全域农业发展和生物多样性造成显著影响。</w:t>
      </w:r>
    </w:p>
    <w:p>
      <w:pPr>
        <w:ind w:firstLine="643"/>
        <w:rPr>
          <w:rFonts w:eastAsia="楷体_GB2312"/>
          <w:b/>
          <w:bCs/>
          <w:szCs w:val="32"/>
        </w:rPr>
      </w:pPr>
      <w:r>
        <w:rPr>
          <w:rFonts w:hint="eastAsia" w:eastAsia="楷体_GB2312"/>
          <w:b/>
          <w:bCs/>
          <w:szCs w:val="32"/>
        </w:rPr>
        <w:t>2</w:t>
      </w:r>
      <w:r>
        <w:rPr>
          <w:rFonts w:eastAsia="楷体_GB2312"/>
          <w:b/>
          <w:bCs/>
          <w:szCs w:val="32"/>
        </w:rPr>
        <w:t xml:space="preserve">. </w:t>
      </w:r>
      <w:r>
        <w:rPr>
          <w:rFonts w:hint="eastAsia" w:eastAsia="楷体_GB2312"/>
          <w:b/>
          <w:bCs/>
          <w:szCs w:val="32"/>
        </w:rPr>
        <w:t>环境影响分析</w:t>
      </w:r>
    </w:p>
    <w:p>
      <w:pPr>
        <w:ind w:firstLine="640"/>
      </w:pPr>
      <w:r>
        <w:rPr>
          <w:rFonts w:hint="eastAsia"/>
        </w:rPr>
        <w:t>规划实施对环境的不利影响主要体现在资源占用、生态影响和污染排放等方面。建设环节可能对生态评估区产生影响，项目实施新增占用部分土地资源，使土地利用格局发生变化，同时征地拆迁存在一定社会稳定风险。施工期及运营期不同程度会向周边环境排放废气、污水、噪声、固体污染物等，对局部地区自然生态环境产生影响。但本规划已与国土空间规划等充分衔接，规划项目符合生态保护红线、永久基本农田、城镇开发边界三条控制线的相关要求，环境敏感点及区域可通过优化选址选线予以有效避让。同时，通过建设绿色生态基础设施、推广节能环保运输装备和优化交通运输组织方式，规划实施后能耗和排放指标明显下降，环境质量不会受较大影响。</w:t>
      </w:r>
    </w:p>
    <w:p>
      <w:pPr>
        <w:ind w:firstLine="643"/>
        <w:rPr>
          <w:rFonts w:eastAsia="楷体_GB2312"/>
          <w:b/>
          <w:bCs/>
          <w:szCs w:val="32"/>
        </w:rPr>
      </w:pPr>
      <w:r>
        <w:rPr>
          <w:rFonts w:hint="eastAsia" w:eastAsia="楷体_GB2312"/>
          <w:b/>
          <w:bCs/>
          <w:szCs w:val="32"/>
        </w:rPr>
        <w:t>3</w:t>
      </w:r>
      <w:r>
        <w:rPr>
          <w:rFonts w:eastAsia="楷体_GB2312"/>
          <w:b/>
          <w:bCs/>
          <w:szCs w:val="32"/>
        </w:rPr>
        <w:t xml:space="preserve">. </w:t>
      </w:r>
      <w:r>
        <w:rPr>
          <w:rFonts w:hint="eastAsia" w:eastAsia="楷体_GB2312"/>
          <w:b/>
          <w:bCs/>
          <w:szCs w:val="32"/>
        </w:rPr>
        <w:t>环境影响减缓措施</w:t>
      </w:r>
    </w:p>
    <w:p>
      <w:pPr>
        <w:ind w:firstLine="640"/>
      </w:pPr>
      <w:r>
        <w:t>集约</w:t>
      </w:r>
      <w:r>
        <w:rPr>
          <w:rFonts w:hint="eastAsia"/>
        </w:rPr>
        <w:t>节约</w:t>
      </w:r>
      <w:r>
        <w:t>利用资源</w:t>
      </w:r>
      <w:r>
        <w:rPr>
          <w:rFonts w:hint="eastAsia"/>
        </w:rPr>
        <w:t>，控制</w:t>
      </w:r>
      <w:r>
        <w:t>污染</w:t>
      </w:r>
      <w:r>
        <w:rPr>
          <w:rFonts w:hint="eastAsia"/>
        </w:rPr>
        <w:t>排放强度</w:t>
      </w:r>
      <w:r>
        <w:t>。</w:t>
      </w:r>
      <w:r>
        <w:rPr>
          <w:rFonts w:hint="eastAsia"/>
        </w:rPr>
        <w:t>合理利用交通存量资源，</w:t>
      </w:r>
      <w:r>
        <w:t>通过既有设施改造、扩容等手段提高利用效率，尽量减少耕地占用</w:t>
      </w:r>
      <w:r>
        <w:rPr>
          <w:rFonts w:hint="eastAsia"/>
        </w:rPr>
        <w:t>。提高铁路、水运、城市公交承运比重，</w:t>
      </w:r>
      <w:r>
        <w:t>加速淘汰高耗能的老旧</w:t>
      </w:r>
      <w:r>
        <w:rPr>
          <w:rFonts w:hint="eastAsia"/>
        </w:rPr>
        <w:t>交通装备</w:t>
      </w:r>
      <w:r>
        <w:t>，</w:t>
      </w:r>
      <w:r>
        <w:rPr>
          <w:rFonts w:hint="eastAsia"/>
        </w:rPr>
        <w:t>全面推广清洁能源和新能源车辆应用。</w:t>
      </w:r>
    </w:p>
    <w:p>
      <w:pPr>
        <w:ind w:firstLine="640"/>
      </w:pPr>
      <w:r>
        <w:t>强化生态保护</w:t>
      </w:r>
      <w:r>
        <w:rPr>
          <w:rFonts w:hint="eastAsia"/>
        </w:rPr>
        <w:t>修复，推进通道绿化工程。</w:t>
      </w:r>
      <w:r>
        <w:t>合理</w:t>
      </w:r>
      <w:r>
        <w:rPr>
          <w:rFonts w:hint="eastAsia"/>
        </w:rPr>
        <w:t>优化线型</w:t>
      </w:r>
      <w:r>
        <w:t>走向和场站选址，避绕生态敏感区域和永久基本农田</w:t>
      </w:r>
      <w:r>
        <w:rPr>
          <w:rFonts w:hint="eastAsia"/>
        </w:rPr>
        <w:t>。开展环境恢复和污染治理，做好地形、地貌、生态环境恢复和土地复垦工作，做好水土保持和生态修复等工作。建设以高速公路及连接线、快速通道、旅游公路为先导，以国省道为辐射，以县乡道为补充的全市绿色生态廊道。</w:t>
      </w:r>
    </w:p>
    <w:p>
      <w:pPr>
        <w:ind w:firstLine="640"/>
      </w:pPr>
      <w:r>
        <w:t>完善环境</w:t>
      </w:r>
      <w:r>
        <w:rPr>
          <w:rFonts w:hint="eastAsia"/>
        </w:rPr>
        <w:t>监测</w:t>
      </w:r>
      <w:r>
        <w:t>体系</w:t>
      </w:r>
      <w:r>
        <w:rPr>
          <w:rFonts w:hint="eastAsia"/>
        </w:rPr>
        <w:t>，提升环境管理能力</w:t>
      </w:r>
      <w:r>
        <w:t>。严格执行《中华人民共和国环境保护法》《建设项目环境保护管理条例》等法律法规，严格执行环境影响评价制度、节能审查制度，加大建设项目后期管理力度，强化验收环节的管理，做好规划项目施工、运行阶段的环境监管。</w:t>
      </w:r>
    </w:p>
    <w:p>
      <w:pPr>
        <w:adjustRightInd w:val="0"/>
        <w:snapToGrid w:val="0"/>
        <w:ind w:firstLine="643"/>
        <w:outlineLvl w:val="2"/>
        <w:rPr>
          <w:rFonts w:eastAsia="楷体_GB2312"/>
          <w:b/>
          <w:bCs/>
          <w:szCs w:val="32"/>
        </w:rPr>
      </w:pPr>
      <w:bookmarkStart w:id="75" w:name="_Toc72864751"/>
      <w:r>
        <w:rPr>
          <w:rFonts w:hint="eastAsia" w:eastAsia="楷体_GB2312"/>
          <w:b/>
          <w:bCs/>
          <w:szCs w:val="32"/>
        </w:rPr>
        <w:t>（三）规划综合评述</w:t>
      </w:r>
      <w:bookmarkEnd w:id="75"/>
    </w:p>
    <w:p>
      <w:pPr>
        <w:ind w:firstLine="640"/>
      </w:pPr>
      <w:r>
        <w:rPr>
          <w:rFonts w:hint="eastAsia"/>
        </w:rPr>
        <w:t>本规划贯彻“创新、协调、绿色、开发、共享”的新发展理念，综合考虑资阳现有经济社会发展水平、人口与资源分布、地形与地貌特点和不同地区的生态环境特征，与相关规划基本协调，符合国家生态文明建设的具体要求。落实各项预防和减轻不良环境影响的对策措施后，生态影响和环境污染能够得到有效控制，从环境保护角度分析，实施本规划总体可行。</w:t>
      </w:r>
      <w:r>
        <w:br w:type="page"/>
      </w:r>
    </w:p>
    <w:p>
      <w:pPr>
        <w:pStyle w:val="4"/>
        <w:keepNext w:val="0"/>
        <w:keepLines w:val="0"/>
        <w:adjustRightInd w:val="0"/>
        <w:snapToGrid w:val="0"/>
        <w:spacing w:before="0" w:after="0" w:line="360" w:lineRule="auto"/>
        <w:ind w:firstLine="643"/>
        <w:rPr>
          <w:rFonts w:eastAsia="黑体" w:cs="Times New Roman"/>
        </w:rPr>
      </w:pPr>
      <w:bookmarkStart w:id="76" w:name="_Toc72864752"/>
      <w:r>
        <w:rPr>
          <w:rFonts w:hint="eastAsia" w:eastAsia="黑体" w:cs="Times New Roman"/>
        </w:rPr>
        <w:t>九</w:t>
      </w:r>
      <w:r>
        <w:rPr>
          <w:rFonts w:eastAsia="黑体" w:cs="Times New Roman"/>
        </w:rPr>
        <w:t>、保障措施</w:t>
      </w:r>
      <w:bookmarkEnd w:id="76"/>
    </w:p>
    <w:p>
      <w:pPr>
        <w:ind w:firstLine="643"/>
        <w:rPr>
          <w:rFonts w:eastAsia="楷体_GB2312"/>
          <w:b/>
          <w:bCs/>
          <w:szCs w:val="32"/>
        </w:rPr>
      </w:pPr>
      <w:bookmarkStart w:id="77" w:name="_Toc40725239"/>
      <w:r>
        <w:rPr>
          <w:rFonts w:eastAsia="楷体_GB2312"/>
          <w:b/>
          <w:bCs/>
          <w:szCs w:val="32"/>
        </w:rPr>
        <w:t>（一）加强组织领导</w:t>
      </w:r>
      <w:bookmarkEnd w:id="77"/>
    </w:p>
    <w:p>
      <w:pPr>
        <w:ind w:firstLine="640"/>
      </w:pPr>
      <w:r>
        <w:rPr>
          <w:rFonts w:hint="eastAsia"/>
        </w:rPr>
        <w:t>坚持党的全面领导，全面构建党政主导、部门协同、上下联动、周边互动、群众参与的综合交通规划实施工作机制。成立综合交通建设领导小组，定期会商会办重要事项、解决重要问题并进行跟踪分析、督促检查，协调解决突发问题。实行项目“责任制+清单制”管理，各级责任主体要对项目责任落实、建设质量、工程进度、资金到位等进行重点监测评估，及时开展年度监测分析、中期评估和总结评价，尽早发现并解决存在的问题。</w:t>
      </w:r>
    </w:p>
    <w:p>
      <w:pPr>
        <w:adjustRightInd w:val="0"/>
        <w:snapToGrid w:val="0"/>
        <w:ind w:firstLine="643"/>
        <w:rPr>
          <w:rFonts w:eastAsia="楷体_GB2312"/>
          <w:b/>
          <w:bCs/>
          <w:szCs w:val="32"/>
        </w:rPr>
      </w:pPr>
      <w:r>
        <w:rPr>
          <w:rFonts w:hint="eastAsia" w:eastAsia="楷体_GB2312"/>
          <w:b/>
          <w:bCs/>
          <w:szCs w:val="32"/>
        </w:rPr>
        <w:t>（二）加强规划统筹</w:t>
      </w:r>
    </w:p>
    <w:p>
      <w:pPr>
        <w:adjustRightInd w:val="0"/>
        <w:snapToGrid w:val="0"/>
        <w:ind w:firstLine="640"/>
        <w:rPr>
          <w:snapToGrid w:val="0"/>
          <w:kern w:val="0"/>
          <w:szCs w:val="32"/>
        </w:rPr>
      </w:pPr>
      <w:r>
        <w:rPr>
          <w:rFonts w:hint="eastAsia"/>
          <w:szCs w:val="32"/>
        </w:rPr>
        <w:t>加强与《四川省综合立体网规划纲要（2</w:t>
      </w:r>
      <w:r>
        <w:rPr>
          <w:szCs w:val="32"/>
        </w:rPr>
        <w:t>021</w:t>
      </w:r>
      <w:r>
        <w:rPr>
          <w:rFonts w:hint="eastAsia"/>
          <w:szCs w:val="32"/>
        </w:rPr>
        <w:t>-</w:t>
      </w:r>
      <w:r>
        <w:rPr>
          <w:szCs w:val="32"/>
        </w:rPr>
        <w:t>2035</w:t>
      </w:r>
      <w:r>
        <w:rPr>
          <w:rFonts w:hint="eastAsia"/>
          <w:szCs w:val="32"/>
        </w:rPr>
        <w:t>年）》衔接，与《四川省“十四五”综合交通运输发展规划》《成德眉资同城化综合交通基础设施专项规划（2</w:t>
      </w:r>
      <w:r>
        <w:rPr>
          <w:szCs w:val="32"/>
        </w:rPr>
        <w:t>020</w:t>
      </w:r>
      <w:r>
        <w:rPr>
          <w:rFonts w:hint="eastAsia"/>
          <w:szCs w:val="32"/>
        </w:rPr>
        <w:t>-</w:t>
      </w:r>
      <w:r>
        <w:rPr>
          <w:szCs w:val="32"/>
        </w:rPr>
        <w:t>2025</w:t>
      </w:r>
      <w:r>
        <w:rPr>
          <w:rFonts w:hint="eastAsia"/>
          <w:szCs w:val="32"/>
        </w:rPr>
        <w:t>年）》《资阳市国民经济和社会发展第十四个五年规划纲要》协同，紧密对接国土空间、生态保护、产业发展等相关规划，切实保障交通重点项目建设用地需求，制定和完善财政、金融、法规等相关配套政策措施，促进交通规划建设与资源禀赋利用相协调。</w:t>
      </w:r>
    </w:p>
    <w:p>
      <w:pPr>
        <w:ind w:firstLine="643"/>
        <w:rPr>
          <w:rFonts w:eastAsia="楷体_GB2312"/>
          <w:b/>
          <w:bCs/>
          <w:szCs w:val="32"/>
        </w:rPr>
      </w:pPr>
      <w:r>
        <w:rPr>
          <w:rFonts w:hint="eastAsia" w:eastAsia="楷体_GB2312"/>
          <w:b/>
          <w:bCs/>
          <w:szCs w:val="32"/>
        </w:rPr>
        <w:t>（三）强化资金保障</w:t>
      </w:r>
    </w:p>
    <w:p>
      <w:pPr>
        <w:ind w:firstLine="640"/>
      </w:pPr>
      <w:r>
        <w:rPr>
          <w:rFonts w:hint="eastAsia"/>
        </w:rPr>
        <w:t>积极争取中省专项资金支持，继续加大市县两级财政资金对交通发展的投入力度，探索建立交通发展政府性基金制度，联合争取省级发行同城化交通专项债券，构建综合交通发展“资金池”。积极向省政府争取扩大一般债券、专项债券用于资阳交通建设项目额度。加大社会资本参与度，继续推广PPP、BOT等投融资模式，积极整合涉农资金用于支持“四好农村路”建设。在有效防范政府债务和金融风险前提下，积极争取银行等金融机构提供信贷支持。</w:t>
      </w:r>
    </w:p>
    <w:p>
      <w:pPr>
        <w:ind w:firstLine="643"/>
        <w:rPr>
          <w:rFonts w:eastAsia="楷体_GB2312"/>
          <w:b/>
          <w:bCs/>
          <w:szCs w:val="32"/>
        </w:rPr>
      </w:pPr>
      <w:r>
        <w:rPr>
          <w:rFonts w:eastAsia="楷体_GB2312"/>
          <w:b/>
          <w:bCs/>
          <w:szCs w:val="32"/>
        </w:rPr>
        <w:t>（四）</w:t>
      </w:r>
      <w:r>
        <w:rPr>
          <w:rFonts w:hint="eastAsia" w:eastAsia="楷体_GB2312"/>
          <w:b/>
          <w:bCs/>
          <w:szCs w:val="32"/>
        </w:rPr>
        <w:t>强化人才保障</w:t>
      </w:r>
    </w:p>
    <w:p>
      <w:pPr>
        <w:ind w:firstLine="640"/>
        <w:rPr>
          <w:szCs w:val="32"/>
        </w:rPr>
      </w:pPr>
      <w:r>
        <w:rPr>
          <w:rFonts w:hint="eastAsia"/>
          <w:szCs w:val="32"/>
        </w:rPr>
        <w:t>健全领导干部学法长效机制，严格落实执法人员轮训和分级培训制度。完善人才引进机制，重点强化管理类及技术型人才的引进和培养，加强优秀年轻干部储备培养，优化人才队伍结构。通过开展专题培训班活动，提升行业基层一线人员的专业技术能力和项目管理水平，增强行业发展内生动力。培育践行交通运输行业核心价值体系，加强行业精神文明建设，提升交通运输行业文明程度和职工文明素质。</w:t>
      </w:r>
    </w:p>
    <w:p>
      <w:pPr>
        <w:pStyle w:val="2"/>
        <w:spacing w:after="0"/>
        <w:ind w:firstLine="640"/>
      </w:pPr>
      <w:r>
        <w:br w:type="page"/>
      </w:r>
      <w:bookmarkStart w:id="78" w:name="_Hlk49094256"/>
      <w:bookmarkStart w:id="79" w:name="_Hlk49094262"/>
    </w:p>
    <w:bookmarkEnd w:id="78"/>
    <w:bookmarkEnd w:id="79"/>
    <w:p>
      <w:pPr>
        <w:pStyle w:val="2"/>
        <w:spacing w:after="0"/>
        <w:ind w:firstLine="0" w:firstLineChars="0"/>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cols w:space="425" w:num="1"/>
          <w:docGrid w:type="lines" w:linePitch="312" w:charSpace="0"/>
        </w:sectPr>
      </w:pPr>
    </w:p>
    <w:p>
      <w:pPr>
        <w:pStyle w:val="4"/>
        <w:keepNext w:val="0"/>
        <w:keepLines w:val="0"/>
        <w:adjustRightInd w:val="0"/>
        <w:snapToGrid w:val="0"/>
        <w:spacing w:before="0" w:after="0" w:line="360" w:lineRule="auto"/>
        <w:ind w:firstLine="643"/>
        <w:rPr>
          <w:rFonts w:ascii="黑体" w:hAnsi="黑体" w:eastAsia="黑体"/>
          <w:color w:val="000000"/>
          <w:kern w:val="0"/>
        </w:rPr>
      </w:pPr>
      <w:bookmarkStart w:id="80" w:name="_Toc72864753"/>
      <w:bookmarkStart w:id="81" w:name="_Hlk53420901"/>
      <w:r>
        <w:rPr>
          <w:rFonts w:hint="eastAsia" w:ascii="黑体" w:hAnsi="黑体" w:eastAsia="黑体"/>
          <w:color w:val="000000"/>
          <w:kern w:val="0"/>
        </w:rPr>
        <w:t>附 表</w:t>
      </w:r>
      <w:bookmarkEnd w:id="80"/>
    </w:p>
    <w:tbl>
      <w:tblPr>
        <w:tblStyle w:val="21"/>
        <w:tblpPr w:leftFromText="180" w:rightFromText="180" w:vertAnchor="page" w:horzAnchor="page" w:tblpX="1462" w:tblpY="3126"/>
        <w:tblW w:w="1375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67"/>
        <w:gridCol w:w="1276"/>
        <w:gridCol w:w="992"/>
        <w:gridCol w:w="1701"/>
        <w:gridCol w:w="1276"/>
        <w:gridCol w:w="1134"/>
        <w:gridCol w:w="1276"/>
        <w:gridCol w:w="1469"/>
        <w:gridCol w:w="843"/>
        <w:gridCol w:w="844"/>
        <w:gridCol w:w="23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567"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序号</w:t>
            </w:r>
          </w:p>
        </w:tc>
        <w:tc>
          <w:tcPr>
            <w:tcW w:w="1276"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项目名称</w:t>
            </w:r>
          </w:p>
        </w:tc>
        <w:tc>
          <w:tcPr>
            <w:tcW w:w="992"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建设</w:t>
            </w:r>
          </w:p>
          <w:p>
            <w:pPr>
              <w:adjustRightInd w:val="0"/>
              <w:snapToGrid w:val="0"/>
              <w:spacing w:line="240" w:lineRule="atLeast"/>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性质</w:t>
            </w:r>
          </w:p>
        </w:tc>
        <w:tc>
          <w:tcPr>
            <w:tcW w:w="1701"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技术标准</w:t>
            </w:r>
          </w:p>
        </w:tc>
        <w:tc>
          <w:tcPr>
            <w:tcW w:w="1276"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资阳段里程</w:t>
            </w:r>
          </w:p>
          <w:p>
            <w:pPr>
              <w:adjustRightInd w:val="0"/>
              <w:snapToGrid w:val="0"/>
              <w:spacing w:line="240" w:lineRule="atLeast"/>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（公里）</w:t>
            </w:r>
          </w:p>
        </w:tc>
        <w:tc>
          <w:tcPr>
            <w:tcW w:w="1134"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资阳段</w:t>
            </w:r>
            <w:r>
              <w:rPr>
                <w:rFonts w:eastAsia="仿宋"/>
                <w:b/>
                <w:bCs/>
                <w:color w:val="000000"/>
                <w:kern w:val="0"/>
                <w:sz w:val="21"/>
                <w:szCs w:val="21"/>
              </w:rPr>
              <w:t>投资</w:t>
            </w:r>
          </w:p>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（亿元）</w:t>
            </w:r>
          </w:p>
        </w:tc>
        <w:tc>
          <w:tcPr>
            <w:tcW w:w="1276"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“十三五”投资</w:t>
            </w:r>
          </w:p>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（亿元）</w:t>
            </w:r>
          </w:p>
        </w:tc>
        <w:tc>
          <w:tcPr>
            <w:tcW w:w="1469"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“十四五”投资</w:t>
            </w:r>
            <w:r>
              <w:rPr>
                <w:rFonts w:hint="eastAsia" w:eastAsia="仿宋"/>
                <w:b/>
                <w:bCs/>
                <w:color w:val="000000"/>
                <w:kern w:val="0"/>
                <w:sz w:val="21"/>
                <w:szCs w:val="21"/>
              </w:rPr>
              <w:t xml:space="preserve"> </w:t>
            </w:r>
            <w:r>
              <w:rPr>
                <w:rFonts w:eastAsia="仿宋"/>
                <w:b/>
                <w:bCs/>
                <w:color w:val="000000"/>
                <w:kern w:val="0"/>
                <w:sz w:val="21"/>
                <w:szCs w:val="21"/>
              </w:rPr>
              <w:t>（亿元）</w:t>
            </w:r>
          </w:p>
        </w:tc>
        <w:tc>
          <w:tcPr>
            <w:tcW w:w="1687" w:type="dxa"/>
            <w:gridSpan w:val="2"/>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建设年限</w:t>
            </w:r>
          </w:p>
        </w:tc>
        <w:tc>
          <w:tcPr>
            <w:tcW w:w="2372" w:type="dxa"/>
            <w:vMerge w:val="restart"/>
            <w:shd w:val="clear" w:color="auto" w:fill="auto"/>
            <w:vAlign w:val="center"/>
          </w:tcPr>
          <w:p>
            <w:pPr>
              <w:adjustRightInd w:val="0"/>
              <w:snapToGrid w:val="0"/>
              <w:spacing w:line="240" w:lineRule="atLeast"/>
              <w:ind w:firstLine="0" w:firstLineChars="0"/>
              <w:jc w:val="center"/>
              <w:textAlignment w:val="center"/>
              <w:rPr>
                <w:rFonts w:eastAsia="仿宋"/>
                <w:b/>
                <w:bCs/>
                <w:color w:val="000000"/>
                <w:kern w:val="0"/>
                <w:sz w:val="21"/>
                <w:szCs w:val="21"/>
              </w:rPr>
            </w:pPr>
            <w:r>
              <w:rPr>
                <w:rFonts w:eastAsia="仿宋"/>
                <w:b/>
                <w:bCs/>
                <w:color w:val="000000"/>
                <w:kern w:val="0"/>
                <w:sz w:val="21"/>
                <w:szCs w:val="21"/>
              </w:rPr>
              <w:t>备注</w:t>
            </w:r>
            <w:r>
              <w:rPr>
                <w:rFonts w:hint="eastAsia" w:eastAsia="仿宋"/>
                <w:b/>
                <w:bCs/>
                <w:color w:val="000000"/>
                <w:kern w:val="0"/>
                <w:sz w:val="21"/>
                <w:szCs w:val="21"/>
              </w:rPr>
              <w:t>（全线）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67"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276"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992"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701"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276"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134"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276"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469"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eastAsia="仿宋"/>
                <w:b/>
                <w:bCs/>
                <w:color w:val="000000"/>
                <w:kern w:val="0"/>
                <w:sz w:val="21"/>
                <w:szCs w:val="21"/>
              </w:rPr>
              <w:t>开工年</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eastAsia="仿宋"/>
                <w:b/>
                <w:bCs/>
                <w:color w:val="000000"/>
                <w:kern w:val="0"/>
                <w:sz w:val="21"/>
                <w:szCs w:val="21"/>
              </w:rPr>
              <w:t>完工年</w:t>
            </w:r>
          </w:p>
        </w:tc>
        <w:tc>
          <w:tcPr>
            <w:tcW w:w="2372" w:type="dxa"/>
            <w:vMerge w:val="continue"/>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87" w:hRule="atLeast"/>
        </w:trPr>
        <w:tc>
          <w:tcPr>
            <w:tcW w:w="4536" w:type="dxa"/>
            <w:gridSpan w:val="4"/>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eastAsia="仿宋"/>
                <w:b/>
                <w:bCs/>
                <w:color w:val="000000"/>
                <w:kern w:val="0"/>
                <w:sz w:val="21"/>
                <w:szCs w:val="21"/>
              </w:rPr>
              <w:t>合 计</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3</w:t>
            </w:r>
            <w:r>
              <w:rPr>
                <w:rFonts w:eastAsia="仿宋"/>
                <w:b/>
                <w:bCs/>
                <w:color w:val="000000"/>
                <w:kern w:val="0"/>
                <w:sz w:val="21"/>
                <w:szCs w:val="21"/>
              </w:rPr>
              <w:t>35.2</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eastAsia="仿宋"/>
                <w:b/>
                <w:bCs/>
                <w:color w:val="000000"/>
                <w:kern w:val="0"/>
                <w:sz w:val="21"/>
                <w:szCs w:val="21"/>
              </w:rPr>
              <w:t>464.6</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1</w:t>
            </w:r>
            <w:r>
              <w:rPr>
                <w:rFonts w:eastAsia="仿宋"/>
                <w:b/>
                <w:bCs/>
                <w:color w:val="000000"/>
                <w:kern w:val="0"/>
                <w:sz w:val="21"/>
                <w:szCs w:val="21"/>
              </w:rPr>
              <w:t>3.0</w:t>
            </w: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4</w:t>
            </w:r>
            <w:r>
              <w:rPr>
                <w:rFonts w:eastAsia="仿宋"/>
                <w:b/>
                <w:bCs/>
                <w:color w:val="000000"/>
                <w:kern w:val="0"/>
                <w:sz w:val="21"/>
                <w:szCs w:val="21"/>
              </w:rPr>
              <w:t>15.6</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237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5" w:hRule="atLeast"/>
        </w:trPr>
        <w:tc>
          <w:tcPr>
            <w:tcW w:w="1843" w:type="dxa"/>
            <w:gridSpan w:val="2"/>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一</w:t>
            </w:r>
            <w:r>
              <w:rPr>
                <w:rFonts w:eastAsia="仿宋"/>
                <w:b/>
                <w:bCs/>
                <w:color w:val="000000"/>
                <w:kern w:val="0"/>
                <w:sz w:val="21"/>
                <w:szCs w:val="21"/>
              </w:rPr>
              <w:t>、</w:t>
            </w:r>
            <w:r>
              <w:rPr>
                <w:rFonts w:hint="eastAsia" w:eastAsia="仿宋"/>
                <w:b/>
                <w:bCs/>
                <w:color w:val="000000"/>
                <w:kern w:val="0"/>
                <w:sz w:val="21"/>
                <w:szCs w:val="21"/>
              </w:rPr>
              <w:t>加快</w:t>
            </w:r>
            <w:r>
              <w:rPr>
                <w:rFonts w:eastAsia="仿宋"/>
                <w:b/>
                <w:bCs/>
                <w:color w:val="000000"/>
                <w:kern w:val="0"/>
                <w:sz w:val="21"/>
                <w:szCs w:val="21"/>
              </w:rPr>
              <w:t>建设</w:t>
            </w:r>
          </w:p>
        </w:tc>
        <w:tc>
          <w:tcPr>
            <w:tcW w:w="99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1</w:t>
            </w:r>
            <w:r>
              <w:rPr>
                <w:rFonts w:eastAsia="仿宋"/>
                <w:b/>
                <w:bCs/>
                <w:color w:val="000000"/>
                <w:kern w:val="0"/>
                <w:sz w:val="21"/>
                <w:szCs w:val="21"/>
              </w:rPr>
              <w:t>23.2</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1</w:t>
            </w:r>
            <w:r>
              <w:rPr>
                <w:rFonts w:eastAsia="仿宋"/>
                <w:b/>
                <w:bCs/>
                <w:color w:val="000000"/>
                <w:kern w:val="0"/>
                <w:sz w:val="21"/>
                <w:szCs w:val="21"/>
              </w:rPr>
              <w:t>63.4</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1</w:t>
            </w:r>
            <w:r>
              <w:rPr>
                <w:rFonts w:eastAsia="仿宋"/>
                <w:b/>
                <w:bCs/>
                <w:color w:val="000000"/>
                <w:kern w:val="0"/>
                <w:sz w:val="21"/>
                <w:szCs w:val="21"/>
              </w:rPr>
              <w:t>3.0</w:t>
            </w: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1</w:t>
            </w:r>
            <w:r>
              <w:rPr>
                <w:rFonts w:eastAsia="仿宋"/>
                <w:b/>
                <w:bCs/>
                <w:color w:val="000000"/>
                <w:kern w:val="0"/>
                <w:sz w:val="21"/>
                <w:szCs w:val="21"/>
              </w:rPr>
              <w:t>50.4</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237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1</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成自高铁</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新建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高铁，双线，时速350公里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27.9</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41.9</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1</w:t>
            </w:r>
            <w:r>
              <w:rPr>
                <w:rFonts w:eastAsia="仿宋"/>
                <w:color w:val="000000"/>
                <w:kern w:val="0"/>
                <w:sz w:val="21"/>
                <w:szCs w:val="21"/>
              </w:rPr>
              <w:t>3.0</w:t>
            </w: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8.9</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2019</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2023</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177</w:t>
            </w:r>
            <w:r>
              <w:rPr>
                <w:rFonts w:hint="eastAsia" w:eastAsia="仿宋"/>
                <w:color w:val="000000"/>
                <w:kern w:val="0"/>
                <w:sz w:val="21"/>
                <w:szCs w:val="21"/>
              </w:rPr>
              <w:t>公里，投资</w:t>
            </w:r>
            <w:r>
              <w:rPr>
                <w:rFonts w:eastAsia="仿宋"/>
                <w:color w:val="000000"/>
                <w:kern w:val="0"/>
                <w:sz w:val="21"/>
                <w:szCs w:val="21"/>
              </w:rPr>
              <w:t>359</w:t>
            </w:r>
            <w:r>
              <w:rPr>
                <w:rFonts w:hint="eastAsia" w:eastAsia="仿宋"/>
                <w:color w:val="000000"/>
                <w:kern w:val="0"/>
                <w:sz w:val="21"/>
                <w:szCs w:val="21"/>
              </w:rPr>
              <w:t>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成达万高铁</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新建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高铁，双线，时速350公里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7</w:t>
            </w:r>
            <w:r>
              <w:rPr>
                <w:rFonts w:eastAsia="仿宋"/>
                <w:color w:val="000000"/>
                <w:kern w:val="0"/>
                <w:sz w:val="21"/>
                <w:szCs w:val="21"/>
              </w:rPr>
              <w:t>6</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1</w:t>
            </w:r>
            <w:r>
              <w:rPr>
                <w:rFonts w:eastAsia="仿宋"/>
                <w:color w:val="000000"/>
                <w:kern w:val="0"/>
                <w:sz w:val="21"/>
                <w:szCs w:val="21"/>
              </w:rPr>
              <w:t>13.6</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1</w:t>
            </w:r>
            <w:r>
              <w:rPr>
                <w:rFonts w:eastAsia="仿宋"/>
                <w:color w:val="000000"/>
                <w:kern w:val="0"/>
                <w:sz w:val="21"/>
                <w:szCs w:val="21"/>
              </w:rPr>
              <w:t>13.6</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020</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025</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48</w:t>
            </w:r>
            <w:r>
              <w:rPr>
                <w:rFonts w:eastAsia="仿宋"/>
                <w:color w:val="000000"/>
                <w:kern w:val="0"/>
                <w:sz w:val="21"/>
                <w:szCs w:val="21"/>
              </w:rPr>
              <w:t>6</w:t>
            </w:r>
            <w:r>
              <w:rPr>
                <w:rFonts w:hint="eastAsia" w:eastAsia="仿宋"/>
                <w:color w:val="000000"/>
                <w:kern w:val="0"/>
                <w:sz w:val="21"/>
                <w:szCs w:val="21"/>
              </w:rPr>
              <w:t>公里，投资</w:t>
            </w:r>
            <w:r>
              <w:rPr>
                <w:rFonts w:eastAsia="仿宋"/>
                <w:color w:val="000000"/>
                <w:kern w:val="0"/>
                <w:sz w:val="21"/>
                <w:szCs w:val="21"/>
              </w:rPr>
              <w:t>857</w:t>
            </w:r>
            <w:r>
              <w:rPr>
                <w:rFonts w:hint="eastAsia" w:eastAsia="仿宋"/>
                <w:color w:val="000000"/>
                <w:kern w:val="0"/>
                <w:sz w:val="21"/>
                <w:szCs w:val="21"/>
              </w:rPr>
              <w:t>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3</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轨道交通资阳线</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新建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交流2</w:t>
            </w:r>
            <w:r>
              <w:rPr>
                <w:rFonts w:eastAsia="仿宋"/>
                <w:color w:val="000000"/>
                <w:kern w:val="0"/>
                <w:sz w:val="21"/>
                <w:szCs w:val="21"/>
              </w:rPr>
              <w:t>5</w:t>
            </w:r>
            <w:r>
              <w:rPr>
                <w:rFonts w:hint="eastAsia" w:eastAsia="仿宋"/>
                <w:color w:val="000000"/>
                <w:kern w:val="0"/>
                <w:sz w:val="21"/>
                <w:szCs w:val="21"/>
              </w:rPr>
              <w:t>KV，4A，时速1</w:t>
            </w:r>
            <w:r>
              <w:rPr>
                <w:rFonts w:eastAsia="仿宋"/>
                <w:color w:val="000000"/>
                <w:kern w:val="0"/>
                <w:sz w:val="21"/>
                <w:szCs w:val="21"/>
              </w:rPr>
              <w:t>60</w:t>
            </w:r>
            <w:r>
              <w:rPr>
                <w:rFonts w:hint="eastAsia" w:eastAsia="仿宋"/>
                <w:color w:val="000000"/>
                <w:kern w:val="0"/>
                <w:sz w:val="21"/>
                <w:szCs w:val="21"/>
              </w:rPr>
              <w:t>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19.3</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7.9</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7</w:t>
            </w:r>
            <w:r>
              <w:rPr>
                <w:rFonts w:eastAsia="仿宋"/>
                <w:color w:val="000000"/>
                <w:kern w:val="0"/>
                <w:sz w:val="21"/>
                <w:szCs w:val="21"/>
              </w:rPr>
              <w:t>.9</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020</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024</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38.7</w:t>
            </w:r>
            <w:r>
              <w:rPr>
                <w:rFonts w:hint="eastAsia" w:eastAsia="仿宋"/>
                <w:color w:val="000000"/>
                <w:kern w:val="0"/>
                <w:sz w:val="21"/>
                <w:szCs w:val="21"/>
              </w:rPr>
              <w:t>公里，投资134亿元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1843" w:type="dxa"/>
            <w:gridSpan w:val="2"/>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b/>
                <w:bCs/>
                <w:color w:val="000000"/>
                <w:kern w:val="0"/>
                <w:sz w:val="21"/>
                <w:szCs w:val="21"/>
              </w:rPr>
              <w:t>二、新开工建设</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2</w:t>
            </w:r>
            <w:r>
              <w:rPr>
                <w:rFonts w:eastAsia="仿宋"/>
                <w:b/>
                <w:bCs/>
                <w:color w:val="000000"/>
                <w:kern w:val="0"/>
                <w:sz w:val="21"/>
                <w:szCs w:val="21"/>
              </w:rPr>
              <w:t>12</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3</w:t>
            </w:r>
            <w:r>
              <w:rPr>
                <w:rFonts w:eastAsia="仿宋"/>
                <w:b/>
                <w:bCs/>
                <w:color w:val="000000"/>
                <w:kern w:val="0"/>
                <w:sz w:val="21"/>
                <w:szCs w:val="21"/>
              </w:rPr>
              <w:t>01.2</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b/>
                <w:bCs/>
                <w:color w:val="000000"/>
                <w:kern w:val="0"/>
                <w:sz w:val="21"/>
                <w:szCs w:val="21"/>
              </w:rPr>
              <w:t>2</w:t>
            </w:r>
            <w:r>
              <w:rPr>
                <w:rFonts w:eastAsia="仿宋"/>
                <w:b/>
                <w:bCs/>
                <w:color w:val="000000"/>
                <w:kern w:val="0"/>
                <w:sz w:val="21"/>
                <w:szCs w:val="21"/>
              </w:rPr>
              <w:t>65.2</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color w:val="000000"/>
                <w:kern w:val="0"/>
                <w:sz w:val="21"/>
                <w:szCs w:val="21"/>
              </w:rPr>
              <w:t>4</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kern w:val="0"/>
                <w:sz w:val="21"/>
                <w:szCs w:val="21"/>
              </w:rPr>
            </w:pPr>
            <w:r>
              <w:rPr>
                <w:rFonts w:hint="eastAsia" w:eastAsia="仿宋"/>
                <w:color w:val="000000"/>
                <w:kern w:val="0"/>
                <w:sz w:val="21"/>
                <w:szCs w:val="21"/>
              </w:rPr>
              <w:t>成都外环铁路</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新建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客专，双线，时速</w:t>
            </w:r>
            <w:r>
              <w:rPr>
                <w:rFonts w:eastAsia="仿宋"/>
                <w:color w:val="000000"/>
                <w:kern w:val="0"/>
                <w:sz w:val="21"/>
                <w:szCs w:val="21"/>
              </w:rPr>
              <w:t>2</w:t>
            </w:r>
            <w:r>
              <w:rPr>
                <w:rFonts w:hint="eastAsia" w:eastAsia="仿宋"/>
                <w:color w:val="000000"/>
                <w:kern w:val="0"/>
                <w:sz w:val="21"/>
                <w:szCs w:val="21"/>
              </w:rPr>
              <w:t>50公里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21</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9.4</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3.4</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022</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026</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483公里，投资986亿元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5</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成渝中线高铁</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新建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高铁，双线，时速350公里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94</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159.8</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1</w:t>
            </w:r>
            <w:r>
              <w:rPr>
                <w:rFonts w:eastAsia="仿宋"/>
                <w:color w:val="000000"/>
                <w:kern w:val="0"/>
                <w:sz w:val="21"/>
                <w:szCs w:val="21"/>
              </w:rPr>
              <w:t>59.8</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021</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025</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92</w:t>
            </w:r>
            <w:r>
              <w:rPr>
                <w:rFonts w:hint="eastAsia" w:eastAsia="仿宋"/>
                <w:color w:val="000000"/>
                <w:kern w:val="0"/>
                <w:sz w:val="21"/>
                <w:szCs w:val="21"/>
              </w:rPr>
              <w:t>公里，投资</w:t>
            </w:r>
            <w:r>
              <w:rPr>
                <w:rFonts w:eastAsia="仿宋"/>
                <w:color w:val="000000"/>
                <w:kern w:val="0"/>
                <w:sz w:val="21"/>
                <w:szCs w:val="21"/>
              </w:rPr>
              <w:t>71</w:t>
            </w:r>
            <w:r>
              <w:rPr>
                <w:rFonts w:hint="eastAsia" w:eastAsia="仿宋"/>
                <w:color w:val="000000"/>
                <w:kern w:val="0"/>
                <w:sz w:val="21"/>
                <w:szCs w:val="21"/>
              </w:rPr>
              <w:t>5亿元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6</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绵遂内铁路</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新建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客专，双线，时速</w:t>
            </w:r>
            <w:r>
              <w:rPr>
                <w:rFonts w:eastAsia="仿宋"/>
                <w:color w:val="000000"/>
                <w:kern w:val="0"/>
                <w:sz w:val="21"/>
                <w:szCs w:val="21"/>
              </w:rPr>
              <w:t>2</w:t>
            </w:r>
            <w:r>
              <w:rPr>
                <w:rFonts w:hint="eastAsia" w:eastAsia="仿宋"/>
                <w:color w:val="000000"/>
                <w:kern w:val="0"/>
                <w:sz w:val="21"/>
                <w:szCs w:val="21"/>
              </w:rPr>
              <w:t>50公里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5</w:t>
            </w:r>
            <w:r>
              <w:rPr>
                <w:rFonts w:eastAsia="仿宋"/>
                <w:color w:val="000000"/>
                <w:kern w:val="0"/>
                <w:sz w:val="21"/>
                <w:szCs w:val="21"/>
              </w:rPr>
              <w:t>2</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72.8</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5</w:t>
            </w:r>
            <w:r>
              <w:rPr>
                <w:rFonts w:eastAsia="仿宋"/>
                <w:color w:val="000000"/>
                <w:kern w:val="0"/>
                <w:sz w:val="21"/>
                <w:szCs w:val="21"/>
              </w:rPr>
              <w:t>4.6</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023</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026</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272公里，投资</w:t>
            </w:r>
            <w:r>
              <w:rPr>
                <w:rFonts w:eastAsia="仿宋"/>
                <w:color w:val="000000"/>
                <w:kern w:val="0"/>
                <w:sz w:val="21"/>
                <w:szCs w:val="21"/>
              </w:rPr>
              <w:t>381</w:t>
            </w:r>
            <w:r>
              <w:rPr>
                <w:rFonts w:hint="eastAsia" w:eastAsia="仿宋"/>
                <w:color w:val="000000"/>
                <w:kern w:val="0"/>
                <w:sz w:val="21"/>
                <w:szCs w:val="21"/>
              </w:rPr>
              <w:t>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67"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eastAsia="仿宋"/>
                <w:color w:val="000000"/>
                <w:kern w:val="0"/>
                <w:sz w:val="21"/>
                <w:szCs w:val="21"/>
              </w:rPr>
              <w:t>7</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成渝铁路成都至隆昌段扩能改造</w:t>
            </w:r>
          </w:p>
        </w:tc>
        <w:tc>
          <w:tcPr>
            <w:tcW w:w="992" w:type="dxa"/>
            <w:shd w:val="clear" w:color="auto" w:fill="auto"/>
            <w:noWrap/>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改建</w:t>
            </w:r>
          </w:p>
        </w:tc>
        <w:tc>
          <w:tcPr>
            <w:tcW w:w="1701"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I级，单线（预留双线），时速1</w:t>
            </w:r>
            <w:r>
              <w:rPr>
                <w:rFonts w:eastAsia="仿宋"/>
                <w:color w:val="000000"/>
                <w:kern w:val="0"/>
                <w:sz w:val="21"/>
                <w:szCs w:val="21"/>
              </w:rPr>
              <w:t>20</w:t>
            </w:r>
            <w:r>
              <w:rPr>
                <w:rFonts w:hint="eastAsia" w:eastAsia="仿宋"/>
                <w:color w:val="000000"/>
                <w:kern w:val="0"/>
                <w:sz w:val="21"/>
                <w:szCs w:val="21"/>
              </w:rPr>
              <w:t>公里</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45</w:t>
            </w:r>
          </w:p>
        </w:tc>
        <w:tc>
          <w:tcPr>
            <w:tcW w:w="113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39.2</w:t>
            </w:r>
          </w:p>
        </w:tc>
        <w:tc>
          <w:tcPr>
            <w:tcW w:w="1276"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p>
        </w:tc>
        <w:tc>
          <w:tcPr>
            <w:tcW w:w="1469"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7.4</w:t>
            </w:r>
          </w:p>
        </w:tc>
        <w:tc>
          <w:tcPr>
            <w:tcW w:w="843"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023</w:t>
            </w:r>
          </w:p>
        </w:tc>
        <w:tc>
          <w:tcPr>
            <w:tcW w:w="844"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2</w:t>
            </w:r>
            <w:r>
              <w:rPr>
                <w:rFonts w:eastAsia="仿宋"/>
                <w:color w:val="000000"/>
                <w:kern w:val="0"/>
                <w:sz w:val="21"/>
                <w:szCs w:val="21"/>
              </w:rPr>
              <w:t>027</w:t>
            </w:r>
          </w:p>
        </w:tc>
        <w:tc>
          <w:tcPr>
            <w:tcW w:w="2372" w:type="dxa"/>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rPr>
            </w:pPr>
            <w:r>
              <w:rPr>
                <w:rFonts w:hint="eastAsia" w:eastAsia="仿宋"/>
                <w:color w:val="000000"/>
                <w:kern w:val="0"/>
                <w:sz w:val="21"/>
                <w:szCs w:val="21"/>
              </w:rPr>
              <w:t>480公里，投资418亿元</w:t>
            </w:r>
          </w:p>
        </w:tc>
      </w:tr>
    </w:tbl>
    <w:p>
      <w:pPr>
        <w:ind w:firstLine="560"/>
        <w:jc w:val="center"/>
        <w:rPr>
          <w:rFonts w:eastAsia="黑体"/>
          <w:sz w:val="28"/>
          <w:szCs w:val="28"/>
        </w:rPr>
      </w:pPr>
      <w:r>
        <w:rPr>
          <w:rFonts w:eastAsia="黑体"/>
          <w:sz w:val="28"/>
          <w:szCs w:val="28"/>
        </w:rPr>
        <w:t>附表1  资阳市“十四五”铁路建设项目表</w:t>
      </w:r>
    </w:p>
    <w:p>
      <w:pPr>
        <w:widowControl/>
        <w:adjustRightInd w:val="0"/>
        <w:snapToGrid w:val="0"/>
        <w:spacing w:line="240" w:lineRule="auto"/>
        <w:ind w:firstLine="0" w:firstLineChars="0"/>
        <w:jc w:val="center"/>
        <w:textAlignment w:val="center"/>
        <w:rPr>
          <w:rFonts w:ascii="仿宋" w:hAnsi="仿宋" w:eastAsia="仿宋"/>
          <w:sz w:val="21"/>
        </w:rPr>
      </w:pPr>
    </w:p>
    <w:p>
      <w:pPr>
        <w:ind w:firstLine="0" w:firstLineChars="0"/>
        <w:jc w:val="center"/>
        <w:rPr>
          <w:rFonts w:eastAsia="黑体"/>
          <w:color w:val="000000"/>
          <w:kern w:val="0"/>
          <w:sz w:val="28"/>
          <w:szCs w:val="28"/>
        </w:rPr>
      </w:pPr>
      <w:bookmarkStart w:id="82" w:name="RANGE!A1:I13"/>
      <w:r>
        <w:rPr>
          <w:rFonts w:eastAsia="黑体"/>
          <w:color w:val="000000"/>
          <w:kern w:val="0"/>
          <w:sz w:val="28"/>
          <w:szCs w:val="28"/>
        </w:rPr>
        <w:t xml:space="preserve">附表2  </w:t>
      </w:r>
      <w:r>
        <w:rPr>
          <w:rFonts w:hint="eastAsia" w:eastAsia="黑体"/>
          <w:color w:val="000000"/>
          <w:kern w:val="0"/>
          <w:sz w:val="28"/>
          <w:szCs w:val="28"/>
        </w:rPr>
        <w:t>资阳</w:t>
      </w:r>
      <w:r>
        <w:rPr>
          <w:rFonts w:eastAsia="黑体"/>
          <w:color w:val="000000"/>
          <w:kern w:val="0"/>
          <w:sz w:val="28"/>
          <w:szCs w:val="28"/>
        </w:rPr>
        <w:t>市</w:t>
      </w:r>
      <w:r>
        <w:rPr>
          <w:rFonts w:hint="eastAsia" w:ascii="宋体" w:hAnsi="宋体" w:eastAsia="宋体"/>
          <w:color w:val="000000"/>
          <w:kern w:val="0"/>
          <w:sz w:val="28"/>
          <w:szCs w:val="28"/>
        </w:rPr>
        <w:t>“</w:t>
      </w:r>
      <w:r>
        <w:rPr>
          <w:rFonts w:hint="eastAsia" w:ascii="黑体" w:hAnsi="黑体" w:eastAsia="黑体"/>
          <w:color w:val="000000"/>
          <w:kern w:val="0"/>
          <w:sz w:val="28"/>
          <w:szCs w:val="28"/>
        </w:rPr>
        <w:t>十四五</w:t>
      </w:r>
      <w:r>
        <w:rPr>
          <w:rFonts w:hint="eastAsia" w:ascii="宋体" w:hAnsi="宋体" w:eastAsia="宋体"/>
          <w:color w:val="000000"/>
          <w:kern w:val="0"/>
          <w:sz w:val="28"/>
          <w:szCs w:val="28"/>
        </w:rPr>
        <w:t>”</w:t>
      </w:r>
      <w:r>
        <w:rPr>
          <w:rFonts w:eastAsia="黑体"/>
          <w:color w:val="000000"/>
          <w:kern w:val="0"/>
          <w:sz w:val="28"/>
          <w:szCs w:val="28"/>
        </w:rPr>
        <w:t>高速公路建设项目表</w:t>
      </w:r>
      <w:bookmarkEnd w:id="82"/>
    </w:p>
    <w:tbl>
      <w:tblPr>
        <w:tblStyle w:val="21"/>
        <w:tblW w:w="14175" w:type="dxa"/>
        <w:jc w:val="center"/>
        <w:tblLayout w:type="fixed"/>
        <w:tblCellMar>
          <w:top w:w="0" w:type="dxa"/>
          <w:left w:w="28" w:type="dxa"/>
          <w:bottom w:w="0" w:type="dxa"/>
          <w:right w:w="28" w:type="dxa"/>
        </w:tblCellMar>
      </w:tblPr>
      <w:tblGrid>
        <w:gridCol w:w="567"/>
        <w:gridCol w:w="2410"/>
        <w:gridCol w:w="1276"/>
        <w:gridCol w:w="1275"/>
        <w:gridCol w:w="1135"/>
        <w:gridCol w:w="1417"/>
        <w:gridCol w:w="1417"/>
        <w:gridCol w:w="851"/>
        <w:gridCol w:w="992"/>
        <w:gridCol w:w="2835"/>
      </w:tblGrid>
      <w:tr>
        <w:tblPrEx>
          <w:tblCellMar>
            <w:top w:w="0" w:type="dxa"/>
            <w:left w:w="28" w:type="dxa"/>
            <w:bottom w:w="0" w:type="dxa"/>
            <w:right w:w="28" w:type="dxa"/>
          </w:tblCellMar>
        </w:tblPrEx>
        <w:trPr>
          <w:trHeight w:val="495" w:hRule="atLeast"/>
          <w:jc w:val="center"/>
        </w:trPr>
        <w:tc>
          <w:tcPr>
            <w:tcW w:w="567" w:type="dxa"/>
            <w:vMerge w:val="restart"/>
            <w:tcBorders>
              <w:top w:val="single" w:color="auto" w:sz="12"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序号</w:t>
            </w:r>
          </w:p>
        </w:tc>
        <w:tc>
          <w:tcPr>
            <w:tcW w:w="241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项目名称</w:t>
            </w:r>
          </w:p>
        </w:tc>
        <w:tc>
          <w:tcPr>
            <w:tcW w:w="1276" w:type="dxa"/>
            <w:vMerge w:val="restart"/>
            <w:tcBorders>
              <w:top w:val="single" w:color="auto" w:sz="12" w:space="0"/>
              <w:left w:val="single" w:color="auto" w:sz="4" w:space="0"/>
              <w:right w:val="single" w:color="auto" w:sz="4" w:space="0"/>
            </w:tcBorders>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hint="eastAsia" w:eastAsia="仿宋"/>
                <w:b/>
                <w:bCs/>
                <w:color w:val="000000"/>
                <w:kern w:val="0"/>
                <w:sz w:val="21"/>
                <w:szCs w:val="21"/>
              </w:rPr>
              <w:t>建设性质</w:t>
            </w:r>
          </w:p>
        </w:tc>
        <w:tc>
          <w:tcPr>
            <w:tcW w:w="1275"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hint="eastAsia" w:eastAsia="仿宋"/>
                <w:b/>
                <w:bCs/>
                <w:color w:val="000000"/>
                <w:kern w:val="0"/>
                <w:sz w:val="21"/>
                <w:szCs w:val="21"/>
              </w:rPr>
              <w:t>资阳段</w:t>
            </w:r>
            <w:r>
              <w:rPr>
                <w:rFonts w:eastAsia="仿宋"/>
                <w:b/>
                <w:bCs/>
                <w:color w:val="000000"/>
                <w:kern w:val="0"/>
                <w:sz w:val="21"/>
                <w:szCs w:val="21"/>
              </w:rPr>
              <w:t>里程     （公里）</w:t>
            </w:r>
          </w:p>
        </w:tc>
        <w:tc>
          <w:tcPr>
            <w:tcW w:w="1135"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hint="eastAsia" w:eastAsia="仿宋"/>
                <w:b/>
                <w:bCs/>
                <w:color w:val="000000"/>
                <w:kern w:val="0"/>
                <w:sz w:val="21"/>
                <w:szCs w:val="21"/>
              </w:rPr>
              <w:t>资阳段</w:t>
            </w:r>
            <w:r>
              <w:rPr>
                <w:rFonts w:eastAsia="仿宋"/>
                <w:b/>
                <w:bCs/>
                <w:color w:val="000000"/>
                <w:kern w:val="0"/>
                <w:sz w:val="21"/>
                <w:szCs w:val="21"/>
              </w:rPr>
              <w:t>投资</w:t>
            </w:r>
            <w:r>
              <w:rPr>
                <w:rFonts w:hint="eastAsia" w:eastAsia="仿宋"/>
                <w:b/>
                <w:bCs/>
                <w:color w:val="000000"/>
                <w:kern w:val="0"/>
                <w:sz w:val="21"/>
                <w:szCs w:val="21"/>
              </w:rPr>
              <w:t xml:space="preserve"> </w:t>
            </w:r>
            <w:r>
              <w:rPr>
                <w:rFonts w:eastAsia="仿宋"/>
                <w:b/>
                <w:bCs/>
                <w:color w:val="000000"/>
                <w:kern w:val="0"/>
                <w:sz w:val="21"/>
                <w:szCs w:val="21"/>
              </w:rPr>
              <w:t xml:space="preserve"> （亿元）</w:t>
            </w:r>
          </w:p>
        </w:tc>
        <w:tc>
          <w:tcPr>
            <w:tcW w:w="1417"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“十三五”投资</w:t>
            </w:r>
          </w:p>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（亿元）</w:t>
            </w:r>
          </w:p>
        </w:tc>
        <w:tc>
          <w:tcPr>
            <w:tcW w:w="1417"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“十四五”投资</w:t>
            </w:r>
          </w:p>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（亿元）</w:t>
            </w:r>
          </w:p>
        </w:tc>
        <w:tc>
          <w:tcPr>
            <w:tcW w:w="1843" w:type="dxa"/>
            <w:gridSpan w:val="2"/>
            <w:tcBorders>
              <w:top w:val="single" w:color="auto" w:sz="12"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建设年限</w:t>
            </w:r>
          </w:p>
        </w:tc>
        <w:tc>
          <w:tcPr>
            <w:tcW w:w="2835" w:type="dxa"/>
            <w:vMerge w:val="restart"/>
            <w:tcBorders>
              <w:top w:val="single" w:color="auto" w:sz="12"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eastAsia="仿宋"/>
                <w:b/>
                <w:bCs/>
                <w:color w:val="000000"/>
                <w:kern w:val="0"/>
                <w:sz w:val="21"/>
                <w:szCs w:val="21"/>
              </w:rPr>
            </w:pPr>
            <w:r>
              <w:rPr>
                <w:rFonts w:eastAsia="仿宋"/>
                <w:b/>
                <w:bCs/>
                <w:color w:val="000000"/>
                <w:kern w:val="0"/>
                <w:sz w:val="21"/>
                <w:szCs w:val="21"/>
              </w:rPr>
              <w:t>备注</w:t>
            </w:r>
            <w:r>
              <w:rPr>
                <w:rFonts w:hint="eastAsia" w:eastAsia="仿宋"/>
                <w:b/>
                <w:bCs/>
                <w:color w:val="000000"/>
                <w:kern w:val="0"/>
                <w:sz w:val="21"/>
                <w:szCs w:val="21"/>
              </w:rPr>
              <w:t>（全线）</w:t>
            </w:r>
          </w:p>
        </w:tc>
      </w:tr>
      <w:tr>
        <w:tblPrEx>
          <w:tblCellMar>
            <w:top w:w="0" w:type="dxa"/>
            <w:left w:w="28" w:type="dxa"/>
            <w:bottom w:w="0" w:type="dxa"/>
            <w:right w:w="28" w:type="dxa"/>
          </w:tblCellMar>
        </w:tblPrEx>
        <w:trPr>
          <w:trHeight w:val="619" w:hRule="atLeast"/>
          <w:jc w:val="center"/>
        </w:trPr>
        <w:tc>
          <w:tcPr>
            <w:tcW w:w="567" w:type="dxa"/>
            <w:vMerge w:val="continue"/>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276" w:type="dxa"/>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27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13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417"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开工年</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完工年</w:t>
            </w:r>
          </w:p>
        </w:tc>
        <w:tc>
          <w:tcPr>
            <w:tcW w:w="2835" w:type="dxa"/>
            <w:vMerge w:val="continue"/>
            <w:tcBorders>
              <w:top w:val="nil"/>
              <w:left w:val="single" w:color="auto" w:sz="4" w:space="0"/>
              <w:bottom w:val="single" w:color="auto" w:sz="4" w:space="0"/>
              <w:right w:val="nil"/>
            </w:tcBorders>
            <w:vAlign w:val="center"/>
          </w:tcPr>
          <w:p>
            <w:pPr>
              <w:widowControl/>
              <w:spacing w:line="240" w:lineRule="auto"/>
              <w:ind w:firstLine="0" w:firstLineChars="0"/>
              <w:jc w:val="center"/>
              <w:rPr>
                <w:rFonts w:eastAsia="仿宋"/>
                <w:b/>
                <w:bCs/>
                <w:color w:val="000000"/>
                <w:kern w:val="0"/>
                <w:sz w:val="22"/>
                <w:szCs w:val="22"/>
              </w:rPr>
            </w:pPr>
          </w:p>
        </w:tc>
      </w:tr>
      <w:tr>
        <w:tblPrEx>
          <w:tblCellMar>
            <w:top w:w="0" w:type="dxa"/>
            <w:left w:w="28" w:type="dxa"/>
            <w:bottom w:w="0" w:type="dxa"/>
            <w:right w:w="28" w:type="dxa"/>
          </w:tblCellMar>
        </w:tblPrEx>
        <w:trPr>
          <w:trHeight w:val="495" w:hRule="atLeast"/>
          <w:jc w:val="center"/>
        </w:trPr>
        <w:tc>
          <w:tcPr>
            <w:tcW w:w="2977"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 计</w:t>
            </w:r>
            <w:r>
              <w:rPr>
                <w:rFonts w:hint="eastAsia" w:eastAsia="仿宋"/>
                <w:b/>
                <w:bCs/>
                <w:color w:val="000000"/>
                <w:kern w:val="0"/>
                <w:sz w:val="22"/>
                <w:szCs w:val="22"/>
              </w:rPr>
              <w:t>（不含力争开工项目）</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110.6</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193.3</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193.3</w:t>
            </w:r>
          </w:p>
        </w:tc>
        <w:tc>
          <w:tcPr>
            <w:tcW w:w="851"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2835"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510" w:hRule="atLeast"/>
          <w:jc w:val="center"/>
        </w:trPr>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一</w:t>
            </w:r>
            <w:r>
              <w:rPr>
                <w:rFonts w:eastAsia="仿宋"/>
                <w:b/>
                <w:bCs/>
                <w:color w:val="000000"/>
                <w:kern w:val="0"/>
                <w:sz w:val="22"/>
                <w:szCs w:val="22"/>
              </w:rPr>
              <w:t>、</w:t>
            </w:r>
            <w:r>
              <w:rPr>
                <w:rFonts w:hint="eastAsia" w:eastAsia="仿宋"/>
                <w:b/>
                <w:bCs/>
                <w:color w:val="000000"/>
                <w:kern w:val="0"/>
                <w:sz w:val="22"/>
                <w:szCs w:val="22"/>
              </w:rPr>
              <w:t>新</w:t>
            </w:r>
            <w:r>
              <w:rPr>
                <w:rFonts w:eastAsia="仿宋"/>
                <w:b/>
                <w:bCs/>
                <w:color w:val="000000"/>
                <w:kern w:val="0"/>
                <w:sz w:val="22"/>
                <w:szCs w:val="22"/>
              </w:rPr>
              <w:t>开工建设</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10.6</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93.3</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93.3</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2835"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465" w:hRule="atLeast"/>
          <w:jc w:val="center"/>
        </w:trPr>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成渝高速扩容</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新（改）建</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45.6</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88</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417"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88</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1</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2025</w:t>
            </w:r>
          </w:p>
        </w:tc>
        <w:tc>
          <w:tcPr>
            <w:tcW w:w="2835"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1</w:t>
            </w:r>
            <w:r>
              <w:rPr>
                <w:rFonts w:hint="eastAsia" w:eastAsia="仿宋"/>
                <w:color w:val="000000"/>
                <w:kern w:val="0"/>
                <w:sz w:val="22"/>
                <w:szCs w:val="22"/>
              </w:rPr>
              <w:t>6公里，投资339亿元</w:t>
            </w:r>
          </w:p>
        </w:tc>
      </w:tr>
      <w:tr>
        <w:tblPrEx>
          <w:tblCellMar>
            <w:top w:w="0" w:type="dxa"/>
            <w:left w:w="28" w:type="dxa"/>
            <w:bottom w:w="0" w:type="dxa"/>
            <w:right w:w="28" w:type="dxa"/>
          </w:tblCellMar>
        </w:tblPrEx>
        <w:trPr>
          <w:trHeight w:val="465" w:hRule="atLeast"/>
          <w:jc w:val="center"/>
        </w:trPr>
        <w:tc>
          <w:tcPr>
            <w:tcW w:w="56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p>
        </w:tc>
        <w:tc>
          <w:tcPr>
            <w:tcW w:w="241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资中经安岳至铜梁高速</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65</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105.3</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417"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105.3</w:t>
            </w:r>
          </w:p>
        </w:tc>
        <w:tc>
          <w:tcPr>
            <w:tcW w:w="85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1</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4</w:t>
            </w:r>
          </w:p>
        </w:tc>
        <w:tc>
          <w:tcPr>
            <w:tcW w:w="2835"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104公里，投资16</w:t>
            </w:r>
            <w:r>
              <w:rPr>
                <w:rFonts w:eastAsia="仿宋"/>
                <w:color w:val="000000"/>
                <w:kern w:val="0"/>
                <w:sz w:val="22"/>
                <w:szCs w:val="22"/>
              </w:rPr>
              <w:t>8</w:t>
            </w:r>
            <w:r>
              <w:rPr>
                <w:rFonts w:hint="eastAsia" w:eastAsia="仿宋"/>
                <w:color w:val="000000"/>
                <w:kern w:val="0"/>
                <w:sz w:val="22"/>
                <w:szCs w:val="22"/>
              </w:rPr>
              <w:t>亿元</w:t>
            </w:r>
          </w:p>
        </w:tc>
      </w:tr>
      <w:tr>
        <w:tblPrEx>
          <w:tblCellMar>
            <w:top w:w="0" w:type="dxa"/>
            <w:left w:w="28" w:type="dxa"/>
            <w:bottom w:w="0" w:type="dxa"/>
            <w:right w:w="28" w:type="dxa"/>
          </w:tblCellMar>
        </w:tblPrEx>
        <w:trPr>
          <w:trHeight w:val="480" w:hRule="atLeast"/>
          <w:jc w:val="center"/>
        </w:trPr>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二</w:t>
            </w:r>
            <w:r>
              <w:rPr>
                <w:rFonts w:eastAsia="仿宋"/>
                <w:b/>
                <w:bCs/>
                <w:color w:val="000000"/>
                <w:kern w:val="0"/>
                <w:sz w:val="22"/>
                <w:szCs w:val="22"/>
              </w:rPr>
              <w:t>、</w:t>
            </w:r>
            <w:r>
              <w:rPr>
                <w:rFonts w:hint="eastAsia" w:eastAsia="仿宋"/>
                <w:b/>
                <w:bCs/>
                <w:color w:val="000000"/>
                <w:kern w:val="0"/>
                <w:sz w:val="22"/>
                <w:szCs w:val="22"/>
              </w:rPr>
              <w:t>力争开工</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仿宋"/>
                <w:b/>
                <w:bCs/>
                <w:color w:val="000000"/>
                <w:kern w:val="0"/>
                <w:sz w:val="22"/>
                <w:szCs w:val="22"/>
              </w:rPr>
            </w:pP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6</w:t>
            </w:r>
            <w:r>
              <w:rPr>
                <w:rFonts w:eastAsia="仿宋"/>
                <w:b/>
                <w:bCs/>
                <w:color w:val="000000"/>
                <w:kern w:val="0"/>
                <w:sz w:val="22"/>
                <w:szCs w:val="22"/>
              </w:rPr>
              <w:t>2</w:t>
            </w:r>
          </w:p>
        </w:tc>
        <w:tc>
          <w:tcPr>
            <w:tcW w:w="113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7</w:t>
            </w:r>
            <w:r>
              <w:rPr>
                <w:rFonts w:eastAsia="仿宋"/>
                <w:b/>
                <w:bCs/>
                <w:color w:val="000000"/>
                <w:kern w:val="0"/>
                <w:sz w:val="22"/>
                <w:szCs w:val="22"/>
              </w:rPr>
              <w:t>4</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417"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2835"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678" w:hRule="atLeast"/>
          <w:jc w:val="center"/>
        </w:trPr>
        <w:tc>
          <w:tcPr>
            <w:tcW w:w="567"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w:t>
            </w:r>
          </w:p>
        </w:tc>
        <w:tc>
          <w:tcPr>
            <w:tcW w:w="2410"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三台经乐至至犍为高速</w:t>
            </w:r>
          </w:p>
        </w:tc>
        <w:tc>
          <w:tcPr>
            <w:tcW w:w="1276" w:type="dxa"/>
            <w:tcBorders>
              <w:top w:val="nil"/>
              <w:left w:val="nil"/>
              <w:bottom w:val="single" w:color="auto" w:sz="12" w:space="0"/>
              <w:right w:val="single" w:color="auto" w:sz="4" w:space="0"/>
            </w:tcBorders>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275" w:type="dxa"/>
            <w:tcBorders>
              <w:top w:val="nil"/>
              <w:left w:val="single" w:color="auto" w:sz="4" w:space="0"/>
              <w:bottom w:val="single" w:color="auto" w:sz="12"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62</w:t>
            </w:r>
          </w:p>
        </w:tc>
        <w:tc>
          <w:tcPr>
            <w:tcW w:w="1135"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74</w:t>
            </w:r>
          </w:p>
        </w:tc>
        <w:tc>
          <w:tcPr>
            <w:tcW w:w="1417"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417" w:type="dxa"/>
            <w:tcBorders>
              <w:top w:val="nil"/>
              <w:left w:val="nil"/>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851" w:type="dxa"/>
            <w:tcBorders>
              <w:top w:val="nil"/>
              <w:left w:val="single" w:color="auto" w:sz="4" w:space="0"/>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992" w:type="dxa"/>
            <w:tcBorders>
              <w:top w:val="nil"/>
              <w:left w:val="single" w:color="auto" w:sz="4" w:space="0"/>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030</w:t>
            </w:r>
          </w:p>
        </w:tc>
        <w:tc>
          <w:tcPr>
            <w:tcW w:w="2835" w:type="dxa"/>
            <w:tcBorders>
              <w:top w:val="nil"/>
              <w:left w:val="single" w:color="auto" w:sz="4" w:space="0"/>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84</w:t>
            </w:r>
            <w:r>
              <w:rPr>
                <w:rFonts w:hint="eastAsia" w:eastAsia="仿宋"/>
                <w:color w:val="000000"/>
                <w:kern w:val="0"/>
                <w:sz w:val="22"/>
                <w:szCs w:val="22"/>
              </w:rPr>
              <w:t>公里，投资3</w:t>
            </w:r>
            <w:r>
              <w:rPr>
                <w:rFonts w:eastAsia="仿宋"/>
                <w:color w:val="000000"/>
                <w:kern w:val="0"/>
                <w:sz w:val="22"/>
                <w:szCs w:val="22"/>
              </w:rPr>
              <w:t>3</w:t>
            </w:r>
            <w:r>
              <w:rPr>
                <w:rFonts w:hint="eastAsia" w:eastAsia="仿宋"/>
                <w:color w:val="000000"/>
                <w:kern w:val="0"/>
                <w:sz w:val="22"/>
                <w:szCs w:val="22"/>
              </w:rPr>
              <w:t>5亿元</w:t>
            </w:r>
          </w:p>
        </w:tc>
      </w:tr>
    </w:tbl>
    <w:p>
      <w:pPr>
        <w:spacing w:line="240" w:lineRule="auto"/>
        <w:ind w:firstLine="0" w:firstLineChars="0"/>
        <w:rPr>
          <w:rFonts w:ascii="Calibri" w:hAnsi="Calibri" w:eastAsia="宋体"/>
          <w:sz w:val="21"/>
        </w:rPr>
      </w:pPr>
    </w:p>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pStyle w:val="2"/>
        <w:spacing w:after="0"/>
        <w:ind w:firstLine="0" w:firstLineChars="0"/>
      </w:pPr>
    </w:p>
    <w:p>
      <w:pPr>
        <w:spacing w:line="240" w:lineRule="auto"/>
        <w:ind w:firstLine="0" w:firstLineChars="0"/>
        <w:jc w:val="center"/>
        <w:rPr>
          <w:rFonts w:ascii="黑体" w:hAnsi="黑体" w:eastAsia="黑体"/>
          <w:color w:val="000000"/>
          <w:kern w:val="0"/>
          <w:sz w:val="28"/>
          <w:szCs w:val="28"/>
        </w:rPr>
      </w:pPr>
    </w:p>
    <w:p>
      <w:pPr>
        <w:ind w:firstLine="0" w:firstLineChars="0"/>
        <w:jc w:val="center"/>
        <w:rPr>
          <w:rFonts w:ascii="Calibri" w:hAnsi="Calibri" w:eastAsia="宋体"/>
          <w:sz w:val="21"/>
        </w:rPr>
      </w:pPr>
      <w:r>
        <w:rPr>
          <w:rFonts w:hint="eastAsia" w:ascii="黑体" w:hAnsi="黑体" w:eastAsia="黑体"/>
          <w:color w:val="000000"/>
          <w:kern w:val="0"/>
          <w:sz w:val="28"/>
          <w:szCs w:val="28"/>
        </w:rPr>
        <w:t>附表</w:t>
      </w:r>
      <w:r>
        <w:rPr>
          <w:rFonts w:eastAsia="宋体"/>
          <w:color w:val="000000"/>
          <w:kern w:val="0"/>
          <w:sz w:val="28"/>
          <w:szCs w:val="28"/>
        </w:rPr>
        <w:t xml:space="preserve">3  </w:t>
      </w:r>
      <w:r>
        <w:rPr>
          <w:rFonts w:hint="eastAsia" w:ascii="黑体" w:hAnsi="黑体" w:eastAsia="黑体"/>
          <w:color w:val="000000"/>
          <w:kern w:val="0"/>
          <w:sz w:val="28"/>
          <w:szCs w:val="28"/>
        </w:rPr>
        <w:t>资阳市</w:t>
      </w:r>
      <w:r>
        <w:rPr>
          <w:rFonts w:hint="eastAsia" w:ascii="宋体" w:hAnsi="宋体" w:eastAsia="宋体"/>
          <w:color w:val="000000"/>
          <w:kern w:val="0"/>
          <w:sz w:val="28"/>
          <w:szCs w:val="28"/>
        </w:rPr>
        <w:t>“</w:t>
      </w:r>
      <w:r>
        <w:rPr>
          <w:rFonts w:hint="eastAsia" w:ascii="黑体" w:hAnsi="黑体" w:eastAsia="黑体"/>
          <w:color w:val="000000"/>
          <w:kern w:val="0"/>
          <w:sz w:val="28"/>
          <w:szCs w:val="28"/>
        </w:rPr>
        <w:t>十四五</w:t>
      </w:r>
      <w:r>
        <w:rPr>
          <w:rFonts w:hint="eastAsia" w:ascii="宋体" w:hAnsi="宋体" w:eastAsia="宋体"/>
          <w:color w:val="000000"/>
          <w:kern w:val="0"/>
          <w:sz w:val="28"/>
          <w:szCs w:val="28"/>
        </w:rPr>
        <w:t>”</w:t>
      </w:r>
      <w:r>
        <w:rPr>
          <w:rFonts w:hint="eastAsia" w:ascii="黑体" w:hAnsi="黑体" w:eastAsia="黑体"/>
          <w:color w:val="000000"/>
          <w:kern w:val="0"/>
          <w:sz w:val="28"/>
          <w:szCs w:val="28"/>
        </w:rPr>
        <w:t>普通国省道建设项目表</w:t>
      </w:r>
    </w:p>
    <w:tbl>
      <w:tblPr>
        <w:tblStyle w:val="21"/>
        <w:tblW w:w="1431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7"/>
        <w:gridCol w:w="3261"/>
        <w:gridCol w:w="567"/>
        <w:gridCol w:w="708"/>
        <w:gridCol w:w="709"/>
        <w:gridCol w:w="709"/>
        <w:gridCol w:w="709"/>
        <w:gridCol w:w="709"/>
        <w:gridCol w:w="992"/>
        <w:gridCol w:w="993"/>
        <w:gridCol w:w="992"/>
        <w:gridCol w:w="850"/>
        <w:gridCol w:w="850"/>
        <w:gridCol w:w="1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65" w:hRule="atLeast"/>
          <w:tblHeader/>
          <w:jc w:val="center"/>
        </w:trPr>
        <w:tc>
          <w:tcPr>
            <w:tcW w:w="567"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序号</w:t>
            </w:r>
          </w:p>
        </w:tc>
        <w:tc>
          <w:tcPr>
            <w:tcW w:w="3261"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项目名称</w:t>
            </w:r>
          </w:p>
        </w:tc>
        <w:tc>
          <w:tcPr>
            <w:tcW w:w="567"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w:t>
            </w:r>
            <w:r>
              <w:rPr>
                <w:rFonts w:eastAsia="仿宋"/>
                <w:b/>
                <w:bCs/>
                <w:color w:val="000000"/>
                <w:kern w:val="0"/>
                <w:sz w:val="22"/>
                <w:szCs w:val="22"/>
              </w:rPr>
              <w:br w:type="textWrapping"/>
            </w:r>
            <w:r>
              <w:rPr>
                <w:rFonts w:eastAsia="仿宋"/>
                <w:b/>
                <w:bCs/>
                <w:color w:val="000000"/>
                <w:kern w:val="0"/>
                <w:sz w:val="22"/>
                <w:szCs w:val="22"/>
              </w:rPr>
              <w:t>性质</w:t>
            </w:r>
          </w:p>
        </w:tc>
        <w:tc>
          <w:tcPr>
            <w:tcW w:w="3544" w:type="dxa"/>
            <w:gridSpan w:val="5"/>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建设规模（公里）</w:t>
            </w:r>
          </w:p>
        </w:tc>
        <w:tc>
          <w:tcPr>
            <w:tcW w:w="992"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总投资（亿元）</w:t>
            </w:r>
          </w:p>
        </w:tc>
        <w:tc>
          <w:tcPr>
            <w:tcW w:w="993"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“十三五”投资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992"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“十四五”投资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1700"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建设年限</w:t>
            </w:r>
          </w:p>
        </w:tc>
        <w:tc>
          <w:tcPr>
            <w:tcW w:w="1701"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75" w:hRule="atLeast"/>
          <w:tblHeader/>
          <w:jc w:val="center"/>
        </w:trPr>
        <w:tc>
          <w:tcPr>
            <w:tcW w:w="567" w:type="dxa"/>
            <w:vMerge w:val="continue"/>
            <w:vAlign w:val="center"/>
          </w:tcPr>
          <w:p>
            <w:pPr>
              <w:widowControl/>
              <w:spacing w:line="240" w:lineRule="auto"/>
              <w:ind w:firstLine="0" w:firstLineChars="0"/>
              <w:jc w:val="center"/>
              <w:rPr>
                <w:rFonts w:eastAsia="仿宋"/>
                <w:b/>
                <w:bCs/>
                <w:color w:val="000000"/>
                <w:kern w:val="0"/>
                <w:sz w:val="22"/>
                <w:szCs w:val="22"/>
              </w:rPr>
            </w:pPr>
          </w:p>
        </w:tc>
        <w:tc>
          <w:tcPr>
            <w:tcW w:w="3261" w:type="dxa"/>
            <w:vMerge w:val="continue"/>
            <w:vAlign w:val="center"/>
          </w:tcPr>
          <w:p>
            <w:pPr>
              <w:widowControl/>
              <w:spacing w:line="240" w:lineRule="auto"/>
              <w:ind w:firstLine="0" w:firstLineChars="0"/>
              <w:jc w:val="center"/>
              <w:rPr>
                <w:rFonts w:eastAsia="仿宋"/>
                <w:b/>
                <w:bCs/>
                <w:color w:val="000000"/>
                <w:kern w:val="0"/>
                <w:sz w:val="22"/>
                <w:szCs w:val="22"/>
              </w:rPr>
            </w:pPr>
          </w:p>
        </w:tc>
        <w:tc>
          <w:tcPr>
            <w:tcW w:w="567" w:type="dxa"/>
            <w:vMerge w:val="continue"/>
            <w:vAlign w:val="center"/>
          </w:tcPr>
          <w:p>
            <w:pPr>
              <w:widowControl/>
              <w:spacing w:line="240" w:lineRule="auto"/>
              <w:ind w:firstLine="0" w:firstLineChars="0"/>
              <w:jc w:val="center"/>
              <w:rPr>
                <w:rFonts w:eastAsia="仿宋"/>
                <w:b/>
                <w:bCs/>
                <w:color w:val="000000"/>
                <w:kern w:val="0"/>
                <w:sz w:val="22"/>
                <w:szCs w:val="22"/>
              </w:rPr>
            </w:pPr>
          </w:p>
        </w:tc>
        <w:tc>
          <w:tcPr>
            <w:tcW w:w="708"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合计</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一级公路</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二级公路</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三级公路</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独立桥隧</w:t>
            </w:r>
          </w:p>
        </w:tc>
        <w:tc>
          <w:tcPr>
            <w:tcW w:w="992" w:type="dxa"/>
            <w:vMerge w:val="continue"/>
            <w:vAlign w:val="center"/>
          </w:tcPr>
          <w:p>
            <w:pPr>
              <w:widowControl/>
              <w:spacing w:line="240" w:lineRule="auto"/>
              <w:ind w:firstLine="0" w:firstLineChars="0"/>
              <w:jc w:val="center"/>
              <w:rPr>
                <w:rFonts w:eastAsia="仿宋"/>
                <w:b/>
                <w:bCs/>
                <w:color w:val="000000"/>
                <w:kern w:val="0"/>
                <w:sz w:val="22"/>
                <w:szCs w:val="22"/>
              </w:rPr>
            </w:pPr>
          </w:p>
        </w:tc>
        <w:tc>
          <w:tcPr>
            <w:tcW w:w="993" w:type="dxa"/>
            <w:vMerge w:val="continue"/>
            <w:vAlign w:val="center"/>
          </w:tcPr>
          <w:p>
            <w:pPr>
              <w:widowControl/>
              <w:spacing w:line="240" w:lineRule="auto"/>
              <w:ind w:firstLine="0" w:firstLineChars="0"/>
              <w:jc w:val="center"/>
              <w:rPr>
                <w:rFonts w:eastAsia="仿宋"/>
                <w:b/>
                <w:bCs/>
                <w:color w:val="000000"/>
                <w:kern w:val="0"/>
                <w:sz w:val="22"/>
                <w:szCs w:val="22"/>
              </w:rPr>
            </w:pPr>
          </w:p>
        </w:tc>
        <w:tc>
          <w:tcPr>
            <w:tcW w:w="992" w:type="dxa"/>
            <w:vMerge w:val="continue"/>
            <w:vAlign w:val="center"/>
          </w:tcPr>
          <w:p>
            <w:pPr>
              <w:widowControl/>
              <w:spacing w:line="240" w:lineRule="auto"/>
              <w:ind w:firstLine="0" w:firstLineChars="0"/>
              <w:jc w:val="center"/>
              <w:rPr>
                <w:rFonts w:eastAsia="仿宋"/>
                <w:b/>
                <w:bCs/>
                <w:color w:val="000000"/>
                <w:kern w:val="0"/>
                <w:sz w:val="22"/>
                <w:szCs w:val="22"/>
              </w:rPr>
            </w:pPr>
          </w:p>
        </w:tc>
        <w:tc>
          <w:tcPr>
            <w:tcW w:w="850"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开工年</w:t>
            </w:r>
          </w:p>
        </w:tc>
        <w:tc>
          <w:tcPr>
            <w:tcW w:w="850"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完工年</w:t>
            </w:r>
          </w:p>
        </w:tc>
        <w:tc>
          <w:tcPr>
            <w:tcW w:w="1701" w:type="dxa"/>
            <w:vMerge w:val="continue"/>
            <w:vAlign w:val="center"/>
          </w:tcPr>
          <w:p>
            <w:pPr>
              <w:widowControl/>
              <w:spacing w:line="240" w:lineRule="auto"/>
              <w:ind w:firstLine="0" w:firstLineChars="0"/>
              <w:jc w:val="center"/>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3828"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 计</w:t>
            </w:r>
          </w:p>
        </w:tc>
        <w:tc>
          <w:tcPr>
            <w:tcW w:w="567"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708" w:type="dxa"/>
            <w:shd w:val="clear" w:color="auto" w:fill="auto"/>
            <w:vAlign w:val="center"/>
          </w:tcPr>
          <w:p>
            <w:pPr>
              <w:widowControl/>
              <w:spacing w:line="240" w:lineRule="auto"/>
              <w:ind w:firstLine="0" w:firstLineChars="0"/>
              <w:jc w:val="center"/>
              <w:rPr>
                <w:rFonts w:hint="default" w:eastAsia="宋体"/>
                <w:b/>
                <w:bCs/>
                <w:color w:val="000000"/>
                <w:sz w:val="22"/>
                <w:szCs w:val="22"/>
                <w:lang w:val="en-US" w:eastAsia="zh-CN"/>
              </w:rPr>
            </w:pPr>
            <w:r>
              <w:rPr>
                <w:rFonts w:eastAsia="宋体"/>
                <w:b/>
                <w:bCs/>
                <w:color w:val="000000"/>
                <w:sz w:val="22"/>
                <w:szCs w:val="22"/>
              </w:rPr>
              <w:t>72</w:t>
            </w:r>
            <w:r>
              <w:rPr>
                <w:rFonts w:hint="eastAsia" w:eastAsia="宋体"/>
                <w:b/>
                <w:bCs/>
                <w:color w:val="000000"/>
                <w:sz w:val="22"/>
                <w:szCs w:val="22"/>
                <w:lang w:val="en-US" w:eastAsia="zh-CN"/>
              </w:rPr>
              <w:t>8.4</w:t>
            </w:r>
          </w:p>
        </w:tc>
        <w:tc>
          <w:tcPr>
            <w:tcW w:w="709" w:type="dxa"/>
            <w:shd w:val="clear" w:color="auto" w:fill="auto"/>
            <w:vAlign w:val="center"/>
          </w:tcPr>
          <w:p>
            <w:pPr>
              <w:widowControl/>
              <w:spacing w:line="240" w:lineRule="auto"/>
              <w:ind w:firstLine="0" w:firstLineChars="0"/>
              <w:jc w:val="center"/>
              <w:rPr>
                <w:rFonts w:hint="default" w:eastAsia="仿宋"/>
                <w:b/>
                <w:bCs/>
                <w:color w:val="000000"/>
                <w:kern w:val="0"/>
                <w:sz w:val="22"/>
                <w:szCs w:val="22"/>
                <w:lang w:val="en-US" w:eastAsia="zh-CN"/>
              </w:rPr>
            </w:pPr>
            <w:r>
              <w:rPr>
                <w:rFonts w:eastAsia="仿宋"/>
                <w:b/>
                <w:bCs/>
                <w:color w:val="000000"/>
                <w:kern w:val="0"/>
                <w:sz w:val="22"/>
                <w:szCs w:val="22"/>
              </w:rPr>
              <w:t>35</w:t>
            </w:r>
            <w:r>
              <w:rPr>
                <w:rFonts w:hint="eastAsia" w:eastAsia="仿宋"/>
                <w:b/>
                <w:bCs/>
                <w:color w:val="000000"/>
                <w:kern w:val="0"/>
                <w:sz w:val="22"/>
                <w:szCs w:val="22"/>
                <w:lang w:val="en-US" w:eastAsia="zh-CN"/>
              </w:rPr>
              <w:t>1.4</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3</w:t>
            </w:r>
            <w:r>
              <w:rPr>
                <w:rFonts w:eastAsia="仿宋"/>
                <w:b/>
                <w:bCs/>
                <w:color w:val="000000"/>
                <w:kern w:val="0"/>
                <w:sz w:val="22"/>
                <w:szCs w:val="22"/>
              </w:rPr>
              <w:t>56.1</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2</w:t>
            </w:r>
            <w:r>
              <w:rPr>
                <w:rFonts w:eastAsia="仿宋"/>
                <w:b/>
                <w:bCs/>
                <w:color w:val="000000"/>
                <w:kern w:val="0"/>
                <w:sz w:val="22"/>
                <w:szCs w:val="22"/>
              </w:rPr>
              <w:t>0.9</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hint="default" w:eastAsia="仿宋"/>
                <w:b/>
                <w:bCs/>
                <w:color w:val="000000"/>
                <w:kern w:val="0"/>
                <w:sz w:val="22"/>
                <w:szCs w:val="22"/>
                <w:lang w:val="en-US" w:eastAsia="zh-CN"/>
              </w:rPr>
            </w:pPr>
            <w:r>
              <w:rPr>
                <w:rFonts w:hint="eastAsia" w:eastAsia="仿宋"/>
                <w:b/>
                <w:bCs/>
                <w:color w:val="000000"/>
                <w:kern w:val="0"/>
                <w:sz w:val="22"/>
                <w:szCs w:val="22"/>
                <w:lang w:val="en-US" w:eastAsia="zh-CN"/>
              </w:rPr>
              <w:t>563.7</w:t>
            </w:r>
          </w:p>
        </w:tc>
        <w:tc>
          <w:tcPr>
            <w:tcW w:w="993"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6</w:t>
            </w:r>
            <w:r>
              <w:rPr>
                <w:rFonts w:eastAsia="仿宋"/>
                <w:b/>
                <w:bCs/>
                <w:color w:val="000000"/>
                <w:kern w:val="0"/>
                <w:sz w:val="22"/>
                <w:szCs w:val="22"/>
              </w:rPr>
              <w:t>9.3</w:t>
            </w:r>
          </w:p>
        </w:tc>
        <w:tc>
          <w:tcPr>
            <w:tcW w:w="992" w:type="dxa"/>
            <w:shd w:val="clear" w:color="auto" w:fill="auto"/>
            <w:vAlign w:val="center"/>
          </w:tcPr>
          <w:p>
            <w:pPr>
              <w:widowControl/>
              <w:spacing w:line="240" w:lineRule="auto"/>
              <w:ind w:firstLine="0" w:firstLineChars="0"/>
              <w:jc w:val="center"/>
              <w:rPr>
                <w:rFonts w:hint="default" w:eastAsia="仿宋"/>
                <w:b/>
                <w:bCs/>
                <w:color w:val="000000"/>
                <w:kern w:val="0"/>
                <w:sz w:val="22"/>
                <w:szCs w:val="22"/>
                <w:lang w:val="en-US" w:eastAsia="zh-CN"/>
              </w:rPr>
            </w:pPr>
            <w:r>
              <w:rPr>
                <w:rFonts w:hint="eastAsia" w:eastAsia="仿宋"/>
                <w:b/>
                <w:bCs/>
                <w:color w:val="000000"/>
                <w:kern w:val="0"/>
                <w:sz w:val="22"/>
                <w:szCs w:val="22"/>
                <w:lang w:val="en-US" w:eastAsia="zh-CN"/>
              </w:rPr>
              <w:t>302.1</w:t>
            </w:r>
          </w:p>
        </w:tc>
        <w:tc>
          <w:tcPr>
            <w:tcW w:w="850"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850"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701"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3828"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一、加快建设</w:t>
            </w:r>
          </w:p>
        </w:tc>
        <w:tc>
          <w:tcPr>
            <w:tcW w:w="567"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708"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21.9</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4</w:t>
            </w:r>
            <w:r>
              <w:rPr>
                <w:rFonts w:eastAsia="仿宋"/>
                <w:b/>
                <w:bCs/>
                <w:color w:val="000000"/>
                <w:kern w:val="0"/>
                <w:sz w:val="22"/>
                <w:szCs w:val="22"/>
              </w:rPr>
              <w:t>5</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5</w:t>
            </w:r>
            <w:r>
              <w:rPr>
                <w:rFonts w:eastAsia="仿宋"/>
                <w:b/>
                <w:bCs/>
                <w:color w:val="000000"/>
                <w:kern w:val="0"/>
                <w:sz w:val="22"/>
                <w:szCs w:val="22"/>
              </w:rPr>
              <w:t>6</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2</w:t>
            </w:r>
            <w:r>
              <w:rPr>
                <w:rFonts w:eastAsia="仿宋"/>
                <w:b/>
                <w:bCs/>
                <w:color w:val="000000"/>
                <w:kern w:val="0"/>
                <w:sz w:val="22"/>
                <w:szCs w:val="22"/>
              </w:rPr>
              <w:t>0.9</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58.1</w:t>
            </w:r>
          </w:p>
        </w:tc>
        <w:tc>
          <w:tcPr>
            <w:tcW w:w="993"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6</w:t>
            </w:r>
            <w:r>
              <w:rPr>
                <w:rFonts w:eastAsia="仿宋"/>
                <w:b/>
                <w:bCs/>
                <w:color w:val="000000"/>
                <w:kern w:val="0"/>
                <w:sz w:val="22"/>
                <w:szCs w:val="22"/>
              </w:rPr>
              <w:t>9.3</w:t>
            </w:r>
          </w:p>
        </w:tc>
        <w:tc>
          <w:tcPr>
            <w:tcW w:w="992"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63.5</w:t>
            </w:r>
          </w:p>
        </w:tc>
        <w:tc>
          <w:tcPr>
            <w:tcW w:w="850"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850"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701"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326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G</w:t>
            </w:r>
            <w:r>
              <w:rPr>
                <w:rFonts w:hint="eastAsia" w:eastAsia="仿宋"/>
                <w:color w:val="000000"/>
                <w:kern w:val="0"/>
                <w:sz w:val="22"/>
                <w:szCs w:val="22"/>
              </w:rPr>
              <w:t>321资阳至成都段</w:t>
            </w:r>
          </w:p>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（成资临空大道）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19.5</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19.5</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45.2</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22.3</w:t>
            </w: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22.9</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2018</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p>
        </w:tc>
        <w:tc>
          <w:tcPr>
            <w:tcW w:w="326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S</w:t>
            </w:r>
            <w:r>
              <w:rPr>
                <w:rFonts w:hint="eastAsia" w:eastAsia="仿宋"/>
                <w:color w:val="000000"/>
                <w:kern w:val="0"/>
                <w:sz w:val="22"/>
                <w:szCs w:val="22"/>
              </w:rPr>
              <w:t>102成资大道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25.5</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25.</w:t>
            </w:r>
            <w:r>
              <w:rPr>
                <w:rFonts w:eastAsia="仿宋"/>
                <w:color w:val="000000"/>
                <w:kern w:val="0"/>
                <w:sz w:val="22"/>
                <w:szCs w:val="22"/>
              </w:rPr>
              <w:t>5</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97.8</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42.5</w:t>
            </w: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201</w:t>
            </w:r>
            <w:r>
              <w:rPr>
                <w:rFonts w:hint="eastAsia" w:eastAsia="仿宋"/>
                <w:color w:val="000000"/>
                <w:kern w:val="0"/>
                <w:sz w:val="22"/>
                <w:szCs w:val="22"/>
              </w:rPr>
              <w:t>8</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3</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w:t>
            </w:r>
          </w:p>
        </w:tc>
        <w:tc>
          <w:tcPr>
            <w:tcW w:w="326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S</w:t>
            </w:r>
            <w:r>
              <w:rPr>
                <w:rFonts w:hint="eastAsia" w:eastAsia="仿宋"/>
                <w:color w:val="000000"/>
                <w:kern w:val="0"/>
                <w:sz w:val="22"/>
                <w:szCs w:val="22"/>
              </w:rPr>
              <w:t>207安岳卧佛至大足快速通道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56.0</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56.0</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13.5</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3.5</w:t>
            </w: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w:t>
            </w:r>
            <w:r>
              <w:rPr>
                <w:rFonts w:hint="eastAsia" w:eastAsia="仿宋"/>
                <w:color w:val="000000"/>
                <w:kern w:val="0"/>
                <w:sz w:val="22"/>
                <w:szCs w:val="22"/>
              </w:rPr>
              <w:t>17</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4</w:t>
            </w:r>
          </w:p>
        </w:tc>
        <w:tc>
          <w:tcPr>
            <w:tcW w:w="1701" w:type="dxa"/>
            <w:shd w:val="clear" w:color="auto" w:fill="auto"/>
            <w:vAlign w:val="center"/>
          </w:tcPr>
          <w:p>
            <w:pPr>
              <w:widowControl/>
              <w:spacing w:line="240" w:lineRule="auto"/>
              <w:ind w:firstLine="0" w:firstLineChars="0"/>
              <w:rPr>
                <w:rFonts w:eastAsia="仿宋"/>
                <w:color w:val="000000"/>
                <w:kern w:val="0"/>
                <w:sz w:val="22"/>
                <w:szCs w:val="22"/>
              </w:rPr>
            </w:pPr>
            <w:r>
              <w:rPr>
                <w:rFonts w:hint="eastAsia" w:eastAsia="仿宋"/>
                <w:color w:val="000000"/>
                <w:kern w:val="0"/>
                <w:sz w:val="22"/>
                <w:szCs w:val="22"/>
              </w:rPr>
              <w:t>安岳卧佛至石羊段新建工程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w:t>
            </w:r>
          </w:p>
        </w:tc>
        <w:tc>
          <w:tcPr>
            <w:tcW w:w="326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S</w:t>
            </w:r>
            <w:r>
              <w:rPr>
                <w:rFonts w:hint="eastAsia" w:eastAsia="仿宋"/>
                <w:color w:val="000000"/>
                <w:kern w:val="0"/>
                <w:sz w:val="22"/>
                <w:szCs w:val="22"/>
              </w:rPr>
              <w:t>426安岳兴隆至内江永福界</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20.9</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20.9</w:t>
            </w:r>
          </w:p>
        </w:tc>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1.6</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w:t>
            </w: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0.6</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2018</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2021</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3828"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二、</w:t>
            </w:r>
            <w:r>
              <w:rPr>
                <w:rFonts w:hint="eastAsia" w:eastAsia="仿宋"/>
                <w:b/>
                <w:bCs/>
                <w:color w:val="000000"/>
                <w:kern w:val="0"/>
                <w:sz w:val="22"/>
                <w:szCs w:val="22"/>
              </w:rPr>
              <w:t>新</w:t>
            </w:r>
            <w:r>
              <w:rPr>
                <w:rFonts w:eastAsia="仿宋"/>
                <w:b/>
                <w:bCs/>
                <w:color w:val="000000"/>
                <w:kern w:val="0"/>
                <w:sz w:val="22"/>
                <w:szCs w:val="22"/>
              </w:rPr>
              <w:t>开工建设</w:t>
            </w:r>
          </w:p>
        </w:tc>
        <w:tc>
          <w:tcPr>
            <w:tcW w:w="567" w:type="dxa"/>
            <w:shd w:val="clear" w:color="auto" w:fill="auto"/>
            <w:vAlign w:val="center"/>
          </w:tcPr>
          <w:p>
            <w:pPr>
              <w:widowControl/>
              <w:spacing w:line="240" w:lineRule="auto"/>
              <w:ind w:firstLine="0" w:firstLineChars="0"/>
              <w:jc w:val="center"/>
              <w:rPr>
                <w:rFonts w:ascii="仿宋" w:hAnsi="仿宋" w:eastAsia="仿宋"/>
                <w:color w:val="000000"/>
                <w:sz w:val="20"/>
                <w:szCs w:val="20"/>
              </w:rPr>
            </w:pPr>
          </w:p>
        </w:tc>
        <w:tc>
          <w:tcPr>
            <w:tcW w:w="708" w:type="dxa"/>
            <w:shd w:val="clear" w:color="auto" w:fill="auto"/>
            <w:vAlign w:val="center"/>
          </w:tcPr>
          <w:p>
            <w:pPr>
              <w:widowControl/>
              <w:spacing w:line="240" w:lineRule="auto"/>
              <w:ind w:firstLine="0" w:firstLineChars="0"/>
              <w:jc w:val="center"/>
              <w:rPr>
                <w:rFonts w:hint="default" w:eastAsia="仿宋"/>
                <w:color w:val="000000"/>
                <w:kern w:val="0"/>
                <w:sz w:val="22"/>
                <w:szCs w:val="22"/>
                <w:lang w:val="en-US" w:eastAsia="zh-CN"/>
              </w:rPr>
            </w:pPr>
            <w:r>
              <w:rPr>
                <w:rFonts w:hint="eastAsia" w:eastAsia="仿宋"/>
                <w:b/>
                <w:bCs/>
                <w:color w:val="000000"/>
                <w:kern w:val="0"/>
                <w:sz w:val="22"/>
                <w:szCs w:val="22"/>
              </w:rPr>
              <w:t>6</w:t>
            </w:r>
            <w:r>
              <w:rPr>
                <w:rFonts w:eastAsia="仿宋"/>
                <w:b/>
                <w:bCs/>
                <w:color w:val="000000"/>
                <w:kern w:val="0"/>
                <w:sz w:val="22"/>
                <w:szCs w:val="22"/>
              </w:rPr>
              <w:t>06</w:t>
            </w:r>
            <w:r>
              <w:rPr>
                <w:rFonts w:hint="eastAsia" w:eastAsia="仿宋"/>
                <w:b/>
                <w:bCs/>
                <w:color w:val="000000"/>
                <w:kern w:val="0"/>
                <w:sz w:val="22"/>
                <w:szCs w:val="22"/>
                <w:lang w:val="en-US" w:eastAsia="zh-CN"/>
              </w:rPr>
              <w:t>.5</w:t>
            </w:r>
          </w:p>
        </w:tc>
        <w:tc>
          <w:tcPr>
            <w:tcW w:w="709" w:type="dxa"/>
            <w:shd w:val="clear" w:color="auto" w:fill="auto"/>
            <w:vAlign w:val="center"/>
          </w:tcPr>
          <w:p>
            <w:pPr>
              <w:widowControl/>
              <w:spacing w:line="240" w:lineRule="auto"/>
              <w:ind w:firstLine="0" w:firstLineChars="0"/>
              <w:jc w:val="center"/>
              <w:rPr>
                <w:rFonts w:hint="default" w:eastAsia="仿宋"/>
                <w:b/>
                <w:bCs/>
                <w:color w:val="000000"/>
                <w:kern w:val="0"/>
                <w:sz w:val="22"/>
                <w:szCs w:val="22"/>
                <w:lang w:val="en-US" w:eastAsia="zh-CN"/>
              </w:rPr>
            </w:pPr>
            <w:r>
              <w:rPr>
                <w:rFonts w:hint="eastAsia" w:eastAsia="仿宋"/>
                <w:b/>
                <w:bCs/>
                <w:color w:val="000000"/>
                <w:kern w:val="0"/>
                <w:sz w:val="22"/>
                <w:szCs w:val="22"/>
              </w:rPr>
              <w:t>3</w:t>
            </w:r>
            <w:r>
              <w:rPr>
                <w:rFonts w:eastAsia="仿宋"/>
                <w:b/>
                <w:bCs/>
                <w:color w:val="000000"/>
                <w:kern w:val="0"/>
                <w:sz w:val="22"/>
                <w:szCs w:val="22"/>
              </w:rPr>
              <w:t>0</w:t>
            </w:r>
            <w:r>
              <w:rPr>
                <w:rFonts w:hint="eastAsia" w:eastAsia="仿宋"/>
                <w:b/>
                <w:bCs/>
                <w:color w:val="000000"/>
                <w:kern w:val="0"/>
                <w:sz w:val="22"/>
                <w:szCs w:val="22"/>
                <w:lang w:val="en-US" w:eastAsia="zh-CN"/>
              </w:rPr>
              <w:t>6.4</w:t>
            </w:r>
          </w:p>
        </w:tc>
        <w:tc>
          <w:tcPr>
            <w:tcW w:w="709"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3</w:t>
            </w:r>
            <w:r>
              <w:rPr>
                <w:rFonts w:eastAsia="仿宋"/>
                <w:b/>
                <w:bCs/>
                <w:color w:val="000000"/>
                <w:kern w:val="0"/>
                <w:sz w:val="22"/>
                <w:szCs w:val="22"/>
              </w:rPr>
              <w:t>00.1</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hint="default" w:eastAsia="仿宋"/>
                <w:color w:val="000000"/>
                <w:kern w:val="0"/>
                <w:sz w:val="22"/>
                <w:szCs w:val="22"/>
                <w:lang w:val="en-US" w:eastAsia="zh-CN"/>
              </w:rPr>
            </w:pPr>
            <w:r>
              <w:rPr>
                <w:rFonts w:hint="eastAsia" w:eastAsia="仿宋"/>
                <w:b/>
                <w:bCs/>
                <w:color w:val="000000"/>
                <w:kern w:val="0"/>
                <w:sz w:val="22"/>
                <w:szCs w:val="22"/>
                <w:lang w:val="en-US" w:eastAsia="zh-CN"/>
              </w:rPr>
              <w:t>405.6</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hint="default" w:eastAsia="仿宋"/>
                <w:color w:val="000000"/>
                <w:kern w:val="0"/>
                <w:sz w:val="22"/>
                <w:szCs w:val="22"/>
                <w:lang w:val="en-US" w:eastAsia="zh-CN"/>
              </w:rPr>
            </w:pPr>
            <w:r>
              <w:rPr>
                <w:rFonts w:hint="eastAsia" w:eastAsia="仿宋"/>
                <w:b/>
                <w:bCs/>
                <w:color w:val="000000"/>
                <w:kern w:val="0"/>
                <w:sz w:val="22"/>
                <w:szCs w:val="22"/>
                <w:lang w:val="en-US" w:eastAsia="zh-CN"/>
              </w:rPr>
              <w:t>238.6</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701"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宋体"/>
                <w:color w:val="000000"/>
                <w:sz w:val="22"/>
                <w:szCs w:val="22"/>
              </w:rPr>
              <w:t>5</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G318乐至至简阳段（东西城市轴线东延线乐简段）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17.</w:t>
            </w:r>
            <w:r>
              <w:rPr>
                <w:rFonts w:hint="eastAsia" w:eastAsia="仿宋"/>
                <w:color w:val="000000"/>
                <w:kern w:val="0"/>
                <w:sz w:val="22"/>
                <w:szCs w:val="22"/>
                <w:lang w:val="en-US" w:eastAsia="zh-CN"/>
              </w:rPr>
              <w:t>5</w:t>
            </w:r>
          </w:p>
        </w:tc>
        <w:tc>
          <w:tcPr>
            <w:tcW w:w="709"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17.</w:t>
            </w:r>
            <w:r>
              <w:rPr>
                <w:rFonts w:hint="eastAsia" w:eastAsia="仿宋"/>
                <w:color w:val="000000"/>
                <w:kern w:val="0"/>
                <w:sz w:val="22"/>
                <w:szCs w:val="22"/>
                <w:lang w:val="en-US" w:eastAsia="zh-CN"/>
              </w:rPr>
              <w:t>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hint="default" w:eastAsia="仿宋"/>
                <w:color w:val="000000"/>
                <w:kern w:val="0"/>
                <w:sz w:val="22"/>
                <w:szCs w:val="22"/>
                <w:lang w:val="en-US" w:eastAsia="zh-CN"/>
              </w:rPr>
            </w:pPr>
            <w:r>
              <w:rPr>
                <w:rFonts w:hint="eastAsia" w:eastAsia="仿宋"/>
                <w:color w:val="000000"/>
                <w:kern w:val="0"/>
                <w:sz w:val="22"/>
                <w:szCs w:val="22"/>
              </w:rPr>
              <w:t>2</w:t>
            </w:r>
            <w:r>
              <w:rPr>
                <w:rFonts w:hint="eastAsia" w:eastAsia="仿宋"/>
                <w:color w:val="000000"/>
                <w:kern w:val="0"/>
                <w:sz w:val="22"/>
                <w:szCs w:val="22"/>
                <w:lang w:val="en-US" w:eastAsia="zh-CN"/>
              </w:rPr>
              <w:t>9.6</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hint="default" w:eastAsia="仿宋"/>
                <w:color w:val="000000"/>
                <w:kern w:val="0"/>
                <w:sz w:val="22"/>
                <w:szCs w:val="22"/>
                <w:lang w:val="en-US" w:eastAsia="zh-CN"/>
              </w:rPr>
            </w:pPr>
            <w:r>
              <w:rPr>
                <w:rFonts w:hint="eastAsia" w:eastAsia="仿宋"/>
                <w:color w:val="000000"/>
                <w:kern w:val="0"/>
                <w:sz w:val="22"/>
                <w:szCs w:val="22"/>
              </w:rPr>
              <w:t>2</w:t>
            </w:r>
            <w:r>
              <w:rPr>
                <w:rFonts w:hint="eastAsia" w:eastAsia="仿宋"/>
                <w:color w:val="000000"/>
                <w:kern w:val="0"/>
                <w:sz w:val="22"/>
                <w:szCs w:val="22"/>
                <w:lang w:val="en-US" w:eastAsia="zh-CN"/>
              </w:rPr>
              <w:t>9.6</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2021</w:t>
            </w:r>
          </w:p>
        </w:tc>
        <w:tc>
          <w:tcPr>
            <w:tcW w:w="850"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202</w:t>
            </w:r>
            <w:r>
              <w:rPr>
                <w:rFonts w:hint="eastAsia" w:eastAsia="仿宋"/>
                <w:color w:val="000000"/>
                <w:kern w:val="0"/>
                <w:sz w:val="22"/>
                <w:szCs w:val="22"/>
                <w:lang w:val="en-US" w:eastAsia="zh-CN"/>
              </w:rPr>
              <w:t>4</w:t>
            </w:r>
          </w:p>
        </w:tc>
        <w:tc>
          <w:tcPr>
            <w:tcW w:w="1701" w:type="dxa"/>
            <w:shd w:val="clear" w:color="auto" w:fill="auto"/>
            <w:vAlign w:val="center"/>
          </w:tcPr>
          <w:p>
            <w:pPr>
              <w:widowControl/>
              <w:spacing w:line="240" w:lineRule="auto"/>
              <w:ind w:firstLine="0" w:firstLineChars="0"/>
              <w:rPr>
                <w:rFonts w:eastAsia="仿宋"/>
                <w:color w:val="000000"/>
                <w:kern w:val="0"/>
                <w:sz w:val="22"/>
                <w:szCs w:val="22"/>
              </w:rPr>
            </w:pPr>
            <w:r>
              <w:rPr>
                <w:rFonts w:hint="eastAsia" w:eastAsia="仿宋"/>
                <w:color w:val="000000"/>
                <w:kern w:val="0"/>
                <w:sz w:val="22"/>
                <w:szCs w:val="22"/>
              </w:rPr>
              <w:t>乐至天池街道至高寺镇（简阳界）段改建工程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2"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eastAsia="宋体"/>
                <w:color w:val="000000"/>
                <w:sz w:val="22"/>
                <w:szCs w:val="22"/>
              </w:rPr>
              <w:t>6</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G319成渝直线快速通道乐至</w:t>
            </w:r>
          </w:p>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至重庆界段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70.0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70.0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90.9</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2029</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eastAsia="宋体"/>
                <w:color w:val="000000"/>
                <w:sz w:val="22"/>
                <w:szCs w:val="22"/>
              </w:rPr>
              <w:t>7</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themeColor="text1"/>
                <w:kern w:val="0"/>
                <w:sz w:val="22"/>
                <w:szCs w:val="22"/>
                <w14:textFill>
                  <w14:solidFill>
                    <w14:schemeClr w14:val="tx1"/>
                  </w14:solidFill>
                </w14:textFill>
              </w:rPr>
              <w:t>G319乐至绕城线</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10.0</w:t>
            </w:r>
          </w:p>
        </w:tc>
        <w:tc>
          <w:tcPr>
            <w:tcW w:w="850"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202</w:t>
            </w:r>
            <w:r>
              <w:rPr>
                <w:rFonts w:hint="eastAsia" w:eastAsia="仿宋"/>
                <w:color w:val="000000"/>
                <w:kern w:val="0"/>
                <w:sz w:val="22"/>
                <w:szCs w:val="22"/>
                <w:lang w:val="en-US" w:eastAsia="zh-CN"/>
              </w:rPr>
              <w:t>4</w:t>
            </w:r>
          </w:p>
        </w:tc>
        <w:tc>
          <w:tcPr>
            <w:tcW w:w="850"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202</w:t>
            </w:r>
            <w:r>
              <w:rPr>
                <w:rFonts w:hint="eastAsia" w:eastAsia="仿宋"/>
                <w:color w:val="000000"/>
                <w:kern w:val="0"/>
                <w:sz w:val="22"/>
                <w:szCs w:val="22"/>
                <w:lang w:val="en-US" w:eastAsia="zh-CN"/>
              </w:rPr>
              <w:t>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宋体"/>
                <w:color w:val="000000"/>
                <w:sz w:val="22"/>
                <w:szCs w:val="22"/>
              </w:rPr>
              <w:t>8</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G247安岳县城区过境段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27.0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27.0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6.9</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5.5</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2023</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2026</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eastAsia="宋体"/>
                <w:color w:val="000000"/>
                <w:sz w:val="22"/>
                <w:szCs w:val="22"/>
              </w:rPr>
              <w:t>9</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G247安岳县城至遂宁安居界</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22.7</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22.7</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7.7</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5.5</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2026</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宋体"/>
                <w:color w:val="000000"/>
                <w:sz w:val="22"/>
                <w:szCs w:val="22"/>
              </w:rPr>
              <w:t>10</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G</w:t>
            </w:r>
            <w:r>
              <w:rPr>
                <w:rFonts w:eastAsia="仿宋"/>
                <w:color w:val="000000"/>
                <w:kern w:val="0"/>
                <w:sz w:val="22"/>
                <w:szCs w:val="22"/>
              </w:rPr>
              <w:t>319</w:t>
            </w:r>
            <w:r>
              <w:rPr>
                <w:rFonts w:hint="eastAsia" w:eastAsia="仿宋"/>
                <w:color w:val="000000"/>
                <w:kern w:val="0"/>
                <w:sz w:val="22"/>
                <w:szCs w:val="22"/>
              </w:rPr>
              <w:t>安岳毛家与重庆交界至龙台段升级改造工程</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2.1</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2.1</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宋体"/>
                <w:color w:val="000000"/>
                <w:sz w:val="22"/>
                <w:szCs w:val="22"/>
              </w:rPr>
              <w:t>11</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G321资中界至资阳城区段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25.0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r>
              <w:rPr>
                <w:rFonts w:eastAsia="仿宋"/>
                <w:color w:val="000000"/>
                <w:kern w:val="0"/>
                <w:sz w:val="22"/>
                <w:szCs w:val="22"/>
              </w:rPr>
              <w:t>7</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eastAsia="宋体"/>
                <w:color w:val="000000"/>
                <w:sz w:val="22"/>
                <w:szCs w:val="22"/>
              </w:rPr>
              <w:t>12</w:t>
            </w:r>
          </w:p>
        </w:tc>
        <w:tc>
          <w:tcPr>
            <w:tcW w:w="3261" w:type="dxa"/>
            <w:shd w:val="clear" w:color="auto" w:fill="auto"/>
            <w:vAlign w:val="center"/>
          </w:tcPr>
          <w:p>
            <w:pPr>
              <w:widowControl/>
              <w:spacing w:line="240" w:lineRule="auto"/>
              <w:ind w:firstLine="0" w:firstLineChars="0"/>
              <w:jc w:val="center"/>
              <w:rPr>
                <w:rFonts w:eastAsia="仿宋"/>
                <w:color w:val="000000" w:themeColor="text1"/>
                <w:kern w:val="0"/>
                <w:sz w:val="22"/>
                <w:szCs w:val="22"/>
                <w14:textFill>
                  <w14:solidFill>
                    <w14:schemeClr w14:val="tx1"/>
                  </w14:solidFill>
                </w14:textFill>
              </w:rPr>
            </w:pPr>
            <w:r>
              <w:rPr>
                <w:rFonts w:hint="eastAsia" w:eastAsia="仿宋"/>
                <w:color w:val="000000" w:themeColor="text1"/>
                <w:kern w:val="0"/>
                <w:sz w:val="22"/>
                <w:szCs w:val="22"/>
                <w14:textFill>
                  <w14:solidFill>
                    <w14:schemeClr w14:val="tx1"/>
                  </w14:solidFill>
                </w14:textFill>
              </w:rPr>
              <w:t>东西城市轴线资简段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27.0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27.0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2021</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拟新增省道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eastAsia="宋体"/>
                <w:color w:val="000000"/>
                <w:sz w:val="22"/>
                <w:szCs w:val="22"/>
              </w:rPr>
              <w:t>13</w:t>
            </w:r>
          </w:p>
        </w:tc>
        <w:tc>
          <w:tcPr>
            <w:tcW w:w="3261" w:type="dxa"/>
            <w:shd w:val="clear" w:color="auto" w:fill="auto"/>
            <w:vAlign w:val="center"/>
          </w:tcPr>
          <w:p>
            <w:pPr>
              <w:widowControl/>
              <w:spacing w:line="240" w:lineRule="auto"/>
              <w:ind w:firstLine="0" w:firstLineChars="0"/>
              <w:jc w:val="center"/>
              <w:rPr>
                <w:rFonts w:eastAsia="仿宋"/>
                <w:color w:val="000000" w:themeColor="text1"/>
                <w:kern w:val="0"/>
                <w:sz w:val="22"/>
                <w:szCs w:val="22"/>
                <w14:textFill>
                  <w14:solidFill>
                    <w14:schemeClr w14:val="tx1"/>
                  </w14:solidFill>
                </w14:textFill>
              </w:rPr>
            </w:pPr>
            <w:r>
              <w:rPr>
                <w:rFonts w:hint="eastAsia" w:eastAsia="仿宋"/>
                <w:color w:val="000000" w:themeColor="text1"/>
                <w:kern w:val="0"/>
                <w:sz w:val="22"/>
                <w:szCs w:val="22"/>
                <w14:textFill>
                  <w14:solidFill>
                    <w14:schemeClr w14:val="tx1"/>
                  </w14:solidFill>
                </w14:textFill>
              </w:rPr>
              <w:t>成渝高速至成宜高速联络线</w:t>
            </w:r>
          </w:p>
          <w:p>
            <w:pPr>
              <w:widowControl/>
              <w:spacing w:line="240" w:lineRule="auto"/>
              <w:ind w:firstLine="0" w:firstLineChars="0"/>
              <w:jc w:val="center"/>
              <w:rPr>
                <w:rFonts w:eastAsia="仿宋"/>
                <w:color w:val="000000" w:themeColor="text1"/>
                <w:kern w:val="0"/>
                <w:sz w:val="22"/>
                <w:szCs w:val="22"/>
                <w14:textFill>
                  <w14:solidFill>
                    <w14:schemeClr w14:val="tx1"/>
                  </w14:solidFill>
                </w14:textFill>
              </w:rPr>
            </w:pPr>
            <w:r>
              <w:rPr>
                <w:rFonts w:hint="eastAsia" w:eastAsia="仿宋"/>
                <w:color w:val="000000" w:themeColor="text1"/>
                <w:kern w:val="0"/>
                <w:sz w:val="22"/>
                <w:szCs w:val="22"/>
                <w14:textFill>
                  <w14:solidFill>
                    <w14:schemeClr w14:val="tx1"/>
                  </w14:solidFill>
                </w14:textFill>
              </w:rPr>
              <w:t>（资眉快速路）</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9.4</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9.4</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拟新增省道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eastAsia="仿宋"/>
                <w:color w:val="000000"/>
                <w:kern w:val="0"/>
                <w:sz w:val="22"/>
                <w:szCs w:val="22"/>
              </w:rPr>
              <w:t>14</w:t>
            </w:r>
          </w:p>
        </w:tc>
        <w:tc>
          <w:tcPr>
            <w:tcW w:w="3261" w:type="dxa"/>
            <w:shd w:val="clear" w:color="auto" w:fill="auto"/>
            <w:vAlign w:val="center"/>
          </w:tcPr>
          <w:p>
            <w:pPr>
              <w:widowControl/>
              <w:spacing w:line="240" w:lineRule="auto"/>
              <w:ind w:firstLine="0" w:firstLineChars="0"/>
              <w:jc w:val="center"/>
              <w:rPr>
                <w:rFonts w:eastAsia="仿宋"/>
                <w:color w:val="000000" w:themeColor="text1"/>
                <w:kern w:val="0"/>
                <w:sz w:val="22"/>
                <w:szCs w:val="22"/>
                <w14:textFill>
                  <w14:solidFill>
                    <w14:schemeClr w14:val="tx1"/>
                  </w14:solidFill>
                </w14:textFill>
              </w:rPr>
            </w:pPr>
            <w:r>
              <w:rPr>
                <w:rFonts w:hint="eastAsia" w:eastAsia="仿宋"/>
                <w:color w:val="000000"/>
                <w:kern w:val="0"/>
                <w:sz w:val="22"/>
                <w:szCs w:val="22"/>
              </w:rPr>
              <w:t>迎接至空港新城快速通道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33</w:t>
            </w:r>
            <w:r>
              <w:rPr>
                <w:rFonts w:hint="eastAsia" w:eastAsia="仿宋"/>
                <w:color w:val="000000"/>
                <w:kern w:val="0"/>
                <w:sz w:val="22"/>
                <w:szCs w:val="22"/>
              </w:rPr>
              <w:t>.0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33.0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　</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　</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18.0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6.0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2026</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拟新增省道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宋体"/>
                <w:color w:val="000000"/>
                <w:sz w:val="22"/>
                <w:szCs w:val="22"/>
              </w:rPr>
              <w:t>15</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紫微大道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1</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3</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拟</w:t>
            </w:r>
            <w:r>
              <w:rPr>
                <w:rFonts w:eastAsia="仿宋"/>
                <w:color w:val="000000"/>
                <w:kern w:val="0"/>
                <w:sz w:val="22"/>
                <w:szCs w:val="22"/>
              </w:rPr>
              <w:t>新增省道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宋体"/>
                <w:color w:val="000000"/>
                <w:sz w:val="22"/>
                <w:szCs w:val="22"/>
              </w:rPr>
              <w:t>16</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S422乐金快速通道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24.9</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24.9</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17.0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17.0</w:t>
            </w:r>
          </w:p>
        </w:tc>
        <w:tc>
          <w:tcPr>
            <w:tcW w:w="850"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202</w:t>
            </w:r>
            <w:r>
              <w:rPr>
                <w:rFonts w:hint="eastAsia" w:eastAsia="仿宋"/>
                <w:color w:val="000000"/>
                <w:kern w:val="0"/>
                <w:sz w:val="22"/>
                <w:szCs w:val="22"/>
                <w:lang w:val="en-US" w:eastAsia="zh-CN"/>
              </w:rPr>
              <w:t>2</w:t>
            </w:r>
          </w:p>
        </w:tc>
        <w:tc>
          <w:tcPr>
            <w:tcW w:w="850" w:type="dxa"/>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202</w:t>
            </w:r>
            <w:r>
              <w:rPr>
                <w:rFonts w:hint="eastAsia" w:eastAsia="仿宋"/>
                <w:color w:val="000000"/>
                <w:kern w:val="0"/>
                <w:sz w:val="22"/>
                <w:szCs w:val="22"/>
                <w:lang w:val="en-US" w:eastAsia="zh-CN"/>
              </w:rPr>
              <w:t>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7</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S307乐简快速通道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28.0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28.0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30.0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2025</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2028</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hint="eastAsia" w:eastAsia="仿宋"/>
                <w:color w:val="000000"/>
                <w:kern w:val="0"/>
                <w:sz w:val="22"/>
                <w:szCs w:val="22"/>
              </w:rPr>
              <w:t>1</w:t>
            </w:r>
            <w:r>
              <w:rPr>
                <w:rFonts w:eastAsia="仿宋"/>
                <w:color w:val="000000"/>
                <w:kern w:val="0"/>
                <w:sz w:val="22"/>
                <w:szCs w:val="22"/>
              </w:rPr>
              <w:t>8</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S102资安快速通道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62.4</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62.4</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49.0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49.0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r>
              <w:rPr>
                <w:rFonts w:eastAsia="仿宋"/>
                <w:color w:val="000000"/>
                <w:kern w:val="0"/>
                <w:sz w:val="22"/>
                <w:szCs w:val="22"/>
              </w:rPr>
              <w:t>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19</w:t>
            </w:r>
          </w:p>
        </w:tc>
        <w:tc>
          <w:tcPr>
            <w:tcW w:w="3261" w:type="dxa"/>
            <w:shd w:val="clear" w:color="auto" w:fill="auto"/>
            <w:vAlign w:val="center"/>
          </w:tcPr>
          <w:p>
            <w:pPr>
              <w:widowControl/>
              <w:spacing w:line="240" w:lineRule="auto"/>
              <w:ind w:firstLine="0" w:firstLineChars="0"/>
              <w:jc w:val="center"/>
              <w:rPr>
                <w:rFonts w:eastAsia="宋体"/>
                <w:color w:val="000000"/>
                <w:sz w:val="22"/>
                <w:szCs w:val="22"/>
              </w:rPr>
            </w:pPr>
            <w:r>
              <w:rPr>
                <w:rFonts w:hint="eastAsia" w:eastAsia="仿宋"/>
                <w:color w:val="000000"/>
                <w:kern w:val="0"/>
                <w:sz w:val="22"/>
                <w:szCs w:val="22"/>
              </w:rPr>
              <w:t>S207安岳锣鼓庙至安大桥段改造</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7.8</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7.8</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0.4</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2021</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路面改造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宋体"/>
                <w:color w:val="000000"/>
                <w:sz w:val="22"/>
                <w:szCs w:val="22"/>
              </w:rPr>
            </w:pPr>
            <w:r>
              <w:rPr>
                <w:rFonts w:hint="eastAsia" w:eastAsia="仿宋"/>
                <w:color w:val="000000"/>
                <w:kern w:val="0"/>
                <w:sz w:val="22"/>
                <w:szCs w:val="22"/>
              </w:rPr>
              <w:t>2</w:t>
            </w:r>
            <w:r>
              <w:rPr>
                <w:rFonts w:eastAsia="仿宋"/>
                <w:color w:val="000000"/>
                <w:kern w:val="0"/>
                <w:sz w:val="22"/>
                <w:szCs w:val="22"/>
              </w:rPr>
              <w:t>0</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S426安岳龙台至永清段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3.2</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3.2</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2023</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1</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S426安岳兴隆至永清段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1.4</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2023</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2</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乐雁快速通道</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38.0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38.0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15.0</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9</w:t>
            </w:r>
            <w:r>
              <w:rPr>
                <w:rFonts w:hint="eastAsia" w:eastAsia="仿宋"/>
                <w:color w:val="000000"/>
                <w:kern w:val="0"/>
                <w:sz w:val="22"/>
                <w:szCs w:val="22"/>
              </w:rPr>
              <w:t>.0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r>
              <w:rPr>
                <w:rFonts w:eastAsia="仿宋"/>
                <w:color w:val="000000"/>
                <w:kern w:val="0"/>
                <w:sz w:val="22"/>
                <w:szCs w:val="22"/>
              </w:rPr>
              <w:t>3</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r>
              <w:rPr>
                <w:rFonts w:eastAsia="仿宋"/>
                <w:color w:val="000000"/>
                <w:kern w:val="0"/>
                <w:sz w:val="22"/>
                <w:szCs w:val="22"/>
              </w:rPr>
              <w:t>6</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拟新增省道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5"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3</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S207安岳卧佛莲花大桥</w:t>
            </w:r>
          </w:p>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至遂宁安居界</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0.4</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2023</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4</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S102安岳文化至川渝界</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49.0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49.0</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9.8</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9.8</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储备项目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5</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S102安岳大埝至镇子段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4.1</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4.1</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0.5</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0.5</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2023</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宋体"/>
                <w:color w:val="000000"/>
                <w:sz w:val="22"/>
                <w:szCs w:val="22"/>
              </w:rPr>
              <w:t>2</w:t>
            </w:r>
            <w:r>
              <w:rPr>
                <w:rFonts w:eastAsia="宋体"/>
                <w:color w:val="000000"/>
                <w:sz w:val="22"/>
                <w:szCs w:val="22"/>
              </w:rPr>
              <w:t>6</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S401乐至大英界至安岳华严段</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66.3</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66.3</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2023</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2025</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36" w:hRule="atLeast"/>
          <w:jc w:val="center"/>
        </w:trPr>
        <w:tc>
          <w:tcPr>
            <w:tcW w:w="567"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7</w:t>
            </w:r>
          </w:p>
        </w:tc>
        <w:tc>
          <w:tcPr>
            <w:tcW w:w="3261"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S423乐至童家至中江元兴界</w:t>
            </w:r>
          </w:p>
        </w:tc>
        <w:tc>
          <w:tcPr>
            <w:tcW w:w="567" w:type="dxa"/>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改建</w:t>
            </w:r>
          </w:p>
        </w:tc>
        <w:tc>
          <w:tcPr>
            <w:tcW w:w="70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41.2</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41.2</w:t>
            </w: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12.5</w:t>
            </w:r>
          </w:p>
        </w:tc>
        <w:tc>
          <w:tcPr>
            <w:tcW w:w="993"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5.0</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0"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2026</w:t>
            </w:r>
          </w:p>
        </w:tc>
        <w:tc>
          <w:tcPr>
            <w:tcW w:w="1701"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bl>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pStyle w:val="2"/>
        <w:ind w:firstLine="0" w:firstLineChars="0"/>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jc w:val="center"/>
        <w:rPr>
          <w:rFonts w:ascii="黑体" w:hAnsi="黑体" w:eastAsia="黑体"/>
          <w:color w:val="000000"/>
          <w:kern w:val="0"/>
          <w:sz w:val="28"/>
          <w:szCs w:val="28"/>
        </w:rPr>
      </w:pPr>
    </w:p>
    <w:p>
      <w:pPr>
        <w:spacing w:line="240" w:lineRule="auto"/>
        <w:ind w:firstLine="0" w:firstLineChars="0"/>
        <w:rPr>
          <w:rFonts w:ascii="黑体" w:hAnsi="黑体" w:eastAsia="黑体"/>
          <w:color w:val="000000"/>
          <w:kern w:val="0"/>
          <w:sz w:val="28"/>
          <w:szCs w:val="28"/>
        </w:rPr>
      </w:pPr>
    </w:p>
    <w:p>
      <w:pPr>
        <w:ind w:firstLine="0" w:firstLineChars="0"/>
        <w:jc w:val="center"/>
        <w:rPr>
          <w:rFonts w:ascii="黑体" w:hAnsi="黑体" w:eastAsia="黑体"/>
          <w:color w:val="000000"/>
          <w:kern w:val="0"/>
          <w:sz w:val="28"/>
          <w:szCs w:val="28"/>
        </w:rPr>
      </w:pPr>
      <w:r>
        <w:rPr>
          <w:rFonts w:hint="eastAsia" w:ascii="黑体" w:hAnsi="黑体" w:eastAsia="黑体"/>
          <w:color w:val="000000"/>
          <w:kern w:val="0"/>
          <w:sz w:val="28"/>
          <w:szCs w:val="28"/>
        </w:rPr>
        <w:t>附表</w:t>
      </w:r>
      <w:r>
        <w:rPr>
          <w:rFonts w:ascii="黑体" w:hAnsi="黑体" w:eastAsia="黑体"/>
          <w:color w:val="000000"/>
          <w:kern w:val="0"/>
          <w:sz w:val="28"/>
          <w:szCs w:val="28"/>
        </w:rPr>
        <w:t xml:space="preserve">4  </w:t>
      </w:r>
      <w:r>
        <w:rPr>
          <w:rFonts w:hint="eastAsia" w:ascii="黑体" w:hAnsi="黑体" w:eastAsia="黑体"/>
          <w:color w:val="000000"/>
          <w:kern w:val="0"/>
          <w:sz w:val="28"/>
          <w:szCs w:val="28"/>
        </w:rPr>
        <w:t>资阳市“十四五”快速通道建设项目表</w:t>
      </w:r>
    </w:p>
    <w:tbl>
      <w:tblPr>
        <w:tblStyle w:val="21"/>
        <w:tblW w:w="14035" w:type="dxa"/>
        <w:jc w:val="center"/>
        <w:tblLayout w:type="fixed"/>
        <w:tblCellMar>
          <w:top w:w="0" w:type="dxa"/>
          <w:left w:w="28" w:type="dxa"/>
          <w:bottom w:w="0" w:type="dxa"/>
          <w:right w:w="28" w:type="dxa"/>
        </w:tblCellMar>
      </w:tblPr>
      <w:tblGrid>
        <w:gridCol w:w="521"/>
        <w:gridCol w:w="3119"/>
        <w:gridCol w:w="850"/>
        <w:gridCol w:w="661"/>
        <w:gridCol w:w="661"/>
        <w:gridCol w:w="662"/>
        <w:gridCol w:w="661"/>
        <w:gridCol w:w="662"/>
        <w:gridCol w:w="1134"/>
        <w:gridCol w:w="993"/>
        <w:gridCol w:w="992"/>
        <w:gridCol w:w="850"/>
        <w:gridCol w:w="851"/>
        <w:gridCol w:w="1418"/>
      </w:tblGrid>
      <w:tr>
        <w:tblPrEx>
          <w:tblCellMar>
            <w:top w:w="0" w:type="dxa"/>
            <w:left w:w="28" w:type="dxa"/>
            <w:bottom w:w="0" w:type="dxa"/>
            <w:right w:w="28" w:type="dxa"/>
          </w:tblCellMar>
        </w:tblPrEx>
        <w:trPr>
          <w:trHeight w:val="465" w:hRule="atLeast"/>
          <w:tblHeader/>
          <w:jc w:val="center"/>
        </w:trPr>
        <w:tc>
          <w:tcPr>
            <w:tcW w:w="521" w:type="dxa"/>
            <w:vMerge w:val="restart"/>
            <w:tcBorders>
              <w:top w:val="single" w:color="auto" w:sz="12"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序号</w:t>
            </w:r>
          </w:p>
        </w:tc>
        <w:tc>
          <w:tcPr>
            <w:tcW w:w="311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项目名称</w:t>
            </w:r>
          </w:p>
        </w:tc>
        <w:tc>
          <w:tcPr>
            <w:tcW w:w="850"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w:t>
            </w:r>
            <w:r>
              <w:rPr>
                <w:rFonts w:eastAsia="仿宋"/>
                <w:b/>
                <w:bCs/>
                <w:color w:val="000000"/>
                <w:kern w:val="0"/>
                <w:sz w:val="22"/>
                <w:szCs w:val="22"/>
              </w:rPr>
              <w:br w:type="textWrapping"/>
            </w:r>
            <w:r>
              <w:rPr>
                <w:rFonts w:eastAsia="仿宋"/>
                <w:b/>
                <w:bCs/>
                <w:color w:val="000000"/>
                <w:kern w:val="0"/>
                <w:sz w:val="22"/>
                <w:szCs w:val="22"/>
              </w:rPr>
              <w:t>性质</w:t>
            </w:r>
          </w:p>
        </w:tc>
        <w:tc>
          <w:tcPr>
            <w:tcW w:w="3307" w:type="dxa"/>
            <w:gridSpan w:val="5"/>
            <w:tcBorders>
              <w:top w:val="single" w:color="auto" w:sz="12" w:space="0"/>
              <w:left w:val="nil"/>
              <w:bottom w:val="single" w:color="auto" w:sz="4" w:space="0"/>
              <w:right w:val="nil"/>
            </w:tcBorders>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建设规模（公里）</w:t>
            </w:r>
          </w:p>
        </w:tc>
        <w:tc>
          <w:tcPr>
            <w:tcW w:w="1134"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xml:space="preserve">总投资（亿元）  </w:t>
            </w:r>
          </w:p>
        </w:tc>
        <w:tc>
          <w:tcPr>
            <w:tcW w:w="993"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“十三五”投资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992" w:type="dxa"/>
            <w:vMerge w:val="restart"/>
            <w:tcBorders>
              <w:top w:val="single" w:color="auto" w:sz="12"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“十四五”投资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1701" w:type="dxa"/>
            <w:gridSpan w:val="2"/>
            <w:tcBorders>
              <w:top w:val="single" w:color="auto" w:sz="12"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建设年限</w:t>
            </w:r>
          </w:p>
        </w:tc>
        <w:tc>
          <w:tcPr>
            <w:tcW w:w="1418" w:type="dxa"/>
            <w:vMerge w:val="restart"/>
            <w:tcBorders>
              <w:top w:val="single" w:color="auto" w:sz="12" w:space="0"/>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备注</w:t>
            </w:r>
          </w:p>
        </w:tc>
      </w:tr>
      <w:tr>
        <w:tblPrEx>
          <w:tblCellMar>
            <w:top w:w="0" w:type="dxa"/>
            <w:left w:w="28" w:type="dxa"/>
            <w:bottom w:w="0" w:type="dxa"/>
            <w:right w:w="28" w:type="dxa"/>
          </w:tblCellMar>
        </w:tblPrEx>
        <w:trPr>
          <w:trHeight w:val="675" w:hRule="atLeast"/>
          <w:tblHeader/>
          <w:jc w:val="center"/>
        </w:trPr>
        <w:tc>
          <w:tcPr>
            <w:tcW w:w="521" w:type="dxa"/>
            <w:vMerge w:val="continue"/>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311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850"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合计</w:t>
            </w: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一级公路</w:t>
            </w:r>
          </w:p>
        </w:tc>
        <w:tc>
          <w:tcPr>
            <w:tcW w:w="6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二级公路</w:t>
            </w: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三级公路</w:t>
            </w:r>
          </w:p>
        </w:tc>
        <w:tc>
          <w:tcPr>
            <w:tcW w:w="6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独立 桥隧</w:t>
            </w:r>
          </w:p>
        </w:tc>
        <w:tc>
          <w:tcPr>
            <w:tcW w:w="1134"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99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992"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开工年</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完工年</w:t>
            </w:r>
          </w:p>
        </w:tc>
        <w:tc>
          <w:tcPr>
            <w:tcW w:w="1418" w:type="dxa"/>
            <w:vMerge w:val="continue"/>
            <w:tcBorders>
              <w:top w:val="single" w:color="auto" w:sz="8" w:space="0"/>
              <w:left w:val="single" w:color="auto" w:sz="4" w:space="0"/>
              <w:bottom w:val="single" w:color="auto" w:sz="4" w:space="0"/>
              <w:right w:val="nil"/>
            </w:tcBorders>
            <w:vAlign w:val="center"/>
          </w:tcPr>
          <w:p>
            <w:pPr>
              <w:widowControl/>
              <w:spacing w:line="240" w:lineRule="auto"/>
              <w:ind w:firstLine="0" w:firstLineChars="0"/>
              <w:jc w:val="left"/>
              <w:rPr>
                <w:rFonts w:eastAsia="仿宋"/>
                <w:b/>
                <w:bCs/>
                <w:color w:val="000000"/>
                <w:kern w:val="0"/>
                <w:sz w:val="22"/>
                <w:szCs w:val="22"/>
              </w:rPr>
            </w:pPr>
          </w:p>
        </w:tc>
      </w:tr>
      <w:tr>
        <w:tblPrEx>
          <w:tblCellMar>
            <w:top w:w="0" w:type="dxa"/>
            <w:left w:w="28" w:type="dxa"/>
            <w:bottom w:w="0" w:type="dxa"/>
            <w:right w:w="28" w:type="dxa"/>
          </w:tblCellMar>
        </w:tblPrEx>
        <w:trPr>
          <w:trHeight w:val="480" w:hRule="atLeast"/>
          <w:jc w:val="center"/>
        </w:trPr>
        <w:tc>
          <w:tcPr>
            <w:tcW w:w="3640"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 计</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1</w:t>
            </w:r>
            <w:r>
              <w:rPr>
                <w:rFonts w:hint="eastAsia" w:eastAsia="仿宋"/>
                <w:b/>
                <w:bCs/>
                <w:color w:val="000000"/>
                <w:kern w:val="0"/>
                <w:sz w:val="22"/>
                <w:szCs w:val="22"/>
              </w:rPr>
              <w:t>97.6</w:t>
            </w: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56.3</w:t>
            </w:r>
          </w:p>
        </w:tc>
        <w:tc>
          <w:tcPr>
            <w:tcW w:w="6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23.7</w:t>
            </w: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6.6</w:t>
            </w:r>
          </w:p>
        </w:tc>
        <w:tc>
          <w:tcPr>
            <w:tcW w:w="6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1</w:t>
            </w:r>
            <w:r>
              <w:rPr>
                <w:rFonts w:eastAsia="仿宋"/>
                <w:b/>
                <w:bCs/>
                <w:color w:val="000000"/>
                <w:kern w:val="0"/>
                <w:sz w:val="22"/>
                <w:szCs w:val="22"/>
              </w:rPr>
              <w:t>.0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94</w:t>
            </w:r>
            <w:r>
              <w:rPr>
                <w:rFonts w:eastAsia="仿宋"/>
                <w:b/>
                <w:bCs/>
                <w:color w:val="000000"/>
                <w:kern w:val="0"/>
                <w:sz w:val="22"/>
                <w:szCs w:val="22"/>
              </w:rPr>
              <w:t>.6</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80</w:t>
            </w:r>
            <w:r>
              <w:rPr>
                <w:rFonts w:eastAsia="仿宋"/>
                <w:b/>
                <w:bCs/>
                <w:color w:val="000000"/>
                <w:kern w:val="0"/>
                <w:sz w:val="22"/>
                <w:szCs w:val="22"/>
              </w:rPr>
              <w:t>.2</w:t>
            </w:r>
          </w:p>
        </w:tc>
        <w:tc>
          <w:tcPr>
            <w:tcW w:w="85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418"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仿宋"/>
                <w:color w:val="000000"/>
                <w:kern w:val="0"/>
                <w:sz w:val="22"/>
                <w:szCs w:val="22"/>
              </w:rPr>
            </w:pPr>
          </w:p>
        </w:tc>
      </w:tr>
      <w:tr>
        <w:tblPrEx>
          <w:tblCellMar>
            <w:top w:w="0" w:type="dxa"/>
            <w:left w:w="28" w:type="dxa"/>
            <w:bottom w:w="0" w:type="dxa"/>
            <w:right w:w="28" w:type="dxa"/>
          </w:tblCellMar>
        </w:tblPrEx>
        <w:trPr>
          <w:trHeight w:val="480" w:hRule="atLeast"/>
          <w:jc w:val="center"/>
        </w:trPr>
        <w:tc>
          <w:tcPr>
            <w:tcW w:w="36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一</w:t>
            </w:r>
            <w:r>
              <w:rPr>
                <w:rFonts w:eastAsia="仿宋"/>
                <w:b/>
                <w:bCs/>
                <w:color w:val="000000"/>
                <w:kern w:val="0"/>
                <w:sz w:val="22"/>
                <w:szCs w:val="22"/>
              </w:rPr>
              <w:t>、</w:t>
            </w:r>
            <w:r>
              <w:rPr>
                <w:rFonts w:hint="eastAsia" w:eastAsia="仿宋"/>
                <w:b/>
                <w:bCs/>
                <w:color w:val="000000"/>
                <w:kern w:val="0"/>
                <w:sz w:val="22"/>
                <w:szCs w:val="22"/>
              </w:rPr>
              <w:t>新</w:t>
            </w:r>
            <w:r>
              <w:rPr>
                <w:rFonts w:eastAsia="仿宋"/>
                <w:b/>
                <w:bCs/>
                <w:color w:val="000000"/>
                <w:kern w:val="0"/>
                <w:sz w:val="22"/>
                <w:szCs w:val="22"/>
              </w:rPr>
              <w:t>开工建设</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6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66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66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85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418"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仿宋"/>
                <w:color w:val="000000"/>
                <w:kern w:val="0"/>
                <w:sz w:val="22"/>
                <w:szCs w:val="22"/>
              </w:rPr>
            </w:pPr>
            <w:r>
              <w:rPr>
                <w:rFonts w:eastAsia="宋体"/>
                <w:b/>
                <w:bCs/>
                <w:color w:val="000000"/>
                <w:sz w:val="22"/>
                <w:szCs w:val="22"/>
              </w:rPr>
              <w:t>　</w:t>
            </w: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资简产业大道</w:t>
            </w:r>
          </w:p>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（老君至杨家快速通道）</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7.0</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7.0</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5.6</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r>
              <w:rPr>
                <w:rFonts w:hint="eastAsia" w:eastAsia="仿宋"/>
                <w:color w:val="000000"/>
                <w:kern w:val="0"/>
                <w:sz w:val="22"/>
                <w:szCs w:val="22"/>
              </w:rPr>
              <w:t>.0</w:t>
            </w:r>
          </w:p>
        </w:tc>
        <w:tc>
          <w:tcPr>
            <w:tcW w:w="850"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2026</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晏宾大道</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4.7</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4.7</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2.5</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2.5</w:t>
            </w:r>
          </w:p>
        </w:tc>
        <w:tc>
          <w:tcPr>
            <w:tcW w:w="850"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2021</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老君至临空经济区快速通道</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16.0</w:t>
            </w:r>
            <w:r>
              <w:rPr>
                <w:rFonts w:eastAsia="仿宋"/>
                <w:color w:val="000000"/>
                <w:kern w:val="0"/>
                <w:sz w:val="22"/>
                <w:szCs w:val="22"/>
              </w:rPr>
              <w:t xml:space="preserve"> </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16.0</w:t>
            </w:r>
            <w:r>
              <w:rPr>
                <w:rFonts w:eastAsia="仿宋"/>
                <w:color w:val="000000"/>
                <w:kern w:val="0"/>
                <w:sz w:val="22"/>
                <w:szCs w:val="22"/>
              </w:rPr>
              <w:t xml:space="preserve">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12.8</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8.0</w:t>
            </w:r>
          </w:p>
        </w:tc>
        <w:tc>
          <w:tcPr>
            <w:tcW w:w="850"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4</w:t>
            </w:r>
            <w:r>
              <w:rPr>
                <w:rFonts w:eastAsia="仿宋"/>
                <w:color w:val="000000"/>
                <w:kern w:val="0"/>
                <w:sz w:val="22"/>
                <w:szCs w:val="22"/>
              </w:rPr>
              <w:t xml:space="preserve"> </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w:t>
            </w:r>
            <w:r>
              <w:rPr>
                <w:rFonts w:hint="eastAsia" w:eastAsia="仿宋"/>
                <w:color w:val="000000"/>
                <w:kern w:val="0"/>
                <w:sz w:val="22"/>
                <w:szCs w:val="22"/>
              </w:rPr>
              <w:t>7</w:t>
            </w:r>
            <w:r>
              <w:rPr>
                <w:rFonts w:eastAsia="仿宋"/>
                <w:color w:val="000000"/>
                <w:kern w:val="0"/>
                <w:sz w:val="22"/>
                <w:szCs w:val="22"/>
              </w:rPr>
              <w:t xml:space="preserve"> </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　</w:t>
            </w: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中和至迎接快速通道</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33.0</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33.0</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12.0</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6.0</w:t>
            </w:r>
          </w:p>
        </w:tc>
        <w:tc>
          <w:tcPr>
            <w:tcW w:w="850"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2027</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5</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花溪谷至临空经济区旅游环线</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ascii="仿宋" w:hAnsi="仿宋" w:eastAsia="仿宋"/>
                <w:color w:val="000000"/>
                <w:sz w:val="20"/>
                <w:szCs w:val="20"/>
              </w:rPr>
              <w:t>新建</w:t>
            </w:r>
          </w:p>
        </w:tc>
        <w:tc>
          <w:tcPr>
            <w:tcW w:w="661" w:type="dxa"/>
            <w:tcBorders>
              <w:top w:val="nil"/>
              <w:left w:val="nil"/>
              <w:bottom w:val="single" w:color="auto" w:sz="4" w:space="0"/>
              <w:right w:val="single" w:color="auto" w:sz="4" w:space="0"/>
            </w:tcBorders>
            <w:shd w:val="clear" w:color="auto" w:fill="auto"/>
            <w:noWrap/>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16.6</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　</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　</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16.6</w:t>
            </w: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6.6</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6.6</w:t>
            </w:r>
          </w:p>
        </w:tc>
        <w:tc>
          <w:tcPr>
            <w:tcW w:w="850"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6</w:t>
            </w:r>
          </w:p>
        </w:tc>
        <w:tc>
          <w:tcPr>
            <w:tcW w:w="3119"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乐至旅游环线</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w:t>
            </w:r>
          </w:p>
        </w:tc>
        <w:tc>
          <w:tcPr>
            <w:tcW w:w="661" w:type="dxa"/>
            <w:tcBorders>
              <w:top w:val="nil"/>
              <w:left w:val="nil"/>
              <w:bottom w:val="single" w:color="auto" w:sz="4" w:space="0"/>
              <w:right w:val="single" w:color="auto" w:sz="4" w:space="0"/>
            </w:tcBorders>
            <w:shd w:val="clear" w:color="auto" w:fill="auto"/>
            <w:noWrap/>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w:t>
            </w:r>
            <w:r>
              <w:rPr>
                <w:rFonts w:eastAsia="仿宋"/>
                <w:color w:val="000000"/>
                <w:kern w:val="0"/>
                <w:sz w:val="22"/>
                <w:szCs w:val="22"/>
              </w:rPr>
              <w:t>6.0</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w:t>
            </w:r>
            <w:r>
              <w:rPr>
                <w:rFonts w:eastAsia="仿宋"/>
                <w:color w:val="000000"/>
                <w:kern w:val="0"/>
                <w:sz w:val="22"/>
                <w:szCs w:val="22"/>
              </w:rPr>
              <w:t>6.0</w:t>
            </w:r>
          </w:p>
        </w:tc>
        <w:tc>
          <w:tcPr>
            <w:tcW w:w="66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6.1</w:t>
            </w:r>
          </w:p>
        </w:tc>
        <w:tc>
          <w:tcPr>
            <w:tcW w:w="993"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6.1</w:t>
            </w:r>
          </w:p>
        </w:tc>
        <w:tc>
          <w:tcPr>
            <w:tcW w:w="850"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lang w:val="en-US" w:eastAsia="zh-CN"/>
              </w:rPr>
              <w:t>4</w:t>
            </w:r>
          </w:p>
        </w:tc>
        <w:tc>
          <w:tcPr>
            <w:tcW w:w="851"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hint="eastAsia" w:eastAsia="仿宋"/>
                <w:color w:val="000000"/>
                <w:kern w:val="0"/>
                <w:sz w:val="22"/>
                <w:szCs w:val="22"/>
                <w:lang w:eastAsia="zh-CN"/>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lang w:val="en-US" w:eastAsia="zh-CN"/>
              </w:rPr>
              <w:t>6</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28" w:type="dxa"/>
            <w:bottom w:w="0" w:type="dxa"/>
            <w:right w:w="28" w:type="dxa"/>
          </w:tblCellMar>
        </w:tblPrEx>
        <w:trPr>
          <w:trHeight w:val="480" w:hRule="atLeast"/>
          <w:jc w:val="center"/>
        </w:trPr>
        <w:tc>
          <w:tcPr>
            <w:tcW w:w="52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7</w:t>
            </w:r>
          </w:p>
        </w:tc>
        <w:tc>
          <w:tcPr>
            <w:tcW w:w="3119"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乐至北通道</w:t>
            </w:r>
          </w:p>
        </w:tc>
        <w:tc>
          <w:tcPr>
            <w:tcW w:w="850" w:type="dxa"/>
            <w:tcBorders>
              <w:top w:val="nil"/>
              <w:left w:val="nil"/>
              <w:bottom w:val="nil"/>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66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xml:space="preserve">19.0 </w:t>
            </w:r>
          </w:p>
        </w:tc>
        <w:tc>
          <w:tcPr>
            <w:tcW w:w="66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18.0</w:t>
            </w:r>
          </w:p>
        </w:tc>
        <w:tc>
          <w:tcPr>
            <w:tcW w:w="662"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661"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662"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xml:space="preserve">1.0 </w:t>
            </w:r>
          </w:p>
        </w:tc>
        <w:tc>
          <w:tcPr>
            <w:tcW w:w="1134"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15</w:t>
            </w:r>
            <w:r>
              <w:rPr>
                <w:rFonts w:hint="eastAsia" w:eastAsia="仿宋"/>
                <w:color w:val="000000"/>
                <w:kern w:val="0"/>
                <w:sz w:val="22"/>
                <w:szCs w:val="22"/>
              </w:rPr>
              <w:t>.0</w:t>
            </w:r>
            <w:r>
              <w:rPr>
                <w:rFonts w:eastAsia="仿宋"/>
                <w:color w:val="000000"/>
                <w:kern w:val="0"/>
                <w:sz w:val="22"/>
                <w:szCs w:val="22"/>
              </w:rPr>
              <w:t xml:space="preserve"> </w:t>
            </w:r>
          </w:p>
        </w:tc>
        <w:tc>
          <w:tcPr>
            <w:tcW w:w="993" w:type="dxa"/>
            <w:tcBorders>
              <w:top w:val="nil"/>
              <w:left w:val="nil"/>
              <w:bottom w:val="nil"/>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nil"/>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15</w:t>
            </w:r>
            <w:r>
              <w:rPr>
                <w:rFonts w:hint="eastAsia" w:eastAsia="仿宋"/>
                <w:color w:val="000000"/>
                <w:kern w:val="0"/>
                <w:sz w:val="22"/>
                <w:szCs w:val="22"/>
              </w:rPr>
              <w:t>.0</w:t>
            </w:r>
            <w:r>
              <w:rPr>
                <w:rFonts w:eastAsia="仿宋"/>
                <w:color w:val="000000"/>
                <w:kern w:val="0"/>
                <w:sz w:val="22"/>
                <w:szCs w:val="22"/>
              </w:rPr>
              <w:t xml:space="preserve"> </w:t>
            </w:r>
          </w:p>
        </w:tc>
        <w:tc>
          <w:tcPr>
            <w:tcW w:w="850" w:type="dxa"/>
            <w:tcBorders>
              <w:top w:val="nil"/>
              <w:left w:val="single" w:color="auto" w:sz="4" w:space="0"/>
              <w:bottom w:val="nil"/>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851" w:type="dxa"/>
            <w:tcBorders>
              <w:top w:val="nil"/>
              <w:left w:val="single" w:color="auto" w:sz="4" w:space="0"/>
              <w:bottom w:val="nil"/>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418" w:type="dxa"/>
            <w:tcBorders>
              <w:top w:val="nil"/>
              <w:left w:val="single" w:color="auto" w:sz="4" w:space="0"/>
              <w:bottom w:val="nil"/>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储备项目</w:t>
            </w:r>
            <w:r>
              <w:rPr>
                <w:rFonts w:eastAsia="仿宋"/>
                <w:color w:val="000000"/>
                <w:kern w:val="0"/>
                <w:sz w:val="22"/>
                <w:szCs w:val="22"/>
              </w:rPr>
              <w:t>　</w:t>
            </w:r>
          </w:p>
        </w:tc>
      </w:tr>
      <w:tr>
        <w:tblPrEx>
          <w:tblCellMar>
            <w:top w:w="0" w:type="dxa"/>
            <w:left w:w="28" w:type="dxa"/>
            <w:bottom w:w="0" w:type="dxa"/>
            <w:right w:w="28" w:type="dxa"/>
          </w:tblCellMar>
        </w:tblPrEx>
        <w:trPr>
          <w:trHeight w:val="480" w:hRule="atLeast"/>
          <w:jc w:val="center"/>
        </w:trPr>
        <w:tc>
          <w:tcPr>
            <w:tcW w:w="521"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w:t>
            </w:r>
          </w:p>
        </w:tc>
        <w:tc>
          <w:tcPr>
            <w:tcW w:w="3119"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滨江大道</w:t>
            </w:r>
          </w:p>
        </w:tc>
        <w:tc>
          <w:tcPr>
            <w:tcW w:w="850" w:type="dxa"/>
            <w:tcBorders>
              <w:top w:val="nil"/>
              <w:left w:val="nil"/>
              <w:bottom w:val="single" w:color="auto" w:sz="12"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661"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15.3</w:t>
            </w:r>
          </w:p>
        </w:tc>
        <w:tc>
          <w:tcPr>
            <w:tcW w:w="661"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15.3</w:t>
            </w:r>
          </w:p>
        </w:tc>
        <w:tc>
          <w:tcPr>
            <w:tcW w:w="662"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661"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662"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134"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14.0</w:t>
            </w:r>
          </w:p>
        </w:tc>
        <w:tc>
          <w:tcPr>
            <w:tcW w:w="993" w:type="dxa"/>
            <w:tcBorders>
              <w:top w:val="nil"/>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tcBorders>
              <w:top w:val="nil"/>
              <w:left w:val="nil"/>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14.0</w:t>
            </w:r>
          </w:p>
        </w:tc>
        <w:tc>
          <w:tcPr>
            <w:tcW w:w="850" w:type="dxa"/>
            <w:tcBorders>
              <w:top w:val="nil"/>
              <w:left w:val="single" w:color="auto" w:sz="4" w:space="0"/>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851" w:type="dxa"/>
            <w:tcBorders>
              <w:top w:val="nil"/>
              <w:left w:val="single" w:color="auto" w:sz="4" w:space="0"/>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2025</w:t>
            </w:r>
          </w:p>
        </w:tc>
        <w:tc>
          <w:tcPr>
            <w:tcW w:w="1418" w:type="dxa"/>
            <w:tcBorders>
              <w:top w:val="nil"/>
              <w:left w:val="single" w:color="auto" w:sz="4" w:space="0"/>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bl>
    <w:p>
      <w:pPr>
        <w:spacing w:line="240" w:lineRule="auto"/>
        <w:ind w:firstLine="0" w:firstLineChars="0"/>
        <w:rPr>
          <w:rFonts w:ascii="Calibri" w:hAnsi="Calibri" w:eastAsia="宋体"/>
          <w:sz w:val="21"/>
        </w:rPr>
      </w:pPr>
    </w:p>
    <w:p>
      <w:pPr>
        <w:pStyle w:val="2"/>
        <w:spacing w:after="0"/>
        <w:ind w:firstLine="640"/>
      </w:pPr>
    </w:p>
    <w:p>
      <w:pPr>
        <w:ind w:firstLine="0" w:firstLineChars="0"/>
        <w:jc w:val="center"/>
        <w:rPr>
          <w:rFonts w:eastAsia="黑体"/>
          <w:color w:val="000000"/>
          <w:kern w:val="0"/>
          <w:sz w:val="28"/>
          <w:szCs w:val="28"/>
        </w:rPr>
      </w:pPr>
      <w:r>
        <w:rPr>
          <w:rFonts w:eastAsia="黑体"/>
          <w:color w:val="000000"/>
          <w:kern w:val="0"/>
          <w:sz w:val="28"/>
          <w:szCs w:val="28"/>
        </w:rPr>
        <w:t xml:space="preserve">附表5  </w:t>
      </w:r>
      <w:r>
        <w:rPr>
          <w:rFonts w:hint="eastAsia" w:eastAsia="黑体"/>
          <w:color w:val="000000"/>
          <w:kern w:val="0"/>
          <w:sz w:val="28"/>
          <w:szCs w:val="28"/>
        </w:rPr>
        <w:t>资阳</w:t>
      </w:r>
      <w:r>
        <w:rPr>
          <w:rFonts w:eastAsia="黑体"/>
          <w:color w:val="000000"/>
          <w:kern w:val="0"/>
          <w:sz w:val="28"/>
          <w:szCs w:val="28"/>
        </w:rPr>
        <w:t>市</w:t>
      </w:r>
      <w:r>
        <w:rPr>
          <w:rFonts w:hint="eastAsia" w:ascii="宋体" w:hAnsi="宋体" w:eastAsia="宋体"/>
          <w:color w:val="000000"/>
          <w:kern w:val="0"/>
          <w:sz w:val="28"/>
          <w:szCs w:val="28"/>
        </w:rPr>
        <w:t>“</w:t>
      </w:r>
      <w:r>
        <w:rPr>
          <w:rFonts w:hint="eastAsia" w:ascii="黑体" w:hAnsi="黑体" w:eastAsia="黑体"/>
          <w:color w:val="000000"/>
          <w:kern w:val="0"/>
          <w:sz w:val="28"/>
          <w:szCs w:val="28"/>
        </w:rPr>
        <w:t>十四五</w:t>
      </w:r>
      <w:r>
        <w:rPr>
          <w:rFonts w:hint="eastAsia" w:ascii="宋体" w:hAnsi="宋体" w:eastAsia="宋体"/>
          <w:color w:val="000000"/>
          <w:kern w:val="0"/>
          <w:sz w:val="28"/>
          <w:szCs w:val="28"/>
        </w:rPr>
        <w:t>”</w:t>
      </w:r>
      <w:r>
        <w:rPr>
          <w:rFonts w:eastAsia="黑体"/>
          <w:color w:val="000000"/>
          <w:kern w:val="0"/>
          <w:sz w:val="28"/>
          <w:szCs w:val="28"/>
        </w:rPr>
        <w:t>农村公路建设项目表</w:t>
      </w:r>
    </w:p>
    <w:tbl>
      <w:tblPr>
        <w:tblStyle w:val="21"/>
        <w:tblW w:w="14034" w:type="dxa"/>
        <w:jc w:val="center"/>
        <w:tblLayout w:type="fixed"/>
        <w:tblCellMar>
          <w:top w:w="0" w:type="dxa"/>
          <w:left w:w="108" w:type="dxa"/>
          <w:bottom w:w="0" w:type="dxa"/>
          <w:right w:w="108" w:type="dxa"/>
        </w:tblCellMar>
      </w:tblPr>
      <w:tblGrid>
        <w:gridCol w:w="986"/>
        <w:gridCol w:w="4827"/>
        <w:gridCol w:w="1488"/>
        <w:gridCol w:w="1489"/>
        <w:gridCol w:w="1416"/>
        <w:gridCol w:w="1418"/>
        <w:gridCol w:w="2410"/>
      </w:tblGrid>
      <w:tr>
        <w:tblPrEx>
          <w:tblCellMar>
            <w:top w:w="0" w:type="dxa"/>
            <w:left w:w="108" w:type="dxa"/>
            <w:bottom w:w="0" w:type="dxa"/>
            <w:right w:w="108" w:type="dxa"/>
          </w:tblCellMar>
        </w:tblPrEx>
        <w:trPr>
          <w:trHeight w:val="495" w:hRule="atLeast"/>
          <w:jc w:val="center"/>
        </w:trPr>
        <w:tc>
          <w:tcPr>
            <w:tcW w:w="986" w:type="dxa"/>
            <w:vMerge w:val="restart"/>
            <w:tcBorders>
              <w:top w:val="single" w:color="auto" w:sz="12"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序号</w:t>
            </w:r>
          </w:p>
        </w:tc>
        <w:tc>
          <w:tcPr>
            <w:tcW w:w="4827"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项目类型</w:t>
            </w:r>
          </w:p>
        </w:tc>
        <w:tc>
          <w:tcPr>
            <w:tcW w:w="1488"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xml:space="preserve">里程   </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（公里）</w:t>
            </w:r>
          </w:p>
        </w:tc>
        <w:tc>
          <w:tcPr>
            <w:tcW w:w="1489" w:type="dxa"/>
            <w:vMerge w:val="restart"/>
            <w:tcBorders>
              <w:top w:val="single" w:color="auto" w:sz="12"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总投资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xml:space="preserve">（亿元）  </w:t>
            </w:r>
          </w:p>
        </w:tc>
        <w:tc>
          <w:tcPr>
            <w:tcW w:w="2834" w:type="dxa"/>
            <w:gridSpan w:val="2"/>
            <w:tcBorders>
              <w:top w:val="single" w:color="auto" w:sz="12"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建设年限</w:t>
            </w:r>
          </w:p>
        </w:tc>
        <w:tc>
          <w:tcPr>
            <w:tcW w:w="2410" w:type="dxa"/>
            <w:vMerge w:val="restart"/>
            <w:tcBorders>
              <w:top w:val="single" w:color="auto" w:sz="12" w:space="0"/>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备注</w:t>
            </w:r>
          </w:p>
        </w:tc>
      </w:tr>
      <w:tr>
        <w:tblPrEx>
          <w:tblCellMar>
            <w:top w:w="0" w:type="dxa"/>
            <w:left w:w="108" w:type="dxa"/>
            <w:bottom w:w="0" w:type="dxa"/>
            <w:right w:w="108" w:type="dxa"/>
          </w:tblCellMar>
        </w:tblPrEx>
        <w:trPr>
          <w:trHeight w:val="510" w:hRule="atLeast"/>
          <w:jc w:val="center"/>
        </w:trPr>
        <w:tc>
          <w:tcPr>
            <w:tcW w:w="986" w:type="dxa"/>
            <w:vMerge w:val="continue"/>
            <w:tcBorders>
              <w:top w:val="single" w:color="auto" w:sz="8" w:space="0"/>
              <w:left w:val="nil"/>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482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1488"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148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仿宋"/>
                <w:b/>
                <w:bCs/>
                <w:color w:val="000000"/>
                <w:kern w:val="0"/>
                <w:sz w:val="22"/>
                <w:szCs w:val="22"/>
              </w:rPr>
            </w:pPr>
          </w:p>
        </w:tc>
        <w:tc>
          <w:tcPr>
            <w:tcW w:w="141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开工年</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完工年</w:t>
            </w:r>
          </w:p>
        </w:tc>
        <w:tc>
          <w:tcPr>
            <w:tcW w:w="2410" w:type="dxa"/>
            <w:vMerge w:val="continue"/>
            <w:tcBorders>
              <w:top w:val="single" w:color="auto" w:sz="8" w:space="0"/>
              <w:left w:val="single" w:color="auto" w:sz="4" w:space="0"/>
              <w:bottom w:val="single" w:color="auto" w:sz="4" w:space="0"/>
              <w:right w:val="nil"/>
            </w:tcBorders>
            <w:vAlign w:val="center"/>
          </w:tcPr>
          <w:p>
            <w:pPr>
              <w:widowControl/>
              <w:spacing w:line="240" w:lineRule="auto"/>
              <w:ind w:firstLine="0" w:firstLineChars="0"/>
              <w:jc w:val="left"/>
              <w:rPr>
                <w:rFonts w:eastAsia="仿宋"/>
                <w:b/>
                <w:bCs/>
                <w:color w:val="000000"/>
                <w:kern w:val="0"/>
                <w:sz w:val="22"/>
                <w:szCs w:val="22"/>
              </w:rPr>
            </w:pPr>
          </w:p>
        </w:tc>
      </w:tr>
      <w:tr>
        <w:tblPrEx>
          <w:tblCellMar>
            <w:top w:w="0" w:type="dxa"/>
            <w:left w:w="108" w:type="dxa"/>
            <w:bottom w:w="0" w:type="dxa"/>
            <w:right w:w="108" w:type="dxa"/>
          </w:tblCellMar>
        </w:tblPrEx>
        <w:trPr>
          <w:trHeight w:val="495" w:hRule="atLeast"/>
          <w:jc w:val="center"/>
        </w:trPr>
        <w:tc>
          <w:tcPr>
            <w:tcW w:w="5813" w:type="dxa"/>
            <w:gridSpan w:val="2"/>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 计</w:t>
            </w:r>
            <w:r>
              <w:rPr>
                <w:rFonts w:hint="eastAsia" w:eastAsia="仿宋"/>
                <w:b/>
                <w:bCs/>
                <w:color w:val="000000"/>
                <w:kern w:val="0"/>
                <w:sz w:val="22"/>
                <w:szCs w:val="22"/>
              </w:rPr>
              <w:t>（不含危旧桥改造）</w:t>
            </w:r>
          </w:p>
        </w:tc>
        <w:tc>
          <w:tcPr>
            <w:tcW w:w="14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8</w:t>
            </w:r>
            <w:r>
              <w:rPr>
                <w:rFonts w:eastAsia="仿宋"/>
                <w:b/>
                <w:bCs/>
                <w:color w:val="000000"/>
                <w:kern w:val="0"/>
                <w:sz w:val="22"/>
                <w:szCs w:val="22"/>
              </w:rPr>
              <w:t>540</w:t>
            </w:r>
          </w:p>
        </w:tc>
        <w:tc>
          <w:tcPr>
            <w:tcW w:w="148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96.7</w:t>
            </w:r>
          </w:p>
        </w:tc>
        <w:tc>
          <w:tcPr>
            <w:tcW w:w="1416"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418" w:type="dxa"/>
            <w:tcBorders>
              <w:top w:val="nil"/>
              <w:left w:val="single" w:color="auto" w:sz="4" w:space="0"/>
              <w:bottom w:val="single" w:color="auto" w:sz="4" w:space="0"/>
              <w:right w:val="nil"/>
            </w:tcBorders>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2410" w:type="dxa"/>
            <w:tcBorders>
              <w:top w:val="nil"/>
              <w:left w:val="single" w:color="auto" w:sz="4" w:space="0"/>
              <w:bottom w:val="single" w:color="auto" w:sz="4" w:space="0"/>
              <w:right w:val="nil"/>
            </w:tcBorders>
            <w:shd w:val="clear" w:color="auto" w:fill="auto"/>
            <w:noWrap/>
            <w:vAlign w:val="center"/>
          </w:tcPr>
          <w:p>
            <w:pPr>
              <w:widowControl/>
              <w:spacing w:line="240" w:lineRule="auto"/>
              <w:ind w:firstLine="0" w:firstLineChars="0"/>
              <w:jc w:val="left"/>
              <w:rPr>
                <w:rFonts w:eastAsia="仿宋"/>
                <w:color w:val="000000"/>
                <w:kern w:val="0"/>
                <w:sz w:val="22"/>
                <w:szCs w:val="22"/>
              </w:rPr>
            </w:pPr>
            <w:r>
              <w:rPr>
                <w:rFonts w:eastAsia="仿宋"/>
                <w:color w:val="000000"/>
                <w:kern w:val="0"/>
                <w:sz w:val="22"/>
                <w:szCs w:val="22"/>
              </w:rPr>
              <w:t>　</w:t>
            </w:r>
          </w:p>
        </w:tc>
      </w:tr>
      <w:tr>
        <w:tblPrEx>
          <w:tblCellMar>
            <w:top w:w="0" w:type="dxa"/>
            <w:left w:w="108" w:type="dxa"/>
            <w:bottom w:w="0" w:type="dxa"/>
            <w:right w:w="108" w:type="dxa"/>
          </w:tblCellMar>
        </w:tblPrEx>
        <w:trPr>
          <w:trHeight w:val="562" w:hRule="atLeast"/>
          <w:jc w:val="center"/>
        </w:trPr>
        <w:tc>
          <w:tcPr>
            <w:tcW w:w="9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48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县乡道升级改造工程</w:t>
            </w:r>
          </w:p>
        </w:tc>
        <w:tc>
          <w:tcPr>
            <w:tcW w:w="148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465</w:t>
            </w:r>
          </w:p>
        </w:tc>
        <w:tc>
          <w:tcPr>
            <w:tcW w:w="148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42.1</w:t>
            </w:r>
          </w:p>
        </w:tc>
        <w:tc>
          <w:tcPr>
            <w:tcW w:w="14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241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9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p>
        </w:tc>
        <w:tc>
          <w:tcPr>
            <w:tcW w:w="48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村道</w:t>
            </w:r>
            <w:r>
              <w:rPr>
                <w:rFonts w:hint="eastAsia" w:eastAsia="仿宋"/>
                <w:color w:val="000000"/>
                <w:kern w:val="0"/>
                <w:sz w:val="22"/>
                <w:szCs w:val="22"/>
              </w:rPr>
              <w:t>提升</w:t>
            </w:r>
            <w:r>
              <w:rPr>
                <w:rFonts w:eastAsia="仿宋"/>
                <w:color w:val="000000"/>
                <w:kern w:val="0"/>
                <w:sz w:val="22"/>
                <w:szCs w:val="22"/>
              </w:rPr>
              <w:t>工程</w:t>
            </w:r>
          </w:p>
        </w:tc>
        <w:tc>
          <w:tcPr>
            <w:tcW w:w="148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500</w:t>
            </w:r>
          </w:p>
        </w:tc>
        <w:tc>
          <w:tcPr>
            <w:tcW w:w="148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8</w:t>
            </w:r>
          </w:p>
        </w:tc>
        <w:tc>
          <w:tcPr>
            <w:tcW w:w="14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241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9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w:t>
            </w:r>
          </w:p>
        </w:tc>
        <w:tc>
          <w:tcPr>
            <w:tcW w:w="48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撤并建制村畅通工程</w:t>
            </w:r>
          </w:p>
        </w:tc>
        <w:tc>
          <w:tcPr>
            <w:tcW w:w="148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w:t>
            </w:r>
            <w:r>
              <w:rPr>
                <w:rFonts w:eastAsia="仿宋"/>
                <w:color w:val="000000"/>
                <w:kern w:val="0"/>
                <w:sz w:val="22"/>
                <w:szCs w:val="22"/>
              </w:rPr>
              <w:t>90</w:t>
            </w:r>
          </w:p>
        </w:tc>
        <w:tc>
          <w:tcPr>
            <w:tcW w:w="148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5.8</w:t>
            </w:r>
          </w:p>
        </w:tc>
        <w:tc>
          <w:tcPr>
            <w:tcW w:w="14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2410"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CellMar>
            <w:top w:w="0" w:type="dxa"/>
            <w:left w:w="108" w:type="dxa"/>
            <w:bottom w:w="0" w:type="dxa"/>
            <w:right w:w="108" w:type="dxa"/>
          </w:tblCellMar>
        </w:tblPrEx>
        <w:trPr>
          <w:trHeight w:val="480" w:hRule="atLeast"/>
          <w:jc w:val="center"/>
        </w:trPr>
        <w:tc>
          <w:tcPr>
            <w:tcW w:w="986"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w:t>
            </w:r>
          </w:p>
        </w:tc>
        <w:tc>
          <w:tcPr>
            <w:tcW w:w="48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乡村振兴产业路</w:t>
            </w:r>
            <w:r>
              <w:rPr>
                <w:rFonts w:eastAsia="仿宋"/>
                <w:color w:val="000000"/>
                <w:kern w:val="0"/>
                <w:sz w:val="22"/>
                <w:szCs w:val="22"/>
              </w:rPr>
              <w:t>旅游路</w:t>
            </w:r>
          </w:p>
        </w:tc>
        <w:tc>
          <w:tcPr>
            <w:tcW w:w="1488"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55</w:t>
            </w:r>
          </w:p>
        </w:tc>
        <w:tc>
          <w:tcPr>
            <w:tcW w:w="148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3.4</w:t>
            </w:r>
          </w:p>
        </w:tc>
        <w:tc>
          <w:tcPr>
            <w:tcW w:w="141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2410" w:type="dxa"/>
            <w:tcBorders>
              <w:top w:val="nil"/>
              <w:left w:val="nil"/>
              <w:bottom w:val="single" w:color="auto" w:sz="4" w:space="0"/>
              <w:right w:val="nil"/>
            </w:tcBorders>
            <w:shd w:val="clear" w:color="auto" w:fill="auto"/>
            <w:vAlign w:val="center"/>
          </w:tcPr>
          <w:p>
            <w:pPr>
              <w:widowControl/>
              <w:spacing w:line="240" w:lineRule="auto"/>
              <w:ind w:firstLine="0" w:firstLineChars="0"/>
              <w:rPr>
                <w:rFonts w:eastAsia="仿宋"/>
                <w:color w:val="000000"/>
                <w:kern w:val="0"/>
                <w:sz w:val="22"/>
                <w:szCs w:val="22"/>
              </w:rPr>
            </w:pPr>
            <w:r>
              <w:rPr>
                <w:rFonts w:hint="eastAsia" w:eastAsia="仿宋"/>
                <w:color w:val="000000"/>
                <w:kern w:val="0"/>
                <w:sz w:val="22"/>
                <w:szCs w:val="22"/>
              </w:rPr>
              <w:t>其中纳入省幸福美丽乡村路项目库1</w:t>
            </w:r>
            <w:r>
              <w:rPr>
                <w:rFonts w:eastAsia="仿宋"/>
                <w:color w:val="000000"/>
                <w:kern w:val="0"/>
                <w:sz w:val="22"/>
                <w:szCs w:val="22"/>
              </w:rPr>
              <w:t>27</w:t>
            </w:r>
            <w:r>
              <w:rPr>
                <w:rFonts w:hint="eastAsia" w:eastAsia="仿宋"/>
                <w:color w:val="000000"/>
                <w:kern w:val="0"/>
                <w:sz w:val="22"/>
                <w:szCs w:val="22"/>
              </w:rPr>
              <w:t>公里</w:t>
            </w:r>
          </w:p>
        </w:tc>
      </w:tr>
      <w:tr>
        <w:tblPrEx>
          <w:tblCellMar>
            <w:top w:w="0" w:type="dxa"/>
            <w:left w:w="108" w:type="dxa"/>
            <w:bottom w:w="0" w:type="dxa"/>
            <w:right w:w="108" w:type="dxa"/>
          </w:tblCellMar>
        </w:tblPrEx>
        <w:trPr>
          <w:trHeight w:val="465" w:hRule="atLeast"/>
          <w:jc w:val="center"/>
        </w:trPr>
        <w:tc>
          <w:tcPr>
            <w:tcW w:w="98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5</w:t>
            </w:r>
          </w:p>
        </w:tc>
        <w:tc>
          <w:tcPr>
            <w:tcW w:w="48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通组公路建设</w:t>
            </w:r>
          </w:p>
        </w:tc>
        <w:tc>
          <w:tcPr>
            <w:tcW w:w="148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w:t>
            </w:r>
            <w:r>
              <w:rPr>
                <w:rFonts w:eastAsia="仿宋"/>
                <w:color w:val="000000"/>
                <w:kern w:val="0"/>
                <w:sz w:val="22"/>
                <w:szCs w:val="22"/>
              </w:rPr>
              <w:t>930</w:t>
            </w:r>
          </w:p>
        </w:tc>
        <w:tc>
          <w:tcPr>
            <w:tcW w:w="14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6.8</w:t>
            </w:r>
          </w:p>
        </w:tc>
        <w:tc>
          <w:tcPr>
            <w:tcW w:w="141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2410" w:type="dxa"/>
            <w:tcBorders>
              <w:top w:val="single" w:color="auto" w:sz="4" w:space="0"/>
              <w:left w:val="nil"/>
              <w:bottom w:val="single" w:color="auto" w:sz="4" w:space="0"/>
              <w:right w:val="nil"/>
            </w:tcBorders>
            <w:shd w:val="clear" w:color="auto" w:fill="auto"/>
            <w:vAlign w:val="center"/>
          </w:tcPr>
          <w:p>
            <w:pPr>
              <w:widowControl/>
              <w:spacing w:line="240" w:lineRule="auto"/>
              <w:ind w:firstLine="0" w:firstLineChars="0"/>
              <w:rPr>
                <w:rFonts w:eastAsia="仿宋"/>
                <w:color w:val="000000"/>
                <w:kern w:val="0"/>
                <w:sz w:val="22"/>
                <w:szCs w:val="22"/>
              </w:rPr>
            </w:pPr>
            <w:r>
              <w:rPr>
                <w:rFonts w:hint="eastAsia" w:eastAsia="仿宋"/>
                <w:color w:val="000000"/>
                <w:kern w:val="0"/>
                <w:sz w:val="22"/>
                <w:szCs w:val="22"/>
              </w:rPr>
              <w:t>纳入省3</w:t>
            </w:r>
            <w:r>
              <w:rPr>
                <w:rFonts w:eastAsia="仿宋"/>
                <w:color w:val="000000"/>
                <w:kern w:val="0"/>
                <w:sz w:val="22"/>
                <w:szCs w:val="22"/>
              </w:rPr>
              <w:t>0</w:t>
            </w:r>
            <w:r>
              <w:rPr>
                <w:rFonts w:hint="eastAsia" w:eastAsia="仿宋"/>
                <w:color w:val="000000"/>
                <w:kern w:val="0"/>
                <w:sz w:val="22"/>
                <w:szCs w:val="22"/>
              </w:rPr>
              <w:t>户以上自然村组通硬化路项目库2</w:t>
            </w:r>
            <w:r>
              <w:rPr>
                <w:rFonts w:eastAsia="仿宋"/>
                <w:color w:val="000000"/>
                <w:kern w:val="0"/>
                <w:sz w:val="22"/>
                <w:szCs w:val="22"/>
              </w:rPr>
              <w:t>107.6</w:t>
            </w:r>
            <w:r>
              <w:rPr>
                <w:rFonts w:hint="eastAsia" w:eastAsia="仿宋"/>
                <w:color w:val="000000"/>
                <w:kern w:val="0"/>
                <w:sz w:val="22"/>
                <w:szCs w:val="22"/>
              </w:rPr>
              <w:t>公里</w:t>
            </w:r>
            <w:r>
              <w:rPr>
                <w:rFonts w:eastAsia="仿宋"/>
                <w:color w:val="000000"/>
                <w:kern w:val="0"/>
                <w:sz w:val="22"/>
                <w:szCs w:val="22"/>
              </w:rPr>
              <w:t>　</w:t>
            </w:r>
          </w:p>
        </w:tc>
      </w:tr>
      <w:tr>
        <w:tblPrEx>
          <w:tblCellMar>
            <w:top w:w="0" w:type="dxa"/>
            <w:left w:w="108" w:type="dxa"/>
            <w:bottom w:w="0" w:type="dxa"/>
            <w:right w:w="108" w:type="dxa"/>
          </w:tblCellMar>
        </w:tblPrEx>
        <w:trPr>
          <w:trHeight w:val="578" w:hRule="atLeast"/>
          <w:jc w:val="center"/>
        </w:trPr>
        <w:tc>
          <w:tcPr>
            <w:tcW w:w="986" w:type="dxa"/>
            <w:tcBorders>
              <w:top w:val="single" w:color="auto" w:sz="4" w:space="0"/>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6</w:t>
            </w:r>
          </w:p>
        </w:tc>
        <w:tc>
          <w:tcPr>
            <w:tcW w:w="4827" w:type="dxa"/>
            <w:tcBorders>
              <w:top w:val="single" w:color="auto" w:sz="4" w:space="0"/>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危旧桥改造</w:t>
            </w:r>
          </w:p>
        </w:tc>
        <w:tc>
          <w:tcPr>
            <w:tcW w:w="1488" w:type="dxa"/>
            <w:tcBorders>
              <w:top w:val="single" w:color="auto" w:sz="4" w:space="0"/>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489" w:type="dxa"/>
            <w:tcBorders>
              <w:top w:val="single" w:color="auto" w:sz="4" w:space="0"/>
              <w:left w:val="nil"/>
              <w:bottom w:val="single" w:color="auto" w:sz="12" w:space="0"/>
              <w:right w:val="single" w:color="auto" w:sz="4" w:space="0"/>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.6</w:t>
            </w:r>
          </w:p>
        </w:tc>
        <w:tc>
          <w:tcPr>
            <w:tcW w:w="1416" w:type="dxa"/>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418" w:type="dxa"/>
            <w:tcBorders>
              <w:top w:val="single" w:color="auto" w:sz="4" w:space="0"/>
              <w:left w:val="nil"/>
              <w:bottom w:val="single" w:color="auto" w:sz="12" w:space="0"/>
              <w:right w:val="single" w:color="auto" w:sz="4" w:space="0"/>
            </w:tcBorders>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2410" w:type="dxa"/>
            <w:tcBorders>
              <w:top w:val="single" w:color="auto" w:sz="4" w:space="0"/>
              <w:left w:val="nil"/>
              <w:bottom w:val="single" w:color="auto" w:sz="12" w:space="0"/>
              <w:right w:val="nil"/>
            </w:tcBorders>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w:t>
            </w:r>
            <w:r>
              <w:rPr>
                <w:rFonts w:eastAsia="仿宋"/>
                <w:color w:val="000000"/>
                <w:kern w:val="0"/>
                <w:sz w:val="22"/>
                <w:szCs w:val="22"/>
              </w:rPr>
              <w:t>8</w:t>
            </w:r>
            <w:r>
              <w:rPr>
                <w:rFonts w:hint="eastAsia" w:eastAsia="仿宋"/>
                <w:color w:val="000000"/>
                <w:kern w:val="0"/>
                <w:sz w:val="22"/>
                <w:szCs w:val="22"/>
              </w:rPr>
              <w:t>座，9</w:t>
            </w:r>
            <w:r>
              <w:rPr>
                <w:rFonts w:eastAsia="仿宋"/>
                <w:color w:val="000000"/>
                <w:kern w:val="0"/>
                <w:sz w:val="22"/>
                <w:szCs w:val="22"/>
              </w:rPr>
              <w:t>56</w:t>
            </w:r>
            <w:r>
              <w:rPr>
                <w:rFonts w:hint="eastAsia" w:eastAsia="仿宋"/>
                <w:color w:val="000000"/>
                <w:kern w:val="0"/>
                <w:sz w:val="22"/>
                <w:szCs w:val="22"/>
              </w:rPr>
              <w:t>米</w:t>
            </w:r>
          </w:p>
        </w:tc>
      </w:tr>
    </w:tbl>
    <w:p>
      <w:pPr>
        <w:spacing w:line="240" w:lineRule="auto"/>
        <w:ind w:firstLine="0" w:firstLineChars="0"/>
        <w:rPr>
          <w:rFonts w:eastAsia="黑体"/>
          <w:color w:val="000000"/>
          <w:kern w:val="0"/>
          <w:sz w:val="28"/>
          <w:szCs w:val="28"/>
        </w:rPr>
      </w:pPr>
    </w:p>
    <w:p>
      <w:pPr>
        <w:pStyle w:val="2"/>
        <w:spacing w:after="0"/>
        <w:ind w:firstLine="640"/>
      </w:pPr>
    </w:p>
    <w:p>
      <w:pPr>
        <w:pStyle w:val="2"/>
        <w:spacing w:after="0"/>
        <w:ind w:firstLine="640"/>
      </w:pPr>
    </w:p>
    <w:p>
      <w:pPr>
        <w:pStyle w:val="2"/>
        <w:spacing w:after="0"/>
        <w:ind w:firstLine="640"/>
      </w:pPr>
    </w:p>
    <w:p>
      <w:pPr>
        <w:ind w:firstLine="0" w:firstLineChars="0"/>
        <w:jc w:val="center"/>
        <w:rPr>
          <w:rFonts w:eastAsia="黑体"/>
          <w:color w:val="000000"/>
          <w:kern w:val="0"/>
          <w:sz w:val="28"/>
          <w:szCs w:val="28"/>
        </w:rPr>
      </w:pPr>
      <w:r>
        <w:rPr>
          <w:rFonts w:hint="eastAsia" w:eastAsia="黑体"/>
          <w:color w:val="000000"/>
          <w:kern w:val="0"/>
          <w:sz w:val="28"/>
          <w:szCs w:val="28"/>
        </w:rPr>
        <w:t>附表6  资阳市</w:t>
      </w:r>
      <w:r>
        <w:rPr>
          <w:rFonts w:hint="eastAsia" w:ascii="宋体" w:hAnsi="宋体" w:eastAsia="宋体"/>
          <w:color w:val="000000"/>
          <w:kern w:val="0"/>
          <w:sz w:val="28"/>
          <w:szCs w:val="28"/>
        </w:rPr>
        <w:t>“</w:t>
      </w:r>
      <w:r>
        <w:rPr>
          <w:rFonts w:hint="eastAsia" w:ascii="黑体" w:hAnsi="黑体" w:eastAsia="黑体"/>
          <w:color w:val="000000"/>
          <w:kern w:val="0"/>
          <w:sz w:val="28"/>
          <w:szCs w:val="28"/>
        </w:rPr>
        <w:t>十四五</w:t>
      </w:r>
      <w:r>
        <w:rPr>
          <w:rFonts w:hint="eastAsia" w:ascii="宋体" w:hAnsi="宋体" w:eastAsia="宋体"/>
          <w:color w:val="000000"/>
          <w:kern w:val="0"/>
          <w:sz w:val="28"/>
          <w:szCs w:val="28"/>
        </w:rPr>
        <w:t>”</w:t>
      </w:r>
      <w:r>
        <w:rPr>
          <w:rFonts w:hint="eastAsia" w:eastAsia="黑体"/>
          <w:color w:val="000000"/>
          <w:kern w:val="0"/>
          <w:sz w:val="28"/>
          <w:szCs w:val="28"/>
        </w:rPr>
        <w:t>内河水运重点建设项目表</w:t>
      </w:r>
    </w:p>
    <w:tbl>
      <w:tblPr>
        <w:tblStyle w:val="21"/>
        <w:tblW w:w="447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814"/>
        <w:gridCol w:w="40"/>
        <w:gridCol w:w="2857"/>
        <w:gridCol w:w="1140"/>
        <w:gridCol w:w="3556"/>
        <w:gridCol w:w="997"/>
        <w:gridCol w:w="925"/>
        <w:gridCol w:w="927"/>
        <w:gridCol w:w="12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35" w:hRule="atLeast"/>
          <w:tblHeader/>
          <w:jc w:val="center"/>
        </w:trPr>
        <w:tc>
          <w:tcPr>
            <w:tcW w:w="325" w:type="pct"/>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序号</w:t>
            </w:r>
          </w:p>
        </w:tc>
        <w:tc>
          <w:tcPr>
            <w:tcW w:w="1156" w:type="pct"/>
            <w:gridSpan w:val="2"/>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项目名称</w:t>
            </w:r>
          </w:p>
        </w:tc>
        <w:tc>
          <w:tcPr>
            <w:tcW w:w="455" w:type="pct"/>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项目类型</w:t>
            </w:r>
          </w:p>
        </w:tc>
        <w:tc>
          <w:tcPr>
            <w:tcW w:w="1419" w:type="pct"/>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建设标准、规模</w:t>
            </w:r>
          </w:p>
        </w:tc>
        <w:tc>
          <w:tcPr>
            <w:tcW w:w="398" w:type="pct"/>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总投资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739" w:type="pct"/>
            <w:gridSpan w:val="2"/>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建设年限</w:t>
            </w:r>
          </w:p>
        </w:tc>
        <w:tc>
          <w:tcPr>
            <w:tcW w:w="508" w:type="pct"/>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20" w:hRule="atLeast"/>
          <w:tblHeader/>
          <w:jc w:val="center"/>
        </w:trPr>
        <w:tc>
          <w:tcPr>
            <w:tcW w:w="325" w:type="pct"/>
            <w:vMerge w:val="continue"/>
            <w:vAlign w:val="center"/>
          </w:tcPr>
          <w:p>
            <w:pPr>
              <w:widowControl/>
              <w:spacing w:line="240" w:lineRule="auto"/>
              <w:ind w:firstLine="0" w:firstLineChars="0"/>
              <w:jc w:val="center"/>
              <w:rPr>
                <w:rFonts w:eastAsia="仿宋"/>
                <w:b/>
                <w:bCs/>
                <w:color w:val="0D0D0D"/>
                <w:kern w:val="0"/>
                <w:sz w:val="22"/>
                <w:szCs w:val="22"/>
              </w:rPr>
            </w:pPr>
          </w:p>
        </w:tc>
        <w:tc>
          <w:tcPr>
            <w:tcW w:w="1156" w:type="pct"/>
            <w:gridSpan w:val="2"/>
            <w:vMerge w:val="continue"/>
            <w:vAlign w:val="center"/>
          </w:tcPr>
          <w:p>
            <w:pPr>
              <w:widowControl/>
              <w:spacing w:line="240" w:lineRule="auto"/>
              <w:ind w:firstLine="0" w:firstLineChars="0"/>
              <w:jc w:val="center"/>
              <w:rPr>
                <w:rFonts w:eastAsia="仿宋"/>
                <w:b/>
                <w:bCs/>
                <w:color w:val="0D0D0D"/>
                <w:kern w:val="0"/>
                <w:sz w:val="22"/>
                <w:szCs w:val="22"/>
              </w:rPr>
            </w:pPr>
          </w:p>
        </w:tc>
        <w:tc>
          <w:tcPr>
            <w:tcW w:w="455" w:type="pct"/>
            <w:vMerge w:val="continue"/>
            <w:vAlign w:val="center"/>
          </w:tcPr>
          <w:p>
            <w:pPr>
              <w:widowControl/>
              <w:spacing w:line="240" w:lineRule="auto"/>
              <w:ind w:firstLine="0" w:firstLineChars="0"/>
              <w:jc w:val="center"/>
              <w:rPr>
                <w:rFonts w:eastAsia="仿宋"/>
                <w:b/>
                <w:bCs/>
                <w:color w:val="0D0D0D"/>
                <w:kern w:val="0"/>
                <w:sz w:val="22"/>
                <w:szCs w:val="22"/>
              </w:rPr>
            </w:pPr>
          </w:p>
        </w:tc>
        <w:tc>
          <w:tcPr>
            <w:tcW w:w="1419" w:type="pct"/>
            <w:vMerge w:val="continue"/>
            <w:vAlign w:val="center"/>
          </w:tcPr>
          <w:p>
            <w:pPr>
              <w:widowControl/>
              <w:spacing w:line="240" w:lineRule="auto"/>
              <w:ind w:firstLine="0" w:firstLineChars="0"/>
              <w:jc w:val="center"/>
              <w:rPr>
                <w:rFonts w:eastAsia="仿宋"/>
                <w:b/>
                <w:bCs/>
                <w:color w:val="0D0D0D"/>
                <w:kern w:val="0"/>
                <w:sz w:val="22"/>
                <w:szCs w:val="22"/>
              </w:rPr>
            </w:pPr>
          </w:p>
        </w:tc>
        <w:tc>
          <w:tcPr>
            <w:tcW w:w="398" w:type="pct"/>
            <w:vMerge w:val="continue"/>
            <w:vAlign w:val="center"/>
          </w:tcPr>
          <w:p>
            <w:pPr>
              <w:widowControl/>
              <w:spacing w:line="240" w:lineRule="auto"/>
              <w:ind w:firstLine="0" w:firstLineChars="0"/>
              <w:jc w:val="center"/>
              <w:rPr>
                <w:rFonts w:eastAsia="仿宋"/>
                <w:b/>
                <w:bCs/>
                <w:color w:val="000000"/>
                <w:kern w:val="0"/>
                <w:sz w:val="22"/>
                <w:szCs w:val="22"/>
              </w:rPr>
            </w:pPr>
          </w:p>
        </w:tc>
        <w:tc>
          <w:tcPr>
            <w:tcW w:w="369" w:type="pc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开工年</w:t>
            </w:r>
          </w:p>
        </w:tc>
        <w:tc>
          <w:tcPr>
            <w:tcW w:w="370" w:type="pc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完工年</w:t>
            </w:r>
          </w:p>
        </w:tc>
        <w:tc>
          <w:tcPr>
            <w:tcW w:w="508" w:type="pct"/>
            <w:vMerge w:val="continue"/>
            <w:vAlign w:val="center"/>
          </w:tcPr>
          <w:p>
            <w:pPr>
              <w:widowControl/>
              <w:spacing w:line="240" w:lineRule="auto"/>
              <w:ind w:firstLine="0" w:firstLineChars="0"/>
              <w:jc w:val="center"/>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1936" w:type="pct"/>
            <w:gridSpan w:val="4"/>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00000"/>
                <w:kern w:val="0"/>
                <w:sz w:val="22"/>
                <w:szCs w:val="22"/>
              </w:rPr>
              <w:t>合 计</w:t>
            </w:r>
            <w:r>
              <w:rPr>
                <w:rFonts w:hint="eastAsia" w:eastAsia="仿宋"/>
                <w:b/>
                <w:bCs/>
                <w:color w:val="000000"/>
                <w:kern w:val="0"/>
                <w:sz w:val="22"/>
                <w:szCs w:val="22"/>
              </w:rPr>
              <w:t>（不含力争开工项目）</w:t>
            </w:r>
          </w:p>
        </w:tc>
        <w:tc>
          <w:tcPr>
            <w:tcW w:w="1419" w:type="pct"/>
            <w:vAlign w:val="center"/>
          </w:tcPr>
          <w:p>
            <w:pPr>
              <w:widowControl/>
              <w:spacing w:line="240" w:lineRule="auto"/>
              <w:ind w:firstLine="0" w:firstLineChars="0"/>
              <w:jc w:val="center"/>
              <w:rPr>
                <w:rFonts w:eastAsia="仿宋"/>
                <w:b/>
                <w:bCs/>
                <w:color w:val="0D0D0D"/>
                <w:kern w:val="0"/>
                <w:sz w:val="22"/>
                <w:szCs w:val="22"/>
              </w:rPr>
            </w:pPr>
          </w:p>
        </w:tc>
        <w:tc>
          <w:tcPr>
            <w:tcW w:w="398" w:type="pct"/>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3.8</w:t>
            </w:r>
          </w:p>
        </w:tc>
        <w:tc>
          <w:tcPr>
            <w:tcW w:w="369" w:type="pct"/>
            <w:shd w:val="clear" w:color="auto" w:fill="auto"/>
            <w:vAlign w:val="center"/>
          </w:tcPr>
          <w:p>
            <w:pPr>
              <w:widowControl/>
              <w:spacing w:line="240" w:lineRule="auto"/>
              <w:ind w:firstLine="0" w:firstLineChars="0"/>
              <w:jc w:val="center"/>
              <w:rPr>
                <w:rFonts w:eastAsia="仿宋"/>
                <w:b/>
                <w:bCs/>
                <w:color w:val="0D0D0D"/>
                <w:kern w:val="0"/>
                <w:sz w:val="22"/>
                <w:szCs w:val="22"/>
              </w:rPr>
            </w:pPr>
          </w:p>
        </w:tc>
        <w:tc>
          <w:tcPr>
            <w:tcW w:w="370" w:type="pct"/>
            <w:shd w:val="clear" w:color="auto" w:fill="auto"/>
            <w:vAlign w:val="center"/>
          </w:tcPr>
          <w:p>
            <w:pPr>
              <w:widowControl/>
              <w:spacing w:line="240" w:lineRule="auto"/>
              <w:ind w:firstLine="0" w:firstLineChars="0"/>
              <w:jc w:val="center"/>
              <w:rPr>
                <w:rFonts w:eastAsia="仿宋"/>
                <w:b/>
                <w:bCs/>
                <w:color w:val="0D0D0D"/>
                <w:kern w:val="0"/>
                <w:sz w:val="22"/>
                <w:szCs w:val="22"/>
              </w:rPr>
            </w:pPr>
          </w:p>
        </w:tc>
        <w:tc>
          <w:tcPr>
            <w:tcW w:w="508" w:type="pct"/>
            <w:vAlign w:val="center"/>
          </w:tcPr>
          <w:p>
            <w:pPr>
              <w:widowControl/>
              <w:spacing w:line="240" w:lineRule="auto"/>
              <w:ind w:firstLine="0" w:firstLineChars="0"/>
              <w:jc w:val="center"/>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481" w:type="pct"/>
            <w:gridSpan w:val="3"/>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b/>
                <w:bCs/>
                <w:color w:val="000000"/>
                <w:kern w:val="0"/>
                <w:sz w:val="22"/>
                <w:szCs w:val="22"/>
              </w:rPr>
              <w:t>一、新开工建设</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p>
        </w:tc>
        <w:tc>
          <w:tcPr>
            <w:tcW w:w="1419" w:type="pct"/>
            <w:shd w:val="clear" w:color="auto" w:fill="auto"/>
            <w:vAlign w:val="center"/>
          </w:tcPr>
          <w:p>
            <w:pPr>
              <w:widowControl/>
              <w:spacing w:line="240" w:lineRule="auto"/>
              <w:ind w:firstLine="0" w:firstLineChars="0"/>
              <w:jc w:val="center"/>
              <w:rPr>
                <w:rFonts w:eastAsia="仿宋"/>
                <w:kern w:val="0"/>
                <w:sz w:val="22"/>
                <w:szCs w:val="22"/>
              </w:rPr>
            </w:pP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25" w:type="pct"/>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p>
        </w:tc>
        <w:tc>
          <w:tcPr>
            <w:tcW w:w="1156" w:type="pct"/>
            <w:gridSpan w:val="2"/>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沱江及其支流旅游航道建设</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旅游航道</w:t>
            </w: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eastAsia="仿宋"/>
                <w:kern w:val="0"/>
                <w:sz w:val="22"/>
                <w:szCs w:val="22"/>
              </w:rPr>
              <w:t>按照Ⅴ级航道标准建设沱江资阳段晏家坝两河口至城东新区中交锦湾14.5公里旅游航道。建设内容主要为航道疏浚、航标航灯建设、船舶码头建设、沱江东岸骑游道建设等。</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.5</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3</w:t>
            </w: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6</w:t>
            </w: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25" w:type="pct"/>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p>
        </w:tc>
        <w:tc>
          <w:tcPr>
            <w:tcW w:w="1156" w:type="pct"/>
            <w:gridSpan w:val="2"/>
            <w:shd w:val="clear" w:color="auto" w:fill="auto"/>
            <w:vAlign w:val="center"/>
          </w:tcPr>
          <w:p>
            <w:pPr>
              <w:widowControl/>
              <w:spacing w:line="240" w:lineRule="auto"/>
              <w:ind w:firstLine="0" w:firstLineChars="0"/>
              <w:jc w:val="center"/>
              <w:rPr>
                <w:rFonts w:eastAsia="仿宋"/>
                <w:kern w:val="0"/>
                <w:sz w:val="22"/>
                <w:szCs w:val="22"/>
              </w:rPr>
            </w:pPr>
            <w:r>
              <w:rPr>
                <w:rFonts w:hint="eastAsia" w:ascii="仿宋" w:hAnsi="仿宋" w:eastAsia="仿宋"/>
                <w:sz w:val="20"/>
                <w:szCs w:val="20"/>
              </w:rPr>
              <w:t>晏家坝旅游码头</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旅游码头</w:t>
            </w: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eastAsia="仿宋"/>
                <w:kern w:val="0"/>
                <w:sz w:val="22"/>
                <w:szCs w:val="22"/>
              </w:rPr>
              <w:t>位于晏家坝村沱江左岸，航道里程为351.8-352.1公里，陆域平台布置有停车场，侯船区等，主要服务于城市旅游客运，陆域纵深约50m，6个泊位，年吞吐量为15万人次。</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color w:val="000000"/>
                <w:sz w:val="20"/>
                <w:szCs w:val="20"/>
              </w:rPr>
              <w:t>0.3</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3</w:t>
            </w: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6</w:t>
            </w: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25" w:type="pct"/>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w:t>
            </w:r>
          </w:p>
        </w:tc>
        <w:tc>
          <w:tcPr>
            <w:tcW w:w="1156" w:type="pct"/>
            <w:gridSpan w:val="2"/>
            <w:shd w:val="clear" w:color="auto" w:fill="auto"/>
            <w:vAlign w:val="center"/>
          </w:tcPr>
          <w:p>
            <w:pPr>
              <w:widowControl/>
              <w:spacing w:line="240" w:lineRule="auto"/>
              <w:ind w:firstLine="0" w:firstLineChars="0"/>
              <w:jc w:val="center"/>
              <w:rPr>
                <w:rFonts w:eastAsia="仿宋"/>
                <w:kern w:val="0"/>
                <w:sz w:val="22"/>
                <w:szCs w:val="22"/>
              </w:rPr>
            </w:pPr>
            <w:r>
              <w:rPr>
                <w:rFonts w:hint="eastAsia" w:ascii="仿宋" w:hAnsi="仿宋" w:eastAsia="仿宋"/>
                <w:sz w:val="20"/>
                <w:szCs w:val="20"/>
              </w:rPr>
              <w:t>雷音村旅游码头</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旅游码头</w:t>
            </w: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eastAsia="仿宋"/>
                <w:kern w:val="0"/>
                <w:sz w:val="22"/>
                <w:szCs w:val="22"/>
              </w:rPr>
              <w:t>位于雷音村沱江左岸，航道里程为343.5-343.8km，陆域平台布置有停车场，侯船区等，主要服务于城市旅游客运，陆域纵深约40m，6个泊位，年吞吐量为15万人次。</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color w:val="000000"/>
                <w:sz w:val="20"/>
                <w:szCs w:val="20"/>
              </w:rPr>
              <w:t>0.3</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3</w:t>
            </w: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6</w:t>
            </w: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25" w:type="pct"/>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w:t>
            </w:r>
          </w:p>
        </w:tc>
        <w:tc>
          <w:tcPr>
            <w:tcW w:w="1156" w:type="pct"/>
            <w:gridSpan w:val="2"/>
            <w:shd w:val="clear" w:color="auto" w:fill="auto"/>
            <w:vAlign w:val="center"/>
          </w:tcPr>
          <w:p>
            <w:pPr>
              <w:widowControl/>
              <w:spacing w:line="240" w:lineRule="auto"/>
              <w:ind w:firstLine="0" w:firstLineChars="0"/>
              <w:jc w:val="center"/>
              <w:rPr>
                <w:rFonts w:eastAsia="仿宋"/>
                <w:kern w:val="0"/>
                <w:sz w:val="22"/>
                <w:szCs w:val="22"/>
              </w:rPr>
            </w:pPr>
            <w:r>
              <w:rPr>
                <w:rFonts w:hint="eastAsia" w:ascii="仿宋" w:hAnsi="仿宋" w:eastAsia="仿宋"/>
                <w:sz w:val="20"/>
                <w:szCs w:val="20"/>
              </w:rPr>
              <w:t>苌弘旅游码头</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旅游码头</w:t>
            </w: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eastAsia="仿宋"/>
                <w:kern w:val="0"/>
                <w:sz w:val="22"/>
                <w:szCs w:val="22"/>
              </w:rPr>
              <w:t>位于苌弘广场上游沱江右岸，航道里程为341.2-341.35km，陆域平台布置有停车场，侯船区等，主要服务于城市旅游客运，陆域纵深约30m，3个泊位，年吞吐量为8万人次。</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color w:val="000000"/>
                <w:sz w:val="20"/>
                <w:szCs w:val="20"/>
              </w:rPr>
              <w:t>0.3</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4</w:t>
            </w: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7</w:t>
            </w: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25" w:type="pct"/>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w:t>
            </w:r>
          </w:p>
        </w:tc>
        <w:tc>
          <w:tcPr>
            <w:tcW w:w="1156" w:type="pct"/>
            <w:gridSpan w:val="2"/>
            <w:shd w:val="clear" w:color="auto" w:fill="auto"/>
            <w:vAlign w:val="center"/>
          </w:tcPr>
          <w:p>
            <w:pPr>
              <w:widowControl/>
              <w:spacing w:line="240" w:lineRule="auto"/>
              <w:ind w:firstLine="0" w:firstLineChars="0"/>
              <w:jc w:val="center"/>
              <w:rPr>
                <w:rFonts w:eastAsia="仿宋"/>
                <w:kern w:val="0"/>
                <w:sz w:val="22"/>
                <w:szCs w:val="22"/>
              </w:rPr>
            </w:pPr>
            <w:r>
              <w:rPr>
                <w:rFonts w:hint="eastAsia" w:ascii="仿宋" w:hAnsi="仿宋" w:eastAsia="仿宋"/>
                <w:sz w:val="20"/>
                <w:szCs w:val="20"/>
              </w:rPr>
              <w:t>沱桥村旅游码头</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旅游码头</w:t>
            </w: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eastAsia="仿宋"/>
                <w:kern w:val="0"/>
                <w:sz w:val="22"/>
                <w:szCs w:val="22"/>
              </w:rPr>
              <w:t>位于沱江左岸，航道里程为340.3-340.5km，陆域平台布置有停车场，侯船区等，主要服务于城市旅游客运，陆域纵深约40m，4个泊位，年吞吐量为10万人次。</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color w:val="000000"/>
                <w:sz w:val="20"/>
                <w:szCs w:val="20"/>
              </w:rPr>
              <w:t>0.2</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4</w:t>
            </w: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7</w:t>
            </w: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25" w:type="pct"/>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w:t>
            </w:r>
          </w:p>
        </w:tc>
        <w:tc>
          <w:tcPr>
            <w:tcW w:w="1156" w:type="pct"/>
            <w:gridSpan w:val="2"/>
            <w:shd w:val="clear" w:color="auto" w:fill="auto"/>
            <w:vAlign w:val="center"/>
          </w:tcPr>
          <w:p>
            <w:pPr>
              <w:widowControl/>
              <w:spacing w:line="240" w:lineRule="auto"/>
              <w:ind w:firstLine="0" w:firstLineChars="0"/>
              <w:jc w:val="center"/>
              <w:rPr>
                <w:rFonts w:eastAsia="仿宋"/>
                <w:kern w:val="0"/>
                <w:sz w:val="22"/>
                <w:szCs w:val="22"/>
              </w:rPr>
            </w:pPr>
            <w:r>
              <w:rPr>
                <w:rFonts w:hint="eastAsia" w:ascii="仿宋" w:hAnsi="仿宋" w:eastAsia="仿宋"/>
                <w:sz w:val="20"/>
                <w:szCs w:val="20"/>
              </w:rPr>
              <w:t>渡口标准化改造项目</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渡口改造</w:t>
            </w: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eastAsia="仿宋"/>
                <w:kern w:val="0"/>
                <w:sz w:val="22"/>
                <w:szCs w:val="22"/>
              </w:rPr>
              <w:t>雁江区及乐至县部分渡口停靠设施、候船室、标志牌和警戒水位线和停航封渡线、防护栏、救生、消防和应急设施、码头CCTV视频监控系统等设施设备改造。</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color w:val="000000"/>
                <w:sz w:val="20"/>
                <w:szCs w:val="20"/>
              </w:rPr>
              <w:t>0.2</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3</w:t>
            </w: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w:t>
            </w:r>
            <w:r>
              <w:rPr>
                <w:rFonts w:hint="eastAsia" w:eastAsia="仿宋"/>
                <w:color w:val="000000"/>
                <w:kern w:val="0"/>
                <w:sz w:val="22"/>
                <w:szCs w:val="22"/>
              </w:rPr>
              <w:t>6</w:t>
            </w: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9座渡口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1481" w:type="pct"/>
            <w:gridSpan w:val="3"/>
            <w:shd w:val="clear" w:color="auto" w:fill="auto"/>
            <w:vAlign w:val="center"/>
          </w:tcPr>
          <w:p>
            <w:pPr>
              <w:widowControl/>
              <w:spacing w:line="240" w:lineRule="auto"/>
              <w:ind w:firstLine="0" w:firstLineChars="0"/>
              <w:jc w:val="center"/>
              <w:rPr>
                <w:rFonts w:ascii="仿宋" w:hAnsi="仿宋" w:eastAsia="仿宋"/>
                <w:sz w:val="20"/>
                <w:szCs w:val="20"/>
              </w:rPr>
            </w:pPr>
            <w:r>
              <w:rPr>
                <w:rFonts w:hint="eastAsia" w:eastAsia="仿宋"/>
                <w:b/>
                <w:bCs/>
                <w:color w:val="000000"/>
                <w:kern w:val="0"/>
                <w:sz w:val="22"/>
                <w:szCs w:val="22"/>
              </w:rPr>
              <w:t>二、力争开工建设</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p>
        </w:tc>
        <w:tc>
          <w:tcPr>
            <w:tcW w:w="1419" w:type="pct"/>
            <w:shd w:val="clear" w:color="auto" w:fill="auto"/>
            <w:vAlign w:val="center"/>
          </w:tcPr>
          <w:p>
            <w:pPr>
              <w:widowControl/>
              <w:spacing w:line="240" w:lineRule="auto"/>
              <w:ind w:firstLine="0" w:firstLineChars="0"/>
              <w:rPr>
                <w:rFonts w:eastAsia="仿宋"/>
                <w:kern w:val="0"/>
                <w:sz w:val="22"/>
                <w:szCs w:val="22"/>
              </w:rPr>
            </w:pP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630" w:hRule="atLeast"/>
          <w:jc w:val="center"/>
        </w:trPr>
        <w:tc>
          <w:tcPr>
            <w:tcW w:w="341" w:type="pct"/>
            <w:gridSpan w:val="2"/>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w:t>
            </w:r>
          </w:p>
        </w:tc>
        <w:tc>
          <w:tcPr>
            <w:tcW w:w="1140" w:type="pc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ascii="仿宋" w:hAnsi="仿宋" w:eastAsia="仿宋"/>
                <w:sz w:val="20"/>
                <w:szCs w:val="20"/>
              </w:rPr>
              <w:t>水上旅游码头建设</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ascii="仿宋" w:hAnsi="仿宋" w:eastAsia="仿宋"/>
                <w:sz w:val="20"/>
                <w:szCs w:val="20"/>
              </w:rPr>
              <w:t>安岳县伍家桥码头，卧佛码头</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.03</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341" w:type="pct"/>
            <w:gridSpan w:val="2"/>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w:t>
            </w:r>
          </w:p>
        </w:tc>
        <w:tc>
          <w:tcPr>
            <w:tcW w:w="1140" w:type="pct"/>
            <w:shd w:val="clear" w:color="auto" w:fill="auto"/>
            <w:vAlign w:val="center"/>
          </w:tcPr>
          <w:p>
            <w:pPr>
              <w:widowControl/>
              <w:spacing w:line="240" w:lineRule="auto"/>
              <w:ind w:firstLine="0" w:firstLineChars="0"/>
              <w:jc w:val="center"/>
              <w:rPr>
                <w:rFonts w:ascii="仿宋" w:hAnsi="仿宋" w:eastAsia="仿宋"/>
                <w:sz w:val="20"/>
                <w:szCs w:val="20"/>
              </w:rPr>
            </w:pPr>
            <w:r>
              <w:rPr>
                <w:rFonts w:hint="eastAsia" w:ascii="仿宋" w:hAnsi="仿宋" w:eastAsia="仿宋"/>
                <w:sz w:val="20"/>
                <w:szCs w:val="20"/>
              </w:rPr>
              <w:t>渡口码头提档升级改造</w:t>
            </w:r>
          </w:p>
          <w:p>
            <w:pPr>
              <w:widowControl/>
              <w:spacing w:line="240" w:lineRule="auto"/>
              <w:ind w:firstLine="0" w:firstLineChars="0"/>
              <w:jc w:val="center"/>
              <w:rPr>
                <w:rFonts w:eastAsia="仿宋"/>
                <w:b/>
                <w:bCs/>
                <w:color w:val="000000"/>
                <w:kern w:val="0"/>
                <w:sz w:val="22"/>
                <w:szCs w:val="22"/>
              </w:rPr>
            </w:pPr>
            <w:r>
              <w:rPr>
                <w:rFonts w:hint="eastAsia" w:ascii="仿宋" w:hAnsi="仿宋" w:eastAsia="仿宋"/>
                <w:sz w:val="20"/>
                <w:szCs w:val="20"/>
              </w:rPr>
              <w:t>（含库湖便民码头）</w:t>
            </w:r>
          </w:p>
        </w:tc>
        <w:tc>
          <w:tcPr>
            <w:tcW w:w="455" w:type="pct"/>
            <w:shd w:val="clear" w:color="auto" w:fill="auto"/>
            <w:vAlign w:val="center"/>
          </w:tcPr>
          <w:p>
            <w:pPr>
              <w:widowControl/>
              <w:spacing w:line="240" w:lineRule="auto"/>
              <w:ind w:firstLine="0" w:firstLineChars="0"/>
              <w:jc w:val="center"/>
              <w:rPr>
                <w:rFonts w:eastAsia="仿宋"/>
                <w:kern w:val="0"/>
                <w:sz w:val="22"/>
                <w:szCs w:val="22"/>
              </w:rPr>
            </w:pPr>
          </w:p>
        </w:tc>
        <w:tc>
          <w:tcPr>
            <w:tcW w:w="1419" w:type="pct"/>
            <w:shd w:val="clear" w:color="auto" w:fill="auto"/>
            <w:vAlign w:val="center"/>
          </w:tcPr>
          <w:p>
            <w:pPr>
              <w:widowControl/>
              <w:spacing w:line="240" w:lineRule="auto"/>
              <w:ind w:firstLine="0" w:firstLineChars="0"/>
              <w:rPr>
                <w:rFonts w:eastAsia="仿宋"/>
                <w:kern w:val="0"/>
                <w:sz w:val="22"/>
                <w:szCs w:val="22"/>
              </w:rPr>
            </w:pPr>
            <w:r>
              <w:rPr>
                <w:rFonts w:hint="eastAsia" w:ascii="仿宋" w:hAnsi="仿宋" w:eastAsia="仿宋"/>
                <w:sz w:val="20"/>
                <w:szCs w:val="20"/>
              </w:rPr>
              <w:t>安岳县关刀桥水库</w:t>
            </w:r>
            <w:r>
              <w:rPr>
                <w:rFonts w:eastAsia="仿宋"/>
                <w:sz w:val="20"/>
                <w:szCs w:val="20"/>
              </w:rPr>
              <w:t>1-6</w:t>
            </w:r>
            <w:r>
              <w:rPr>
                <w:rFonts w:hint="eastAsia" w:ascii="仿宋" w:hAnsi="仿宋" w:eastAsia="仿宋"/>
                <w:sz w:val="20"/>
                <w:szCs w:val="20"/>
              </w:rPr>
              <w:t>号码头</w:t>
            </w:r>
          </w:p>
        </w:tc>
        <w:tc>
          <w:tcPr>
            <w:tcW w:w="398" w:type="pct"/>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.02</w:t>
            </w:r>
          </w:p>
        </w:tc>
        <w:tc>
          <w:tcPr>
            <w:tcW w:w="369"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70"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508" w:type="pct"/>
            <w:shd w:val="clear" w:color="auto" w:fill="auto"/>
            <w:noWrap/>
            <w:vAlign w:val="center"/>
          </w:tcPr>
          <w:p>
            <w:pPr>
              <w:widowControl/>
              <w:spacing w:line="240" w:lineRule="auto"/>
              <w:ind w:firstLine="0" w:firstLineChars="0"/>
              <w:jc w:val="center"/>
              <w:rPr>
                <w:rFonts w:eastAsia="仿宋"/>
                <w:color w:val="000000"/>
                <w:kern w:val="0"/>
                <w:sz w:val="22"/>
                <w:szCs w:val="22"/>
              </w:rPr>
            </w:pPr>
          </w:p>
        </w:tc>
      </w:tr>
    </w:tbl>
    <w:p>
      <w:pPr>
        <w:spacing w:line="240" w:lineRule="auto"/>
        <w:ind w:firstLine="0" w:firstLineChars="0"/>
        <w:rPr>
          <w:rFonts w:eastAsia="黑体"/>
          <w:color w:val="000000"/>
          <w:kern w:val="0"/>
          <w:sz w:val="28"/>
          <w:szCs w:val="28"/>
        </w:rPr>
      </w:pPr>
    </w:p>
    <w:p>
      <w:pPr>
        <w:pStyle w:val="2"/>
        <w:ind w:firstLine="640"/>
      </w:pPr>
    </w:p>
    <w:p>
      <w:pPr>
        <w:ind w:firstLine="0" w:firstLineChars="0"/>
        <w:jc w:val="center"/>
        <w:rPr>
          <w:rFonts w:eastAsia="黑体"/>
          <w:color w:val="000000"/>
          <w:kern w:val="0"/>
          <w:sz w:val="28"/>
          <w:szCs w:val="28"/>
        </w:rPr>
      </w:pPr>
      <w:r>
        <w:rPr>
          <w:rFonts w:hint="eastAsia" w:eastAsia="黑体"/>
          <w:color w:val="000000"/>
          <w:kern w:val="0"/>
          <w:sz w:val="28"/>
          <w:szCs w:val="28"/>
        </w:rPr>
        <w:t>附表</w:t>
      </w:r>
      <w:r>
        <w:rPr>
          <w:rFonts w:eastAsia="黑体"/>
          <w:color w:val="000000"/>
          <w:kern w:val="0"/>
          <w:sz w:val="28"/>
          <w:szCs w:val="28"/>
        </w:rPr>
        <w:t>7</w:t>
      </w:r>
      <w:r>
        <w:rPr>
          <w:rFonts w:hint="eastAsia" w:eastAsia="黑体"/>
          <w:color w:val="000000"/>
          <w:kern w:val="0"/>
          <w:sz w:val="28"/>
          <w:szCs w:val="28"/>
        </w:rPr>
        <w:t xml:space="preserve">  资阳市</w:t>
      </w:r>
      <w:r>
        <w:rPr>
          <w:rFonts w:hint="eastAsia" w:ascii="宋体" w:hAnsi="宋体" w:eastAsia="宋体"/>
          <w:color w:val="000000"/>
          <w:kern w:val="0"/>
          <w:sz w:val="28"/>
          <w:szCs w:val="28"/>
        </w:rPr>
        <w:t>“</w:t>
      </w:r>
      <w:r>
        <w:rPr>
          <w:rFonts w:hint="eastAsia" w:ascii="黑体" w:hAnsi="黑体" w:eastAsia="黑体"/>
          <w:color w:val="000000"/>
          <w:kern w:val="0"/>
          <w:sz w:val="28"/>
          <w:szCs w:val="28"/>
        </w:rPr>
        <w:t>十四五</w:t>
      </w:r>
      <w:r>
        <w:rPr>
          <w:rFonts w:hint="eastAsia" w:ascii="宋体" w:hAnsi="宋体" w:eastAsia="宋体"/>
          <w:color w:val="000000"/>
          <w:kern w:val="0"/>
          <w:sz w:val="28"/>
          <w:szCs w:val="28"/>
        </w:rPr>
        <w:t>”</w:t>
      </w:r>
      <w:r>
        <w:rPr>
          <w:rFonts w:hint="eastAsia" w:eastAsia="黑体"/>
          <w:color w:val="000000"/>
          <w:kern w:val="0"/>
          <w:sz w:val="28"/>
          <w:szCs w:val="28"/>
        </w:rPr>
        <w:t>航空重点建设项目表</w:t>
      </w:r>
    </w:p>
    <w:tbl>
      <w:tblPr>
        <w:tblStyle w:val="21"/>
        <w:tblW w:w="1162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2603"/>
        <w:gridCol w:w="2268"/>
        <w:gridCol w:w="1134"/>
        <w:gridCol w:w="1134"/>
        <w:gridCol w:w="1134"/>
        <w:gridCol w:w="26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58" w:type="dxa"/>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序号</w:t>
            </w:r>
          </w:p>
        </w:tc>
        <w:tc>
          <w:tcPr>
            <w:tcW w:w="2603" w:type="dxa"/>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项目名称</w:t>
            </w:r>
          </w:p>
        </w:tc>
        <w:tc>
          <w:tcPr>
            <w:tcW w:w="2268" w:type="dxa"/>
            <w:vMerge w:val="restart"/>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建设标准</w:t>
            </w:r>
          </w:p>
        </w:tc>
        <w:tc>
          <w:tcPr>
            <w:tcW w:w="2268" w:type="dxa"/>
            <w:gridSpan w:val="2"/>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建设年限</w:t>
            </w:r>
          </w:p>
        </w:tc>
        <w:tc>
          <w:tcPr>
            <w:tcW w:w="1134"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xml:space="preserve">总投资   （亿元）  </w:t>
            </w:r>
          </w:p>
        </w:tc>
        <w:tc>
          <w:tcPr>
            <w:tcW w:w="2694"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8" w:type="dxa"/>
            <w:vMerge w:val="continue"/>
            <w:vAlign w:val="center"/>
          </w:tcPr>
          <w:p>
            <w:pPr>
              <w:widowControl/>
              <w:spacing w:line="240" w:lineRule="auto"/>
              <w:ind w:firstLine="0" w:firstLineChars="0"/>
              <w:jc w:val="left"/>
              <w:rPr>
                <w:rFonts w:eastAsia="仿宋"/>
                <w:b/>
                <w:bCs/>
                <w:color w:val="0D0D0D"/>
                <w:kern w:val="0"/>
                <w:sz w:val="22"/>
                <w:szCs w:val="22"/>
              </w:rPr>
            </w:pPr>
          </w:p>
        </w:tc>
        <w:tc>
          <w:tcPr>
            <w:tcW w:w="2603" w:type="dxa"/>
            <w:vMerge w:val="continue"/>
            <w:vAlign w:val="center"/>
          </w:tcPr>
          <w:p>
            <w:pPr>
              <w:widowControl/>
              <w:spacing w:line="240" w:lineRule="auto"/>
              <w:ind w:firstLine="0" w:firstLineChars="0"/>
              <w:jc w:val="left"/>
              <w:rPr>
                <w:rFonts w:eastAsia="仿宋"/>
                <w:b/>
                <w:bCs/>
                <w:color w:val="0D0D0D"/>
                <w:kern w:val="0"/>
                <w:sz w:val="22"/>
                <w:szCs w:val="22"/>
              </w:rPr>
            </w:pPr>
          </w:p>
        </w:tc>
        <w:tc>
          <w:tcPr>
            <w:tcW w:w="2268" w:type="dxa"/>
            <w:vMerge w:val="continue"/>
            <w:vAlign w:val="center"/>
          </w:tcPr>
          <w:p>
            <w:pPr>
              <w:widowControl/>
              <w:spacing w:line="240" w:lineRule="auto"/>
              <w:ind w:firstLine="0" w:firstLineChars="0"/>
              <w:jc w:val="left"/>
              <w:rPr>
                <w:rFonts w:eastAsia="仿宋"/>
                <w:b/>
                <w:bCs/>
                <w:color w:val="0D0D0D"/>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开工年</w:t>
            </w:r>
          </w:p>
        </w:tc>
        <w:tc>
          <w:tcPr>
            <w:tcW w:w="1134" w:type="dxa"/>
            <w:shd w:val="clear" w:color="auto" w:fill="auto"/>
            <w:vAlign w:val="center"/>
          </w:tcPr>
          <w:p>
            <w:pPr>
              <w:widowControl/>
              <w:spacing w:line="240" w:lineRule="auto"/>
              <w:ind w:firstLine="0" w:firstLineChars="0"/>
              <w:jc w:val="center"/>
              <w:rPr>
                <w:rFonts w:eastAsia="仿宋"/>
                <w:b/>
                <w:bCs/>
                <w:color w:val="0D0D0D"/>
                <w:kern w:val="0"/>
                <w:sz w:val="22"/>
                <w:szCs w:val="22"/>
              </w:rPr>
            </w:pPr>
            <w:r>
              <w:rPr>
                <w:rFonts w:eastAsia="仿宋"/>
                <w:b/>
                <w:bCs/>
                <w:color w:val="0D0D0D"/>
                <w:kern w:val="0"/>
                <w:sz w:val="22"/>
                <w:szCs w:val="22"/>
              </w:rPr>
              <w:t>完工年</w:t>
            </w:r>
          </w:p>
        </w:tc>
        <w:tc>
          <w:tcPr>
            <w:tcW w:w="1134"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2694" w:type="dxa"/>
            <w:vMerge w:val="continue"/>
            <w:vAlign w:val="center"/>
          </w:tcPr>
          <w:p>
            <w:pPr>
              <w:widowControl/>
              <w:spacing w:line="240" w:lineRule="auto"/>
              <w:ind w:firstLine="0" w:firstLineChars="0"/>
              <w:jc w:val="left"/>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61"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合计</w:t>
            </w:r>
          </w:p>
        </w:tc>
        <w:tc>
          <w:tcPr>
            <w:tcW w:w="2268"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0</w:t>
            </w:r>
            <w:r>
              <w:rPr>
                <w:rFonts w:eastAsia="仿宋"/>
                <w:b/>
                <w:bCs/>
                <w:color w:val="000000"/>
                <w:kern w:val="0"/>
                <w:sz w:val="22"/>
                <w:szCs w:val="22"/>
              </w:rPr>
              <w:t>.5</w:t>
            </w:r>
          </w:p>
        </w:tc>
        <w:tc>
          <w:tcPr>
            <w:tcW w:w="269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61"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一、新开工建设</w:t>
            </w:r>
          </w:p>
        </w:tc>
        <w:tc>
          <w:tcPr>
            <w:tcW w:w="2268"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p>
        </w:tc>
        <w:tc>
          <w:tcPr>
            <w:tcW w:w="269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color w:val="000000"/>
                <w:kern w:val="0"/>
                <w:sz w:val="22"/>
                <w:szCs w:val="22"/>
              </w:rPr>
              <w:t>1</w:t>
            </w:r>
          </w:p>
        </w:tc>
        <w:tc>
          <w:tcPr>
            <w:tcW w:w="2603"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kern w:val="0"/>
                <w:sz w:val="22"/>
                <w:szCs w:val="22"/>
              </w:rPr>
              <w:t>资阳城市候机楼</w:t>
            </w:r>
          </w:p>
        </w:tc>
        <w:tc>
          <w:tcPr>
            <w:tcW w:w="2268"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023</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.5</w:t>
            </w:r>
          </w:p>
        </w:tc>
        <w:tc>
          <w:tcPr>
            <w:tcW w:w="269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61"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二、</w:t>
            </w:r>
            <w:r>
              <w:rPr>
                <w:rFonts w:eastAsia="仿宋"/>
                <w:b/>
                <w:bCs/>
                <w:color w:val="000000"/>
                <w:kern w:val="0"/>
                <w:sz w:val="22"/>
                <w:szCs w:val="22"/>
              </w:rPr>
              <w:t>加快前期</w:t>
            </w:r>
          </w:p>
        </w:tc>
        <w:tc>
          <w:tcPr>
            <w:tcW w:w="2268"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269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p>
        </w:tc>
        <w:tc>
          <w:tcPr>
            <w:tcW w:w="2603" w:type="dxa"/>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雁江</w:t>
            </w:r>
            <w:r>
              <w:rPr>
                <w:rFonts w:eastAsia="仿宋"/>
                <w:kern w:val="0"/>
                <w:sz w:val="22"/>
                <w:szCs w:val="22"/>
              </w:rPr>
              <w:t>通用机场</w:t>
            </w:r>
          </w:p>
        </w:tc>
        <w:tc>
          <w:tcPr>
            <w:tcW w:w="2268" w:type="dxa"/>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二类及以上</w:t>
            </w:r>
            <w:r>
              <w:rPr>
                <w:rFonts w:eastAsia="仿宋"/>
                <w:kern w:val="0"/>
                <w:sz w:val="22"/>
                <w:szCs w:val="22"/>
              </w:rPr>
              <w:t>通用机场</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2694" w:type="dxa"/>
            <w:shd w:val="clear" w:color="auto" w:fill="auto"/>
            <w:vAlign w:val="center"/>
          </w:tcPr>
          <w:p>
            <w:pPr>
              <w:widowControl/>
              <w:spacing w:line="240" w:lineRule="auto"/>
              <w:ind w:firstLine="0" w:firstLineChars="0"/>
              <w:jc w:val="center"/>
              <w:rPr>
                <w:rFonts w:eastAsia="仿宋"/>
                <w:color w:val="0D0D0D"/>
                <w:kern w:val="0"/>
                <w:sz w:val="22"/>
                <w:szCs w:val="22"/>
              </w:rPr>
            </w:pPr>
            <w:r>
              <w:rPr>
                <w:rFonts w:eastAsia="仿宋"/>
                <w:color w:val="0D0D0D"/>
                <w:kern w:val="0"/>
                <w:sz w:val="22"/>
                <w:szCs w:val="22"/>
              </w:rPr>
              <w:t>纳入省通用机场布局规划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w:t>
            </w:r>
          </w:p>
        </w:tc>
        <w:tc>
          <w:tcPr>
            <w:tcW w:w="2603" w:type="dxa"/>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乐至</w:t>
            </w:r>
            <w:r>
              <w:rPr>
                <w:rFonts w:eastAsia="仿宋"/>
                <w:kern w:val="0"/>
                <w:sz w:val="22"/>
                <w:szCs w:val="22"/>
              </w:rPr>
              <w:t>通用机场</w:t>
            </w:r>
          </w:p>
        </w:tc>
        <w:tc>
          <w:tcPr>
            <w:tcW w:w="2268" w:type="dxa"/>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二类及以上</w:t>
            </w:r>
            <w:r>
              <w:rPr>
                <w:rFonts w:eastAsia="仿宋"/>
                <w:kern w:val="0"/>
                <w:sz w:val="22"/>
                <w:szCs w:val="22"/>
              </w:rPr>
              <w:t>通用机场</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2694" w:type="dxa"/>
            <w:shd w:val="clear" w:color="auto" w:fill="auto"/>
            <w:vAlign w:val="center"/>
          </w:tcPr>
          <w:p>
            <w:pPr>
              <w:widowControl/>
              <w:spacing w:line="240" w:lineRule="auto"/>
              <w:ind w:firstLine="0" w:firstLineChars="0"/>
              <w:jc w:val="center"/>
              <w:rPr>
                <w:rFonts w:eastAsia="仿宋"/>
                <w:color w:val="0D0D0D"/>
                <w:kern w:val="0"/>
                <w:sz w:val="22"/>
                <w:szCs w:val="22"/>
              </w:rPr>
            </w:pPr>
            <w:r>
              <w:rPr>
                <w:rFonts w:eastAsia="仿宋"/>
                <w:color w:val="0D0D0D"/>
                <w:kern w:val="0"/>
                <w:sz w:val="22"/>
                <w:szCs w:val="22"/>
              </w:rPr>
              <w:t>纳入省通用机场布局规划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5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w:t>
            </w:r>
          </w:p>
        </w:tc>
        <w:tc>
          <w:tcPr>
            <w:tcW w:w="2603" w:type="dxa"/>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安岳</w:t>
            </w:r>
            <w:r>
              <w:rPr>
                <w:rFonts w:eastAsia="仿宋"/>
                <w:kern w:val="0"/>
                <w:sz w:val="22"/>
                <w:szCs w:val="22"/>
              </w:rPr>
              <w:t>通用机场</w:t>
            </w:r>
          </w:p>
        </w:tc>
        <w:tc>
          <w:tcPr>
            <w:tcW w:w="2268" w:type="dxa"/>
            <w:shd w:val="clear" w:color="auto" w:fill="auto"/>
            <w:vAlign w:val="center"/>
          </w:tcPr>
          <w:p>
            <w:pPr>
              <w:widowControl/>
              <w:spacing w:line="240" w:lineRule="auto"/>
              <w:ind w:firstLine="0" w:firstLineChars="0"/>
              <w:jc w:val="center"/>
              <w:rPr>
                <w:rFonts w:eastAsia="仿宋"/>
                <w:kern w:val="0"/>
                <w:sz w:val="22"/>
                <w:szCs w:val="22"/>
              </w:rPr>
            </w:pPr>
            <w:r>
              <w:rPr>
                <w:rFonts w:hint="eastAsia" w:eastAsia="仿宋"/>
                <w:kern w:val="0"/>
                <w:sz w:val="22"/>
                <w:szCs w:val="22"/>
              </w:rPr>
              <w:t>二类及以上</w:t>
            </w:r>
            <w:r>
              <w:rPr>
                <w:rFonts w:eastAsia="仿宋"/>
                <w:kern w:val="0"/>
                <w:sz w:val="22"/>
                <w:szCs w:val="22"/>
              </w:rPr>
              <w:t>通用机场</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2694" w:type="dxa"/>
            <w:shd w:val="clear" w:color="auto" w:fill="auto"/>
            <w:vAlign w:val="center"/>
          </w:tcPr>
          <w:p>
            <w:pPr>
              <w:widowControl/>
              <w:spacing w:line="240" w:lineRule="auto"/>
              <w:ind w:firstLine="0" w:firstLineChars="0"/>
              <w:jc w:val="center"/>
              <w:rPr>
                <w:rFonts w:eastAsia="仿宋"/>
                <w:color w:val="0D0D0D"/>
                <w:kern w:val="0"/>
                <w:sz w:val="22"/>
                <w:szCs w:val="22"/>
              </w:rPr>
            </w:pPr>
            <w:r>
              <w:rPr>
                <w:rFonts w:eastAsia="仿宋"/>
                <w:color w:val="0D0D0D"/>
                <w:kern w:val="0"/>
                <w:sz w:val="22"/>
                <w:szCs w:val="22"/>
              </w:rPr>
              <w:t>纳入省通用机场布局规划</w:t>
            </w:r>
          </w:p>
        </w:tc>
      </w:tr>
    </w:tbl>
    <w:p>
      <w:pPr>
        <w:spacing w:line="240" w:lineRule="auto"/>
        <w:ind w:firstLine="0" w:firstLineChars="0"/>
        <w:jc w:val="center"/>
        <w:rPr>
          <w:rFonts w:eastAsia="黑体"/>
          <w:color w:val="000000"/>
          <w:kern w:val="0"/>
          <w:sz w:val="28"/>
          <w:szCs w:val="28"/>
        </w:rPr>
      </w:pPr>
    </w:p>
    <w:p>
      <w:pPr>
        <w:spacing w:line="240" w:lineRule="auto"/>
        <w:ind w:firstLine="0" w:firstLineChars="0"/>
        <w:jc w:val="center"/>
        <w:rPr>
          <w:rFonts w:eastAsia="黑体"/>
          <w:color w:val="000000"/>
          <w:kern w:val="0"/>
          <w:sz w:val="28"/>
          <w:szCs w:val="28"/>
        </w:rPr>
      </w:pPr>
    </w:p>
    <w:p>
      <w:pPr>
        <w:spacing w:line="240" w:lineRule="auto"/>
        <w:ind w:firstLine="0" w:firstLineChars="0"/>
        <w:jc w:val="center"/>
        <w:rPr>
          <w:rFonts w:eastAsia="黑体"/>
          <w:color w:val="000000"/>
          <w:kern w:val="0"/>
          <w:sz w:val="28"/>
          <w:szCs w:val="28"/>
        </w:rPr>
      </w:pPr>
    </w:p>
    <w:p>
      <w:pPr>
        <w:spacing w:line="240" w:lineRule="auto"/>
        <w:ind w:firstLine="0" w:firstLineChars="0"/>
        <w:jc w:val="center"/>
        <w:rPr>
          <w:rFonts w:eastAsia="黑体"/>
          <w:color w:val="000000"/>
          <w:kern w:val="0"/>
          <w:sz w:val="28"/>
          <w:szCs w:val="28"/>
        </w:rPr>
      </w:pPr>
    </w:p>
    <w:p>
      <w:pPr>
        <w:spacing w:line="240" w:lineRule="auto"/>
        <w:ind w:firstLine="0" w:firstLineChars="0"/>
        <w:rPr>
          <w:rFonts w:eastAsia="黑体"/>
          <w:color w:val="000000"/>
          <w:kern w:val="0"/>
          <w:sz w:val="28"/>
          <w:szCs w:val="28"/>
        </w:rPr>
      </w:pPr>
    </w:p>
    <w:p>
      <w:pPr>
        <w:spacing w:line="240" w:lineRule="auto"/>
        <w:ind w:firstLine="0" w:firstLineChars="0"/>
        <w:jc w:val="center"/>
        <w:rPr>
          <w:rFonts w:eastAsia="黑体"/>
          <w:color w:val="000000"/>
          <w:kern w:val="0"/>
          <w:sz w:val="28"/>
          <w:szCs w:val="28"/>
        </w:rPr>
      </w:pPr>
    </w:p>
    <w:p>
      <w:pPr>
        <w:ind w:firstLine="0" w:firstLineChars="0"/>
        <w:jc w:val="center"/>
        <w:rPr>
          <w:rFonts w:eastAsia="黑体"/>
          <w:color w:val="000000"/>
          <w:kern w:val="0"/>
          <w:sz w:val="28"/>
          <w:szCs w:val="28"/>
        </w:rPr>
      </w:pPr>
      <w:r>
        <w:rPr>
          <w:rFonts w:hint="eastAsia" w:eastAsia="黑体"/>
          <w:color w:val="000000"/>
          <w:kern w:val="0"/>
          <w:sz w:val="28"/>
          <w:szCs w:val="28"/>
        </w:rPr>
        <w:t>附表8  资阳市</w:t>
      </w:r>
      <w:r>
        <w:rPr>
          <w:rFonts w:hint="eastAsia" w:ascii="宋体" w:hAnsi="宋体" w:eastAsia="宋体"/>
          <w:color w:val="000000"/>
          <w:kern w:val="0"/>
          <w:sz w:val="28"/>
          <w:szCs w:val="28"/>
        </w:rPr>
        <w:t>“</w:t>
      </w:r>
      <w:r>
        <w:rPr>
          <w:rFonts w:hint="eastAsia" w:ascii="黑体" w:hAnsi="黑体" w:eastAsia="黑体"/>
          <w:color w:val="000000"/>
          <w:kern w:val="0"/>
          <w:sz w:val="28"/>
          <w:szCs w:val="28"/>
        </w:rPr>
        <w:t>十四五</w:t>
      </w:r>
      <w:r>
        <w:rPr>
          <w:rFonts w:hint="eastAsia" w:ascii="宋体" w:hAnsi="宋体" w:eastAsia="宋体"/>
          <w:color w:val="000000"/>
          <w:kern w:val="0"/>
          <w:sz w:val="28"/>
          <w:szCs w:val="28"/>
        </w:rPr>
        <w:t>”</w:t>
      </w:r>
      <w:r>
        <w:rPr>
          <w:rFonts w:hint="eastAsia" w:eastAsia="黑体"/>
          <w:color w:val="000000"/>
          <w:kern w:val="0"/>
          <w:sz w:val="28"/>
          <w:szCs w:val="28"/>
        </w:rPr>
        <w:t>枢纽站场重点建设项目表</w:t>
      </w:r>
    </w:p>
    <w:tbl>
      <w:tblPr>
        <w:tblStyle w:val="21"/>
        <w:tblW w:w="1403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09"/>
        <w:gridCol w:w="2268"/>
        <w:gridCol w:w="1418"/>
        <w:gridCol w:w="1134"/>
        <w:gridCol w:w="992"/>
        <w:gridCol w:w="992"/>
        <w:gridCol w:w="1134"/>
        <w:gridCol w:w="851"/>
        <w:gridCol w:w="1134"/>
        <w:gridCol w:w="34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35" w:hRule="atLeast"/>
          <w:tblHeader/>
          <w:jc w:val="center"/>
        </w:trPr>
        <w:tc>
          <w:tcPr>
            <w:tcW w:w="709"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序号</w:t>
            </w:r>
          </w:p>
        </w:tc>
        <w:tc>
          <w:tcPr>
            <w:tcW w:w="2268"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项目名称</w:t>
            </w:r>
          </w:p>
        </w:tc>
        <w:tc>
          <w:tcPr>
            <w:tcW w:w="1418"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w:t>
            </w:r>
            <w:r>
              <w:rPr>
                <w:rFonts w:hint="eastAsia" w:eastAsia="仿宋"/>
                <w:b/>
                <w:bCs/>
                <w:color w:val="000000"/>
                <w:kern w:val="0"/>
                <w:sz w:val="22"/>
                <w:szCs w:val="22"/>
              </w:rPr>
              <w:t>性质</w:t>
            </w:r>
          </w:p>
        </w:tc>
        <w:tc>
          <w:tcPr>
            <w:tcW w:w="1134"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衔接类型</w:t>
            </w:r>
          </w:p>
        </w:tc>
        <w:tc>
          <w:tcPr>
            <w:tcW w:w="992"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总投资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xml:space="preserve">（亿元）  </w:t>
            </w:r>
          </w:p>
        </w:tc>
        <w:tc>
          <w:tcPr>
            <w:tcW w:w="992"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“十三五”</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1134"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“十四五”</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投资</w:t>
            </w:r>
          </w:p>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（亿元）</w:t>
            </w:r>
          </w:p>
        </w:tc>
        <w:tc>
          <w:tcPr>
            <w:tcW w:w="1985"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建设年限</w:t>
            </w:r>
          </w:p>
        </w:tc>
        <w:tc>
          <w:tcPr>
            <w:tcW w:w="3402" w:type="dxa"/>
            <w:vMerge w:val="restart"/>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95" w:hRule="atLeast"/>
          <w:tblHeader/>
          <w:jc w:val="center"/>
        </w:trPr>
        <w:tc>
          <w:tcPr>
            <w:tcW w:w="709"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2268"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1418"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1134"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992"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992"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1134" w:type="dxa"/>
            <w:vMerge w:val="continue"/>
            <w:vAlign w:val="center"/>
          </w:tcPr>
          <w:p>
            <w:pPr>
              <w:widowControl/>
              <w:spacing w:line="240" w:lineRule="auto"/>
              <w:ind w:firstLine="0" w:firstLineChars="0"/>
              <w:jc w:val="left"/>
              <w:rPr>
                <w:rFonts w:eastAsia="仿宋"/>
                <w:b/>
                <w:bCs/>
                <w:color w:val="000000"/>
                <w:kern w:val="0"/>
                <w:sz w:val="22"/>
                <w:szCs w:val="22"/>
              </w:rPr>
            </w:pPr>
          </w:p>
        </w:tc>
        <w:tc>
          <w:tcPr>
            <w:tcW w:w="851"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开工年</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完工年</w:t>
            </w:r>
          </w:p>
        </w:tc>
        <w:tc>
          <w:tcPr>
            <w:tcW w:w="3402" w:type="dxa"/>
            <w:vMerge w:val="continue"/>
            <w:vAlign w:val="center"/>
          </w:tcPr>
          <w:p>
            <w:pPr>
              <w:widowControl/>
              <w:spacing w:line="240" w:lineRule="auto"/>
              <w:ind w:firstLine="0" w:firstLineChars="0"/>
              <w:jc w:val="left"/>
              <w:rPr>
                <w:rFonts w:eastAsia="仿宋"/>
                <w:b/>
                <w:bCs/>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2977"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合计</w:t>
            </w:r>
          </w:p>
        </w:tc>
        <w:tc>
          <w:tcPr>
            <w:tcW w:w="1418"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992"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6</w:t>
            </w:r>
            <w:r>
              <w:rPr>
                <w:rFonts w:eastAsia="仿宋"/>
                <w:b/>
                <w:bCs/>
                <w:color w:val="000000"/>
                <w:kern w:val="0"/>
                <w:sz w:val="22"/>
                <w:szCs w:val="22"/>
              </w:rPr>
              <w:t>3.6</w:t>
            </w:r>
          </w:p>
        </w:tc>
        <w:tc>
          <w:tcPr>
            <w:tcW w:w="992"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6</w:t>
            </w:r>
            <w:r>
              <w:rPr>
                <w:rFonts w:eastAsia="仿宋"/>
                <w:b/>
                <w:bCs/>
                <w:color w:val="000000"/>
                <w:kern w:val="0"/>
                <w:sz w:val="22"/>
                <w:szCs w:val="22"/>
              </w:rPr>
              <w:t>3.6</w:t>
            </w:r>
          </w:p>
        </w:tc>
        <w:tc>
          <w:tcPr>
            <w:tcW w:w="851"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3402"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2977"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一、综合客运枢纽站</w:t>
            </w:r>
          </w:p>
        </w:tc>
        <w:tc>
          <w:tcPr>
            <w:tcW w:w="1418"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992"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851"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3402"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成渝高铁资阳北综合</w:t>
            </w:r>
          </w:p>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客运枢纽</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续建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铁路、公路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4</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2023</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资阳东汽车站：衔接成渝高铁资阳北站、轨道交通资阳线（市域铁路S3线）资阳北站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成自高铁资阳西综合</w:t>
            </w:r>
            <w:r>
              <w:rPr>
                <w:rFonts w:eastAsia="仿宋"/>
                <w:color w:val="000000"/>
                <w:kern w:val="0"/>
                <w:sz w:val="22"/>
                <w:szCs w:val="22"/>
              </w:rPr>
              <w:t>客运枢纽</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铁路、公路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2023</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2025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r>
              <w:rPr>
                <w:rFonts w:hint="eastAsia" w:eastAsia="仿宋"/>
                <w:color w:val="000000"/>
                <w:kern w:val="0"/>
                <w:sz w:val="22"/>
                <w:szCs w:val="22"/>
              </w:rPr>
              <w:t>资阳西汽车站：衔接成自宜高铁资阳西站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3</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成达万高铁乐至综合</w:t>
            </w:r>
          </w:p>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客运枢纽</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铁路</w:t>
            </w:r>
            <w:r>
              <w:rPr>
                <w:rFonts w:eastAsia="仿宋"/>
                <w:color w:val="000000"/>
                <w:kern w:val="0"/>
                <w:sz w:val="22"/>
                <w:szCs w:val="22"/>
              </w:rPr>
              <w:t>、公路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5</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5</w:t>
            </w:r>
          </w:p>
        </w:tc>
        <w:tc>
          <w:tcPr>
            <w:tcW w:w="851" w:type="dxa"/>
            <w:shd w:val="clear" w:color="auto" w:fill="auto"/>
            <w:noWrap/>
            <w:vAlign w:val="center"/>
          </w:tcPr>
          <w:p>
            <w:pPr>
              <w:widowControl/>
              <w:spacing w:line="240" w:lineRule="auto"/>
              <w:ind w:firstLine="0" w:firstLineChars="0"/>
              <w:jc w:val="center"/>
              <w:rPr>
                <w:rFonts w:hint="eastAsia" w:eastAsia="仿宋"/>
                <w:color w:val="000000"/>
                <w:kern w:val="0"/>
                <w:sz w:val="22"/>
                <w:szCs w:val="22"/>
                <w:lang w:eastAsia="zh-CN"/>
              </w:rPr>
            </w:pPr>
            <w:r>
              <w:rPr>
                <w:rFonts w:eastAsia="仿宋"/>
                <w:color w:val="000000"/>
                <w:kern w:val="0"/>
                <w:sz w:val="22"/>
                <w:szCs w:val="22"/>
              </w:rPr>
              <w:t>202</w:t>
            </w:r>
            <w:r>
              <w:rPr>
                <w:rFonts w:hint="eastAsia" w:eastAsia="仿宋"/>
                <w:color w:val="000000"/>
                <w:kern w:val="0"/>
                <w:sz w:val="22"/>
                <w:szCs w:val="22"/>
                <w:lang w:val="en-US" w:eastAsia="zh-CN"/>
              </w:rPr>
              <w:t>3</w:t>
            </w:r>
          </w:p>
        </w:tc>
        <w:tc>
          <w:tcPr>
            <w:tcW w:w="1134" w:type="dxa"/>
            <w:shd w:val="clear" w:color="auto" w:fill="auto"/>
            <w:noWrap/>
            <w:vAlign w:val="center"/>
          </w:tcPr>
          <w:p>
            <w:pPr>
              <w:widowControl/>
              <w:spacing w:line="240" w:lineRule="auto"/>
              <w:ind w:firstLine="0" w:firstLineChars="0"/>
              <w:jc w:val="center"/>
              <w:rPr>
                <w:rFonts w:hint="eastAsia" w:eastAsia="仿宋"/>
                <w:color w:val="000000"/>
                <w:kern w:val="0"/>
                <w:sz w:val="22"/>
                <w:szCs w:val="22"/>
                <w:lang w:eastAsia="zh-CN"/>
              </w:rPr>
            </w:pPr>
            <w:r>
              <w:rPr>
                <w:rFonts w:eastAsia="仿宋"/>
                <w:color w:val="000000"/>
                <w:kern w:val="0"/>
                <w:sz w:val="22"/>
                <w:szCs w:val="22"/>
              </w:rPr>
              <w:t>202</w:t>
            </w:r>
            <w:r>
              <w:rPr>
                <w:rFonts w:hint="eastAsia" w:eastAsia="仿宋"/>
                <w:color w:val="000000"/>
                <w:kern w:val="0"/>
                <w:sz w:val="22"/>
                <w:szCs w:val="22"/>
                <w:lang w:val="en-US" w:eastAsia="zh-CN"/>
              </w:rPr>
              <w:t>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乐至南汽车站：衔接成达万高铁乐至南站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4</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成渝中线高铁安岳综合客运枢纽</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铁路、公路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w:t>
            </w:r>
            <w:r>
              <w:rPr>
                <w:rFonts w:eastAsia="仿宋"/>
                <w:color w:val="000000"/>
                <w:kern w:val="0"/>
                <w:sz w:val="22"/>
                <w:szCs w:val="22"/>
              </w:rPr>
              <w:t>.2</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3</w:t>
            </w:r>
            <w:r>
              <w:rPr>
                <w:rFonts w:eastAsia="仿宋"/>
                <w:color w:val="000000"/>
                <w:kern w:val="0"/>
                <w:sz w:val="22"/>
                <w:szCs w:val="22"/>
              </w:rPr>
              <w:t>.2</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023</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安岳东（石桥铺）汽车站：衔接成渝中线高铁安岳站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2977"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二、市级客运站</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5</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雁江区城东新区客运站</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.5</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.5</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2977"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三、县级客运站</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6</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安岳信智汽车客运总站</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ascii="仿宋" w:hAnsi="仿宋" w:eastAsia="仿宋"/>
                <w:color w:val="000000"/>
                <w:sz w:val="20"/>
                <w:szCs w:val="20"/>
              </w:rPr>
              <w:t>改扩建（二级）</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.05</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.05</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7</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四川兴威运业有限公司安岳东门汽车客运站</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ascii="仿宋" w:hAnsi="仿宋" w:eastAsia="仿宋"/>
                <w:color w:val="000000"/>
                <w:sz w:val="20"/>
                <w:szCs w:val="20"/>
              </w:rPr>
              <w:t>改扩建（二级）</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.16</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w:t>
            </w:r>
            <w:r>
              <w:rPr>
                <w:rFonts w:eastAsia="仿宋"/>
                <w:color w:val="000000"/>
                <w:kern w:val="0"/>
                <w:sz w:val="22"/>
                <w:szCs w:val="22"/>
              </w:rPr>
              <w:t>.16</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8</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乐至北客运站及旅客集散中心</w:t>
            </w:r>
          </w:p>
        </w:tc>
        <w:tc>
          <w:tcPr>
            <w:tcW w:w="1418" w:type="dxa"/>
            <w:shd w:val="clear" w:color="auto" w:fill="auto"/>
            <w:vAlign w:val="center"/>
          </w:tcPr>
          <w:p>
            <w:pPr>
              <w:widowControl/>
              <w:spacing w:line="240" w:lineRule="auto"/>
              <w:ind w:firstLine="0" w:firstLineChars="0"/>
              <w:jc w:val="center"/>
              <w:rPr>
                <w:rFonts w:ascii="仿宋" w:hAnsi="仿宋" w:eastAsia="仿宋"/>
                <w:color w:val="000000"/>
                <w:sz w:val="20"/>
                <w:szCs w:val="20"/>
              </w:rPr>
            </w:pPr>
            <w:r>
              <w:rPr>
                <w:rFonts w:hint="eastAsia" w:ascii="仿宋" w:hAnsi="仿宋" w:eastAsia="仿宋"/>
                <w:color w:val="000000"/>
                <w:sz w:val="20"/>
                <w:szCs w:val="20"/>
              </w:rPr>
              <w:t>新建（二级）</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.5</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.5</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2977" w:type="dxa"/>
            <w:gridSpan w:val="2"/>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hint="eastAsia" w:eastAsia="仿宋"/>
                <w:b/>
                <w:bCs/>
                <w:color w:val="000000"/>
                <w:kern w:val="0"/>
                <w:sz w:val="22"/>
                <w:szCs w:val="22"/>
              </w:rPr>
              <w:t>四</w:t>
            </w:r>
            <w:r>
              <w:rPr>
                <w:rFonts w:eastAsia="仿宋"/>
                <w:b/>
                <w:bCs/>
                <w:color w:val="000000"/>
                <w:kern w:val="0"/>
                <w:sz w:val="22"/>
                <w:szCs w:val="22"/>
              </w:rPr>
              <w:t>、乡镇综合运输服务中心</w:t>
            </w:r>
          </w:p>
        </w:tc>
        <w:tc>
          <w:tcPr>
            <w:tcW w:w="1418"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992"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992"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p>
        </w:tc>
        <w:tc>
          <w:tcPr>
            <w:tcW w:w="851"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1134"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仿宋"/>
                <w:b/>
                <w:bCs/>
                <w:color w:val="000000"/>
                <w:kern w:val="0"/>
                <w:sz w:val="22"/>
                <w:szCs w:val="22"/>
              </w:rPr>
              <w:t>　</w:t>
            </w:r>
          </w:p>
        </w:tc>
        <w:tc>
          <w:tcPr>
            <w:tcW w:w="3402" w:type="dxa"/>
            <w:shd w:val="clear" w:color="auto" w:fill="auto"/>
            <w:vAlign w:val="center"/>
          </w:tcPr>
          <w:p>
            <w:pPr>
              <w:widowControl/>
              <w:spacing w:line="240" w:lineRule="auto"/>
              <w:ind w:firstLine="0" w:firstLineChars="0"/>
              <w:jc w:val="center"/>
              <w:rPr>
                <w:rFonts w:eastAsia="仿宋"/>
                <w:b/>
                <w:bCs/>
                <w:color w:val="000000"/>
                <w:kern w:val="0"/>
                <w:sz w:val="22"/>
                <w:szCs w:val="22"/>
              </w:rPr>
            </w:pPr>
            <w:r>
              <w:rPr>
                <w:rFonts w:eastAsia="宋体"/>
                <w:b/>
                <w:bCs/>
                <w:color w:val="000000"/>
                <w:sz w:val="22"/>
                <w:szCs w:val="22"/>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9</w:t>
            </w:r>
          </w:p>
        </w:tc>
        <w:tc>
          <w:tcPr>
            <w:tcW w:w="2268" w:type="dxa"/>
            <w:shd w:val="clear" w:color="auto" w:fill="auto"/>
            <w:vAlign w:val="center"/>
          </w:tcPr>
          <w:p>
            <w:pPr>
              <w:widowControl/>
              <w:spacing w:line="240" w:lineRule="auto"/>
              <w:ind w:firstLine="0" w:firstLineChars="0"/>
              <w:rPr>
                <w:rFonts w:eastAsia="仿宋"/>
                <w:color w:val="000000"/>
                <w:kern w:val="0"/>
                <w:sz w:val="22"/>
                <w:szCs w:val="22"/>
              </w:rPr>
            </w:pPr>
            <w:r>
              <w:rPr>
                <w:rFonts w:eastAsia="仿宋"/>
                <w:color w:val="000000"/>
                <w:kern w:val="0"/>
                <w:sz w:val="22"/>
                <w:szCs w:val="22"/>
              </w:rPr>
              <w:t>特色集镇综合运输服务中心</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新改建3</w:t>
            </w:r>
            <w:r>
              <w:rPr>
                <w:rFonts w:eastAsia="仿宋"/>
                <w:color w:val="000000"/>
                <w:kern w:val="0"/>
                <w:sz w:val="22"/>
                <w:szCs w:val="22"/>
              </w:rPr>
              <w:t>3</w:t>
            </w:r>
            <w:r>
              <w:rPr>
                <w:rFonts w:hint="eastAsia" w:eastAsia="仿宋"/>
                <w:color w:val="000000"/>
                <w:kern w:val="0"/>
                <w:sz w:val="22"/>
                <w:szCs w:val="22"/>
              </w:rPr>
              <w:t>个</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.7</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　</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1</w:t>
            </w:r>
            <w:r>
              <w:rPr>
                <w:rFonts w:eastAsia="仿宋"/>
                <w:color w:val="000000"/>
                <w:kern w:val="0"/>
                <w:sz w:val="22"/>
                <w:szCs w:val="22"/>
              </w:rPr>
              <w:t>.7</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2977" w:type="dxa"/>
            <w:gridSpan w:val="2"/>
            <w:shd w:val="clear" w:color="auto" w:fill="auto"/>
            <w:noWrap/>
            <w:vAlign w:val="center"/>
          </w:tcPr>
          <w:p>
            <w:pPr>
              <w:widowControl/>
              <w:spacing w:line="240" w:lineRule="auto"/>
              <w:ind w:firstLine="0" w:firstLineChars="0"/>
              <w:rPr>
                <w:rFonts w:eastAsia="仿宋"/>
                <w:b/>
                <w:bCs/>
                <w:color w:val="000000"/>
                <w:kern w:val="0"/>
                <w:sz w:val="22"/>
                <w:szCs w:val="22"/>
              </w:rPr>
            </w:pPr>
            <w:r>
              <w:rPr>
                <w:rFonts w:hint="eastAsia" w:eastAsia="仿宋"/>
                <w:b/>
                <w:bCs/>
                <w:color w:val="000000"/>
                <w:kern w:val="0"/>
                <w:sz w:val="22"/>
                <w:szCs w:val="22"/>
              </w:rPr>
              <w:t>五</w:t>
            </w:r>
            <w:r>
              <w:rPr>
                <w:rFonts w:eastAsia="仿宋"/>
                <w:b/>
                <w:bCs/>
                <w:color w:val="000000"/>
                <w:kern w:val="0"/>
                <w:sz w:val="22"/>
                <w:szCs w:val="22"/>
              </w:rPr>
              <w:t>、</w:t>
            </w:r>
            <w:r>
              <w:rPr>
                <w:rFonts w:hint="eastAsia" w:eastAsia="仿宋"/>
                <w:b/>
                <w:bCs/>
                <w:color w:val="000000"/>
                <w:kern w:val="0"/>
                <w:sz w:val="22"/>
                <w:szCs w:val="22"/>
              </w:rPr>
              <w:t>综合</w:t>
            </w:r>
            <w:r>
              <w:rPr>
                <w:rFonts w:eastAsia="仿宋"/>
                <w:b/>
                <w:bCs/>
                <w:color w:val="000000"/>
                <w:kern w:val="0"/>
                <w:sz w:val="22"/>
                <w:szCs w:val="22"/>
              </w:rPr>
              <w:t>货运枢纽</w:t>
            </w:r>
            <w:r>
              <w:rPr>
                <w:rFonts w:hint="eastAsia" w:eastAsia="仿宋"/>
                <w:b/>
                <w:bCs/>
                <w:color w:val="000000"/>
                <w:kern w:val="0"/>
                <w:sz w:val="22"/>
                <w:szCs w:val="22"/>
              </w:rPr>
              <w:t>/</w:t>
            </w:r>
            <w:r>
              <w:rPr>
                <w:rFonts w:eastAsia="仿宋"/>
                <w:b/>
                <w:bCs/>
                <w:color w:val="000000"/>
                <w:kern w:val="0"/>
                <w:sz w:val="22"/>
                <w:szCs w:val="22"/>
              </w:rPr>
              <w:t>物流园区</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10</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成渝·紫微商贸物流园</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铁路、公路</w:t>
            </w:r>
            <w:r>
              <w:rPr>
                <w:rFonts w:hint="eastAsia" w:eastAsia="仿宋"/>
                <w:color w:val="000000"/>
                <w:kern w:val="0"/>
                <w:sz w:val="22"/>
                <w:szCs w:val="22"/>
              </w:rPr>
              <w:t>、水路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2024</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功能：仓储、运输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0" w:hRule="atLeast"/>
          <w:jc w:val="center"/>
        </w:trPr>
        <w:tc>
          <w:tcPr>
            <w:tcW w:w="709" w:type="dxa"/>
            <w:shd w:val="clear" w:color="auto" w:fill="auto"/>
            <w:noWrap/>
            <w:vAlign w:val="center"/>
          </w:tcPr>
          <w:p>
            <w:pPr>
              <w:pStyle w:val="2"/>
              <w:spacing w:after="0" w:line="240" w:lineRule="auto"/>
              <w:ind w:firstLine="198" w:firstLineChars="90"/>
            </w:pPr>
            <w:r>
              <w:rPr>
                <w:rFonts w:eastAsia="仿宋"/>
                <w:color w:val="000000"/>
                <w:kern w:val="0"/>
                <w:sz w:val="22"/>
                <w:szCs w:val="22"/>
              </w:rPr>
              <w:t>11</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资阳公铁物流港</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eastAsia="仿宋"/>
                <w:color w:val="000000"/>
                <w:kern w:val="0"/>
                <w:sz w:val="22"/>
                <w:szCs w:val="22"/>
              </w:rPr>
              <w:t>铁路、公路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0.5</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0.5</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2020</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2022</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功能：仓储、运输</w:t>
            </w:r>
            <w:r>
              <w:rPr>
                <w:rFonts w:eastAsia="仿宋"/>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96" w:hRule="atLeast"/>
          <w:jc w:val="center"/>
        </w:trPr>
        <w:tc>
          <w:tcPr>
            <w:tcW w:w="709" w:type="dxa"/>
            <w:shd w:val="clear" w:color="auto" w:fill="auto"/>
            <w:noWrap/>
            <w:vAlign w:val="center"/>
          </w:tcPr>
          <w:p>
            <w:pPr>
              <w:pStyle w:val="2"/>
              <w:spacing w:after="0" w:line="240" w:lineRule="auto"/>
              <w:ind w:firstLine="198" w:firstLineChars="90"/>
              <w:rPr>
                <w:rFonts w:eastAsia="仿宋"/>
                <w:color w:val="000000"/>
                <w:kern w:val="0"/>
                <w:sz w:val="22"/>
                <w:szCs w:val="22"/>
              </w:rPr>
            </w:pPr>
            <w:r>
              <w:rPr>
                <w:rFonts w:eastAsia="仿宋"/>
                <w:color w:val="000000"/>
                <w:kern w:val="0"/>
                <w:sz w:val="22"/>
                <w:szCs w:val="22"/>
              </w:rPr>
              <w:t>12</w:t>
            </w:r>
          </w:p>
        </w:tc>
        <w:tc>
          <w:tcPr>
            <w:tcW w:w="226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乐至童家物流园</w:t>
            </w:r>
          </w:p>
        </w:tc>
        <w:tc>
          <w:tcPr>
            <w:tcW w:w="1418"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新建</w:t>
            </w:r>
          </w:p>
        </w:tc>
        <w:tc>
          <w:tcPr>
            <w:tcW w:w="1134"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公路</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5</w:t>
            </w:r>
          </w:p>
        </w:tc>
        <w:tc>
          <w:tcPr>
            <w:tcW w:w="992" w:type="dxa"/>
            <w:shd w:val="clear" w:color="auto" w:fill="auto"/>
            <w:noWrap/>
            <w:vAlign w:val="center"/>
          </w:tcPr>
          <w:p>
            <w:pPr>
              <w:widowControl/>
              <w:spacing w:line="240" w:lineRule="auto"/>
              <w:ind w:firstLine="0" w:firstLineChars="0"/>
              <w:jc w:val="center"/>
              <w:rPr>
                <w:rFonts w:eastAsia="仿宋"/>
                <w:color w:val="000000"/>
                <w:kern w:val="0"/>
                <w:sz w:val="22"/>
                <w:szCs w:val="22"/>
              </w:rPr>
            </w:pP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5</w:t>
            </w:r>
          </w:p>
        </w:tc>
        <w:tc>
          <w:tcPr>
            <w:tcW w:w="851"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021</w:t>
            </w:r>
          </w:p>
        </w:tc>
        <w:tc>
          <w:tcPr>
            <w:tcW w:w="1134" w:type="dxa"/>
            <w:shd w:val="clear" w:color="auto" w:fill="auto"/>
            <w:noWrap/>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2</w:t>
            </w:r>
            <w:r>
              <w:rPr>
                <w:rFonts w:eastAsia="仿宋"/>
                <w:color w:val="000000"/>
                <w:kern w:val="0"/>
                <w:sz w:val="22"/>
                <w:szCs w:val="22"/>
              </w:rPr>
              <w:t>025</w:t>
            </w:r>
          </w:p>
        </w:tc>
        <w:tc>
          <w:tcPr>
            <w:tcW w:w="3402" w:type="dxa"/>
            <w:shd w:val="clear" w:color="auto" w:fill="auto"/>
            <w:vAlign w:val="center"/>
          </w:tcPr>
          <w:p>
            <w:pPr>
              <w:widowControl/>
              <w:spacing w:line="240" w:lineRule="auto"/>
              <w:ind w:firstLine="0" w:firstLineChars="0"/>
              <w:jc w:val="center"/>
              <w:rPr>
                <w:rFonts w:eastAsia="仿宋"/>
                <w:color w:val="000000"/>
                <w:kern w:val="0"/>
                <w:sz w:val="22"/>
                <w:szCs w:val="22"/>
              </w:rPr>
            </w:pPr>
            <w:r>
              <w:rPr>
                <w:rFonts w:hint="eastAsia" w:eastAsia="仿宋"/>
                <w:color w:val="000000"/>
                <w:kern w:val="0"/>
                <w:sz w:val="22"/>
                <w:szCs w:val="22"/>
              </w:rPr>
              <w:t>功能：仓储、运输</w:t>
            </w:r>
          </w:p>
        </w:tc>
      </w:tr>
      <w:bookmarkEnd w:id="81"/>
    </w:tbl>
    <w:p>
      <w:pPr>
        <w:pStyle w:val="2"/>
        <w:spacing w:after="0"/>
        <w:ind w:firstLine="0" w:firstLineChars="0"/>
      </w:pPr>
    </w:p>
    <w:sectPr>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Ligh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927116"/>
    </w:sdtPr>
    <w:sdtContent>
      <w:p>
        <w:pPr>
          <w:pStyle w:val="13"/>
          <w:ind w:firstLine="360"/>
          <w:jc w:val="center"/>
        </w:pPr>
        <w:r>
          <w:fldChar w:fldCharType="begin"/>
        </w:r>
        <w:r>
          <w:instrText xml:space="preserve">PAGE   \* MERGEFORMAT</w:instrText>
        </w:r>
        <w:r>
          <w:fldChar w:fldCharType="separate"/>
        </w:r>
        <w:r>
          <w:rPr>
            <w:lang w:val="zh-CN"/>
          </w:rPr>
          <w:t>16</w:t>
        </w:r>
        <w:r>
          <w:fldChar w:fldCharType="end"/>
        </w:r>
      </w:p>
    </w:sdtContent>
  </w:sdt>
  <w:p>
    <w:pPr>
      <w:pStyle w:val="1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003297"/>
    </w:sdtPr>
    <w:sdtContent>
      <w:p>
        <w:pPr>
          <w:pStyle w:val="13"/>
          <w:ind w:firstLine="360"/>
          <w:jc w:val="center"/>
        </w:pPr>
        <w:r>
          <w:fldChar w:fldCharType="begin"/>
        </w:r>
        <w:r>
          <w:instrText xml:space="preserve">PAGE   \* MERGEFORMAT</w:instrText>
        </w:r>
        <w:r>
          <w:fldChar w:fldCharType="separate"/>
        </w:r>
        <w:r>
          <w:rPr>
            <w:lang w:val="zh-CN"/>
          </w:rPr>
          <w:t>25</w:t>
        </w:r>
        <w:r>
          <w:fldChar w:fldCharType="end"/>
        </w:r>
      </w:p>
    </w:sdtContent>
  </w:sdt>
  <w:p>
    <w:pPr>
      <w:pStyle w:val="1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5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82"/>
    <w:rsid w:val="000007D9"/>
    <w:rsid w:val="00000E71"/>
    <w:rsid w:val="00001738"/>
    <w:rsid w:val="0000235D"/>
    <w:rsid w:val="0000284E"/>
    <w:rsid w:val="00004686"/>
    <w:rsid w:val="00004E4D"/>
    <w:rsid w:val="0001272F"/>
    <w:rsid w:val="0001476B"/>
    <w:rsid w:val="00017F49"/>
    <w:rsid w:val="00022BFB"/>
    <w:rsid w:val="00026903"/>
    <w:rsid w:val="00027858"/>
    <w:rsid w:val="00030D13"/>
    <w:rsid w:val="0003253F"/>
    <w:rsid w:val="00033941"/>
    <w:rsid w:val="00034F1F"/>
    <w:rsid w:val="00035B81"/>
    <w:rsid w:val="000361FD"/>
    <w:rsid w:val="000377DF"/>
    <w:rsid w:val="0004528D"/>
    <w:rsid w:val="0004535B"/>
    <w:rsid w:val="00045A1E"/>
    <w:rsid w:val="0005307C"/>
    <w:rsid w:val="000550FD"/>
    <w:rsid w:val="000616DF"/>
    <w:rsid w:val="00062427"/>
    <w:rsid w:val="00063419"/>
    <w:rsid w:val="000648C1"/>
    <w:rsid w:val="000648F5"/>
    <w:rsid w:val="00064BB8"/>
    <w:rsid w:val="00065F5A"/>
    <w:rsid w:val="00066383"/>
    <w:rsid w:val="00071603"/>
    <w:rsid w:val="00072F9C"/>
    <w:rsid w:val="00073210"/>
    <w:rsid w:val="000736F4"/>
    <w:rsid w:val="000749AE"/>
    <w:rsid w:val="00081639"/>
    <w:rsid w:val="00081C9B"/>
    <w:rsid w:val="00086D94"/>
    <w:rsid w:val="00091FF7"/>
    <w:rsid w:val="00093C77"/>
    <w:rsid w:val="00093F9F"/>
    <w:rsid w:val="000968E0"/>
    <w:rsid w:val="0009745E"/>
    <w:rsid w:val="000A121C"/>
    <w:rsid w:val="000A2042"/>
    <w:rsid w:val="000A21C1"/>
    <w:rsid w:val="000A2F6A"/>
    <w:rsid w:val="000A48F7"/>
    <w:rsid w:val="000B496A"/>
    <w:rsid w:val="000C3697"/>
    <w:rsid w:val="000C5A84"/>
    <w:rsid w:val="000C6535"/>
    <w:rsid w:val="000C7D71"/>
    <w:rsid w:val="000D1425"/>
    <w:rsid w:val="000D73F8"/>
    <w:rsid w:val="000E1110"/>
    <w:rsid w:val="000E3F12"/>
    <w:rsid w:val="000E7780"/>
    <w:rsid w:val="000F133D"/>
    <w:rsid w:val="000F2206"/>
    <w:rsid w:val="000F4B41"/>
    <w:rsid w:val="000F56E7"/>
    <w:rsid w:val="000F74A3"/>
    <w:rsid w:val="000F759C"/>
    <w:rsid w:val="001026B7"/>
    <w:rsid w:val="00105A4A"/>
    <w:rsid w:val="00106B8C"/>
    <w:rsid w:val="00107128"/>
    <w:rsid w:val="0010759C"/>
    <w:rsid w:val="00107A07"/>
    <w:rsid w:val="00111A9C"/>
    <w:rsid w:val="00112D93"/>
    <w:rsid w:val="001223B0"/>
    <w:rsid w:val="00123425"/>
    <w:rsid w:val="00123767"/>
    <w:rsid w:val="001271B4"/>
    <w:rsid w:val="00130274"/>
    <w:rsid w:val="001302B1"/>
    <w:rsid w:val="00132E7B"/>
    <w:rsid w:val="001340C4"/>
    <w:rsid w:val="00134EBE"/>
    <w:rsid w:val="00135A74"/>
    <w:rsid w:val="001360FC"/>
    <w:rsid w:val="001375ED"/>
    <w:rsid w:val="00144B63"/>
    <w:rsid w:val="001477B6"/>
    <w:rsid w:val="00147DBA"/>
    <w:rsid w:val="00150A2B"/>
    <w:rsid w:val="00155D26"/>
    <w:rsid w:val="00157B86"/>
    <w:rsid w:val="0016005C"/>
    <w:rsid w:val="001606CF"/>
    <w:rsid w:val="001655FC"/>
    <w:rsid w:val="00167861"/>
    <w:rsid w:val="001739C9"/>
    <w:rsid w:val="00173D6B"/>
    <w:rsid w:val="00173F4B"/>
    <w:rsid w:val="00176ECD"/>
    <w:rsid w:val="00180C0C"/>
    <w:rsid w:val="001834E6"/>
    <w:rsid w:val="00185597"/>
    <w:rsid w:val="0018650C"/>
    <w:rsid w:val="00193169"/>
    <w:rsid w:val="00194D53"/>
    <w:rsid w:val="00196447"/>
    <w:rsid w:val="001A3AC0"/>
    <w:rsid w:val="001B1F27"/>
    <w:rsid w:val="001B3159"/>
    <w:rsid w:val="001B5EF6"/>
    <w:rsid w:val="001B7587"/>
    <w:rsid w:val="001C1B45"/>
    <w:rsid w:val="001C23B6"/>
    <w:rsid w:val="001C3C18"/>
    <w:rsid w:val="001C3D8C"/>
    <w:rsid w:val="001C4D05"/>
    <w:rsid w:val="001C5361"/>
    <w:rsid w:val="001C68EF"/>
    <w:rsid w:val="001C7965"/>
    <w:rsid w:val="001D1740"/>
    <w:rsid w:val="001D5457"/>
    <w:rsid w:val="001D6EC6"/>
    <w:rsid w:val="001D73C1"/>
    <w:rsid w:val="001E1157"/>
    <w:rsid w:val="001E21BA"/>
    <w:rsid w:val="001E294B"/>
    <w:rsid w:val="001E4836"/>
    <w:rsid w:val="001E7034"/>
    <w:rsid w:val="001E7481"/>
    <w:rsid w:val="001E774E"/>
    <w:rsid w:val="001E795E"/>
    <w:rsid w:val="001F5BFC"/>
    <w:rsid w:val="001F62EA"/>
    <w:rsid w:val="001F7903"/>
    <w:rsid w:val="00201A5D"/>
    <w:rsid w:val="00201AFA"/>
    <w:rsid w:val="00202AEA"/>
    <w:rsid w:val="002067DD"/>
    <w:rsid w:val="00207F19"/>
    <w:rsid w:val="0021764D"/>
    <w:rsid w:val="00223EC3"/>
    <w:rsid w:val="0023237B"/>
    <w:rsid w:val="002328A9"/>
    <w:rsid w:val="00234048"/>
    <w:rsid w:val="002355E9"/>
    <w:rsid w:val="002425F4"/>
    <w:rsid w:val="00245743"/>
    <w:rsid w:val="00251284"/>
    <w:rsid w:val="00252B31"/>
    <w:rsid w:val="00254413"/>
    <w:rsid w:val="002567CB"/>
    <w:rsid w:val="0025681D"/>
    <w:rsid w:val="002578BF"/>
    <w:rsid w:val="00257960"/>
    <w:rsid w:val="002603EA"/>
    <w:rsid w:val="0026091C"/>
    <w:rsid w:val="00262B87"/>
    <w:rsid w:val="002652C3"/>
    <w:rsid w:val="00270BAF"/>
    <w:rsid w:val="00272784"/>
    <w:rsid w:val="00275098"/>
    <w:rsid w:val="00276446"/>
    <w:rsid w:val="002807D9"/>
    <w:rsid w:val="0028203F"/>
    <w:rsid w:val="0028530E"/>
    <w:rsid w:val="00287650"/>
    <w:rsid w:val="00290B87"/>
    <w:rsid w:val="0029345F"/>
    <w:rsid w:val="00294393"/>
    <w:rsid w:val="00294822"/>
    <w:rsid w:val="0029753D"/>
    <w:rsid w:val="002A2DCB"/>
    <w:rsid w:val="002A3DCF"/>
    <w:rsid w:val="002A7F83"/>
    <w:rsid w:val="002B2EEB"/>
    <w:rsid w:val="002B37CE"/>
    <w:rsid w:val="002C024F"/>
    <w:rsid w:val="002C0577"/>
    <w:rsid w:val="002C2902"/>
    <w:rsid w:val="002C3E9B"/>
    <w:rsid w:val="002C4069"/>
    <w:rsid w:val="002C4C68"/>
    <w:rsid w:val="002D11D7"/>
    <w:rsid w:val="002D24AF"/>
    <w:rsid w:val="002D2D7A"/>
    <w:rsid w:val="002D450D"/>
    <w:rsid w:val="002D5167"/>
    <w:rsid w:val="002D7407"/>
    <w:rsid w:val="002E4921"/>
    <w:rsid w:val="002E5ADB"/>
    <w:rsid w:val="002E72A3"/>
    <w:rsid w:val="002F1CAA"/>
    <w:rsid w:val="002F3B58"/>
    <w:rsid w:val="002F55A2"/>
    <w:rsid w:val="00301761"/>
    <w:rsid w:val="003025AD"/>
    <w:rsid w:val="003109B1"/>
    <w:rsid w:val="00310BB1"/>
    <w:rsid w:val="003165B8"/>
    <w:rsid w:val="00316779"/>
    <w:rsid w:val="00320928"/>
    <w:rsid w:val="00321AA2"/>
    <w:rsid w:val="00326D53"/>
    <w:rsid w:val="00330890"/>
    <w:rsid w:val="0033135A"/>
    <w:rsid w:val="00331DE6"/>
    <w:rsid w:val="00332696"/>
    <w:rsid w:val="0033611C"/>
    <w:rsid w:val="003369A1"/>
    <w:rsid w:val="003408AA"/>
    <w:rsid w:val="00344229"/>
    <w:rsid w:val="003454CD"/>
    <w:rsid w:val="00345679"/>
    <w:rsid w:val="00345808"/>
    <w:rsid w:val="0034711E"/>
    <w:rsid w:val="00350F79"/>
    <w:rsid w:val="00353691"/>
    <w:rsid w:val="00355614"/>
    <w:rsid w:val="003611CE"/>
    <w:rsid w:val="00361BB9"/>
    <w:rsid w:val="0036261B"/>
    <w:rsid w:val="00362A71"/>
    <w:rsid w:val="0036398D"/>
    <w:rsid w:val="00363D74"/>
    <w:rsid w:val="00364054"/>
    <w:rsid w:val="00364505"/>
    <w:rsid w:val="003659A0"/>
    <w:rsid w:val="00365AFD"/>
    <w:rsid w:val="00366215"/>
    <w:rsid w:val="00367373"/>
    <w:rsid w:val="00370D1E"/>
    <w:rsid w:val="003712CD"/>
    <w:rsid w:val="00371EA9"/>
    <w:rsid w:val="003723AD"/>
    <w:rsid w:val="0039089A"/>
    <w:rsid w:val="00391158"/>
    <w:rsid w:val="0039163E"/>
    <w:rsid w:val="00392843"/>
    <w:rsid w:val="00395B45"/>
    <w:rsid w:val="003A017D"/>
    <w:rsid w:val="003A11B5"/>
    <w:rsid w:val="003A33DC"/>
    <w:rsid w:val="003A4B97"/>
    <w:rsid w:val="003A4FFB"/>
    <w:rsid w:val="003A5D21"/>
    <w:rsid w:val="003B0223"/>
    <w:rsid w:val="003B1622"/>
    <w:rsid w:val="003B47E9"/>
    <w:rsid w:val="003C1683"/>
    <w:rsid w:val="003C25ED"/>
    <w:rsid w:val="003C40C2"/>
    <w:rsid w:val="003C4C2B"/>
    <w:rsid w:val="003C52E3"/>
    <w:rsid w:val="003C7C85"/>
    <w:rsid w:val="003C7DC4"/>
    <w:rsid w:val="003D0FCF"/>
    <w:rsid w:val="003D6281"/>
    <w:rsid w:val="003D6684"/>
    <w:rsid w:val="003D7374"/>
    <w:rsid w:val="003E030F"/>
    <w:rsid w:val="003E097F"/>
    <w:rsid w:val="003E1DF7"/>
    <w:rsid w:val="003F1987"/>
    <w:rsid w:val="003F1DCE"/>
    <w:rsid w:val="003F21ED"/>
    <w:rsid w:val="003F3A66"/>
    <w:rsid w:val="003F4979"/>
    <w:rsid w:val="003F6068"/>
    <w:rsid w:val="003F748C"/>
    <w:rsid w:val="0040267A"/>
    <w:rsid w:val="0040377E"/>
    <w:rsid w:val="00404244"/>
    <w:rsid w:val="0041475C"/>
    <w:rsid w:val="004149AE"/>
    <w:rsid w:val="00414A42"/>
    <w:rsid w:val="00415070"/>
    <w:rsid w:val="00415F6B"/>
    <w:rsid w:val="004165F5"/>
    <w:rsid w:val="00416D68"/>
    <w:rsid w:val="00420D16"/>
    <w:rsid w:val="00425391"/>
    <w:rsid w:val="00426812"/>
    <w:rsid w:val="00430445"/>
    <w:rsid w:val="00432B07"/>
    <w:rsid w:val="00433FE0"/>
    <w:rsid w:val="004356E6"/>
    <w:rsid w:val="00436B64"/>
    <w:rsid w:val="00436FC3"/>
    <w:rsid w:val="004408C8"/>
    <w:rsid w:val="004423EC"/>
    <w:rsid w:val="00443927"/>
    <w:rsid w:val="0044581D"/>
    <w:rsid w:val="004466FB"/>
    <w:rsid w:val="00447487"/>
    <w:rsid w:val="00447541"/>
    <w:rsid w:val="00450BF6"/>
    <w:rsid w:val="00462656"/>
    <w:rsid w:val="0046615B"/>
    <w:rsid w:val="0047073F"/>
    <w:rsid w:val="00472B6D"/>
    <w:rsid w:val="00473CC1"/>
    <w:rsid w:val="00474DC9"/>
    <w:rsid w:val="00485110"/>
    <w:rsid w:val="0048652C"/>
    <w:rsid w:val="00491798"/>
    <w:rsid w:val="004920A7"/>
    <w:rsid w:val="004A5865"/>
    <w:rsid w:val="004A74A0"/>
    <w:rsid w:val="004B29CC"/>
    <w:rsid w:val="004B2A3A"/>
    <w:rsid w:val="004B5004"/>
    <w:rsid w:val="004B5EB7"/>
    <w:rsid w:val="004B6915"/>
    <w:rsid w:val="004B7899"/>
    <w:rsid w:val="004C1D35"/>
    <w:rsid w:val="004C275B"/>
    <w:rsid w:val="004C5B3E"/>
    <w:rsid w:val="004C7EBB"/>
    <w:rsid w:val="004D126E"/>
    <w:rsid w:val="004D402D"/>
    <w:rsid w:val="004D507E"/>
    <w:rsid w:val="004D5970"/>
    <w:rsid w:val="004D5B5C"/>
    <w:rsid w:val="004E0000"/>
    <w:rsid w:val="004E6745"/>
    <w:rsid w:val="004F0A44"/>
    <w:rsid w:val="004F248C"/>
    <w:rsid w:val="004F62A0"/>
    <w:rsid w:val="0050194E"/>
    <w:rsid w:val="00502B8D"/>
    <w:rsid w:val="00502D78"/>
    <w:rsid w:val="00504DA5"/>
    <w:rsid w:val="00504DEF"/>
    <w:rsid w:val="00506F10"/>
    <w:rsid w:val="00510362"/>
    <w:rsid w:val="00510DD7"/>
    <w:rsid w:val="005119A8"/>
    <w:rsid w:val="00514E71"/>
    <w:rsid w:val="00515DA9"/>
    <w:rsid w:val="0051700B"/>
    <w:rsid w:val="00517D72"/>
    <w:rsid w:val="00520594"/>
    <w:rsid w:val="00521EC3"/>
    <w:rsid w:val="005241CA"/>
    <w:rsid w:val="005263E4"/>
    <w:rsid w:val="00527A7C"/>
    <w:rsid w:val="0053134B"/>
    <w:rsid w:val="00531C9D"/>
    <w:rsid w:val="00531EA0"/>
    <w:rsid w:val="00533056"/>
    <w:rsid w:val="005330DC"/>
    <w:rsid w:val="00534DE6"/>
    <w:rsid w:val="005352BA"/>
    <w:rsid w:val="00540C59"/>
    <w:rsid w:val="00542589"/>
    <w:rsid w:val="005427D6"/>
    <w:rsid w:val="00546874"/>
    <w:rsid w:val="0054793D"/>
    <w:rsid w:val="00547BBF"/>
    <w:rsid w:val="00550CC5"/>
    <w:rsid w:val="00551C67"/>
    <w:rsid w:val="00562E9A"/>
    <w:rsid w:val="00563711"/>
    <w:rsid w:val="00565B8D"/>
    <w:rsid w:val="0057095F"/>
    <w:rsid w:val="0057328C"/>
    <w:rsid w:val="00584DFC"/>
    <w:rsid w:val="00587BAA"/>
    <w:rsid w:val="00590C1B"/>
    <w:rsid w:val="005912AA"/>
    <w:rsid w:val="005912D4"/>
    <w:rsid w:val="0059138F"/>
    <w:rsid w:val="00593096"/>
    <w:rsid w:val="00593661"/>
    <w:rsid w:val="00594078"/>
    <w:rsid w:val="00594690"/>
    <w:rsid w:val="0059524F"/>
    <w:rsid w:val="00595600"/>
    <w:rsid w:val="00595661"/>
    <w:rsid w:val="005A259E"/>
    <w:rsid w:val="005A7D1E"/>
    <w:rsid w:val="005A7D25"/>
    <w:rsid w:val="005A7F79"/>
    <w:rsid w:val="005B01F4"/>
    <w:rsid w:val="005B0DEC"/>
    <w:rsid w:val="005B0FA6"/>
    <w:rsid w:val="005B1214"/>
    <w:rsid w:val="005B2A0F"/>
    <w:rsid w:val="005B4E46"/>
    <w:rsid w:val="005B7145"/>
    <w:rsid w:val="005C6436"/>
    <w:rsid w:val="005C72EE"/>
    <w:rsid w:val="005C7CFD"/>
    <w:rsid w:val="005D152A"/>
    <w:rsid w:val="005D4E44"/>
    <w:rsid w:val="005D4F09"/>
    <w:rsid w:val="005D4F34"/>
    <w:rsid w:val="005E03D8"/>
    <w:rsid w:val="005E07DB"/>
    <w:rsid w:val="005E2427"/>
    <w:rsid w:val="005E2871"/>
    <w:rsid w:val="005E3BFD"/>
    <w:rsid w:val="005E5438"/>
    <w:rsid w:val="005E55EE"/>
    <w:rsid w:val="005E5B48"/>
    <w:rsid w:val="005E6878"/>
    <w:rsid w:val="005E70B6"/>
    <w:rsid w:val="005F0299"/>
    <w:rsid w:val="005F2EC2"/>
    <w:rsid w:val="005F52B6"/>
    <w:rsid w:val="005F5478"/>
    <w:rsid w:val="005F79AB"/>
    <w:rsid w:val="006018F5"/>
    <w:rsid w:val="0060210D"/>
    <w:rsid w:val="006029DB"/>
    <w:rsid w:val="00611FCE"/>
    <w:rsid w:val="00613B2E"/>
    <w:rsid w:val="00615C02"/>
    <w:rsid w:val="00615C17"/>
    <w:rsid w:val="00623C5A"/>
    <w:rsid w:val="006252A2"/>
    <w:rsid w:val="0062534E"/>
    <w:rsid w:val="00625B78"/>
    <w:rsid w:val="006261BB"/>
    <w:rsid w:val="00635C25"/>
    <w:rsid w:val="00635EB5"/>
    <w:rsid w:val="00636F71"/>
    <w:rsid w:val="006429E7"/>
    <w:rsid w:val="0064466F"/>
    <w:rsid w:val="00644F90"/>
    <w:rsid w:val="00645882"/>
    <w:rsid w:val="006532B5"/>
    <w:rsid w:val="00653438"/>
    <w:rsid w:val="00655F5A"/>
    <w:rsid w:val="006570F3"/>
    <w:rsid w:val="00657740"/>
    <w:rsid w:val="00657B8F"/>
    <w:rsid w:val="00663A23"/>
    <w:rsid w:val="00663BA9"/>
    <w:rsid w:val="00667268"/>
    <w:rsid w:val="006678CC"/>
    <w:rsid w:val="006706F0"/>
    <w:rsid w:val="00670DC1"/>
    <w:rsid w:val="00673F0C"/>
    <w:rsid w:val="00681EFE"/>
    <w:rsid w:val="0068244B"/>
    <w:rsid w:val="00682FB8"/>
    <w:rsid w:val="006866F8"/>
    <w:rsid w:val="006870FB"/>
    <w:rsid w:val="00687198"/>
    <w:rsid w:val="00692530"/>
    <w:rsid w:val="00692DE5"/>
    <w:rsid w:val="00694685"/>
    <w:rsid w:val="006A089D"/>
    <w:rsid w:val="006A0CD0"/>
    <w:rsid w:val="006A1929"/>
    <w:rsid w:val="006A2C8B"/>
    <w:rsid w:val="006A4AB5"/>
    <w:rsid w:val="006A4C05"/>
    <w:rsid w:val="006A60F4"/>
    <w:rsid w:val="006A782D"/>
    <w:rsid w:val="006B00CE"/>
    <w:rsid w:val="006B1E9C"/>
    <w:rsid w:val="006B310F"/>
    <w:rsid w:val="006B3F78"/>
    <w:rsid w:val="006B41DE"/>
    <w:rsid w:val="006B427F"/>
    <w:rsid w:val="006B6836"/>
    <w:rsid w:val="006B6DCF"/>
    <w:rsid w:val="006B7773"/>
    <w:rsid w:val="006B78CE"/>
    <w:rsid w:val="006C0DEE"/>
    <w:rsid w:val="006C2A51"/>
    <w:rsid w:val="006C3041"/>
    <w:rsid w:val="006C34B6"/>
    <w:rsid w:val="006C59EA"/>
    <w:rsid w:val="006D088D"/>
    <w:rsid w:val="006D1363"/>
    <w:rsid w:val="006D4E4B"/>
    <w:rsid w:val="006D730A"/>
    <w:rsid w:val="006E1B03"/>
    <w:rsid w:val="006E217A"/>
    <w:rsid w:val="006E437D"/>
    <w:rsid w:val="006E54AA"/>
    <w:rsid w:val="006E5A96"/>
    <w:rsid w:val="006E6281"/>
    <w:rsid w:val="006E62F6"/>
    <w:rsid w:val="006E635D"/>
    <w:rsid w:val="006F0156"/>
    <w:rsid w:val="006F06C1"/>
    <w:rsid w:val="006F1277"/>
    <w:rsid w:val="006F14D6"/>
    <w:rsid w:val="006F1DD4"/>
    <w:rsid w:val="006F5310"/>
    <w:rsid w:val="006F5EA8"/>
    <w:rsid w:val="006F66B3"/>
    <w:rsid w:val="00702264"/>
    <w:rsid w:val="00703666"/>
    <w:rsid w:val="0070546D"/>
    <w:rsid w:val="00706B35"/>
    <w:rsid w:val="00712829"/>
    <w:rsid w:val="007129D0"/>
    <w:rsid w:val="00717C76"/>
    <w:rsid w:val="00723390"/>
    <w:rsid w:val="0072668E"/>
    <w:rsid w:val="00736B1F"/>
    <w:rsid w:val="00737174"/>
    <w:rsid w:val="00741BCF"/>
    <w:rsid w:val="00746F75"/>
    <w:rsid w:val="00751AEA"/>
    <w:rsid w:val="00752769"/>
    <w:rsid w:val="00760E71"/>
    <w:rsid w:val="0076148A"/>
    <w:rsid w:val="00762190"/>
    <w:rsid w:val="00766389"/>
    <w:rsid w:val="00766BF2"/>
    <w:rsid w:val="007706A4"/>
    <w:rsid w:val="00774C3C"/>
    <w:rsid w:val="00781C95"/>
    <w:rsid w:val="00784542"/>
    <w:rsid w:val="007919C1"/>
    <w:rsid w:val="007940D1"/>
    <w:rsid w:val="00794798"/>
    <w:rsid w:val="00795BC9"/>
    <w:rsid w:val="007979E0"/>
    <w:rsid w:val="007A20A5"/>
    <w:rsid w:val="007A2C72"/>
    <w:rsid w:val="007B051C"/>
    <w:rsid w:val="007B31D3"/>
    <w:rsid w:val="007B3736"/>
    <w:rsid w:val="007B3AB0"/>
    <w:rsid w:val="007B7E5A"/>
    <w:rsid w:val="007C1309"/>
    <w:rsid w:val="007C138B"/>
    <w:rsid w:val="007C33F1"/>
    <w:rsid w:val="007C5C4D"/>
    <w:rsid w:val="007C7393"/>
    <w:rsid w:val="007D1BFD"/>
    <w:rsid w:val="007D1C06"/>
    <w:rsid w:val="007D4B93"/>
    <w:rsid w:val="007D6404"/>
    <w:rsid w:val="007D6713"/>
    <w:rsid w:val="007D6CFA"/>
    <w:rsid w:val="007E196D"/>
    <w:rsid w:val="007E1DC3"/>
    <w:rsid w:val="007E2263"/>
    <w:rsid w:val="007E607D"/>
    <w:rsid w:val="007E610B"/>
    <w:rsid w:val="007F152E"/>
    <w:rsid w:val="007F1B59"/>
    <w:rsid w:val="007F3102"/>
    <w:rsid w:val="007F3E9A"/>
    <w:rsid w:val="007F5AD8"/>
    <w:rsid w:val="008065F2"/>
    <w:rsid w:val="00807231"/>
    <w:rsid w:val="008111B6"/>
    <w:rsid w:val="00811347"/>
    <w:rsid w:val="00811525"/>
    <w:rsid w:val="00812F60"/>
    <w:rsid w:val="008151B3"/>
    <w:rsid w:val="00815752"/>
    <w:rsid w:val="00817A15"/>
    <w:rsid w:val="00817A62"/>
    <w:rsid w:val="00817B88"/>
    <w:rsid w:val="008200C5"/>
    <w:rsid w:val="008203C3"/>
    <w:rsid w:val="00822477"/>
    <w:rsid w:val="00823D36"/>
    <w:rsid w:val="00824642"/>
    <w:rsid w:val="00827210"/>
    <w:rsid w:val="0082764A"/>
    <w:rsid w:val="00830060"/>
    <w:rsid w:val="0083085F"/>
    <w:rsid w:val="00830939"/>
    <w:rsid w:val="008310A6"/>
    <w:rsid w:val="00831554"/>
    <w:rsid w:val="008321D6"/>
    <w:rsid w:val="008324DA"/>
    <w:rsid w:val="00844E35"/>
    <w:rsid w:val="0084619F"/>
    <w:rsid w:val="0084648B"/>
    <w:rsid w:val="00847D9E"/>
    <w:rsid w:val="00850F58"/>
    <w:rsid w:val="0085142B"/>
    <w:rsid w:val="00852E2B"/>
    <w:rsid w:val="008538B7"/>
    <w:rsid w:val="00855E23"/>
    <w:rsid w:val="00856EE1"/>
    <w:rsid w:val="00861930"/>
    <w:rsid w:val="008636F9"/>
    <w:rsid w:val="0086530E"/>
    <w:rsid w:val="00866A5E"/>
    <w:rsid w:val="00866F1E"/>
    <w:rsid w:val="00867C8F"/>
    <w:rsid w:val="00870ECE"/>
    <w:rsid w:val="0087139A"/>
    <w:rsid w:val="00875DDA"/>
    <w:rsid w:val="00876137"/>
    <w:rsid w:val="008763B1"/>
    <w:rsid w:val="00876EE2"/>
    <w:rsid w:val="0087749A"/>
    <w:rsid w:val="00881EBC"/>
    <w:rsid w:val="00884C34"/>
    <w:rsid w:val="008868F0"/>
    <w:rsid w:val="00887143"/>
    <w:rsid w:val="00887900"/>
    <w:rsid w:val="00887D40"/>
    <w:rsid w:val="008918F1"/>
    <w:rsid w:val="00892010"/>
    <w:rsid w:val="0089415D"/>
    <w:rsid w:val="008A3007"/>
    <w:rsid w:val="008A4D3C"/>
    <w:rsid w:val="008A5A6F"/>
    <w:rsid w:val="008A6FE5"/>
    <w:rsid w:val="008B1546"/>
    <w:rsid w:val="008B3D7C"/>
    <w:rsid w:val="008B6E61"/>
    <w:rsid w:val="008C0D8A"/>
    <w:rsid w:val="008C11EC"/>
    <w:rsid w:val="008C291D"/>
    <w:rsid w:val="008C3C72"/>
    <w:rsid w:val="008C4110"/>
    <w:rsid w:val="008C6FF4"/>
    <w:rsid w:val="008D13C6"/>
    <w:rsid w:val="008D1C1E"/>
    <w:rsid w:val="008D4874"/>
    <w:rsid w:val="008E09DA"/>
    <w:rsid w:val="008E0AF0"/>
    <w:rsid w:val="008E2233"/>
    <w:rsid w:val="008E602F"/>
    <w:rsid w:val="008E63F4"/>
    <w:rsid w:val="008E6D24"/>
    <w:rsid w:val="008E7072"/>
    <w:rsid w:val="008F1814"/>
    <w:rsid w:val="008F2E4A"/>
    <w:rsid w:val="008F483A"/>
    <w:rsid w:val="008F6A3B"/>
    <w:rsid w:val="00902897"/>
    <w:rsid w:val="00904106"/>
    <w:rsid w:val="009043FC"/>
    <w:rsid w:val="00907300"/>
    <w:rsid w:val="00913421"/>
    <w:rsid w:val="009134C1"/>
    <w:rsid w:val="0091361B"/>
    <w:rsid w:val="00914AB5"/>
    <w:rsid w:val="009155F2"/>
    <w:rsid w:val="00916441"/>
    <w:rsid w:val="00916687"/>
    <w:rsid w:val="0091751E"/>
    <w:rsid w:val="009210D9"/>
    <w:rsid w:val="00921510"/>
    <w:rsid w:val="00922284"/>
    <w:rsid w:val="00922775"/>
    <w:rsid w:val="00923220"/>
    <w:rsid w:val="00923E95"/>
    <w:rsid w:val="009267AC"/>
    <w:rsid w:val="009269BF"/>
    <w:rsid w:val="009275EF"/>
    <w:rsid w:val="00930EE7"/>
    <w:rsid w:val="00933383"/>
    <w:rsid w:val="00934B57"/>
    <w:rsid w:val="0093544A"/>
    <w:rsid w:val="0094156C"/>
    <w:rsid w:val="00942422"/>
    <w:rsid w:val="00942978"/>
    <w:rsid w:val="009444B2"/>
    <w:rsid w:val="0094552E"/>
    <w:rsid w:val="009469CD"/>
    <w:rsid w:val="00946C44"/>
    <w:rsid w:val="00952B66"/>
    <w:rsid w:val="00953101"/>
    <w:rsid w:val="00954F44"/>
    <w:rsid w:val="009564AD"/>
    <w:rsid w:val="009620F4"/>
    <w:rsid w:val="00963355"/>
    <w:rsid w:val="00964065"/>
    <w:rsid w:val="00964E69"/>
    <w:rsid w:val="009670CF"/>
    <w:rsid w:val="00970138"/>
    <w:rsid w:val="00970DB1"/>
    <w:rsid w:val="0097160B"/>
    <w:rsid w:val="009716C8"/>
    <w:rsid w:val="009720EF"/>
    <w:rsid w:val="0097252A"/>
    <w:rsid w:val="00975F55"/>
    <w:rsid w:val="00976F80"/>
    <w:rsid w:val="00977B08"/>
    <w:rsid w:val="0098418D"/>
    <w:rsid w:val="00986A75"/>
    <w:rsid w:val="00995BF6"/>
    <w:rsid w:val="00996A94"/>
    <w:rsid w:val="00997909"/>
    <w:rsid w:val="009A327E"/>
    <w:rsid w:val="009A517F"/>
    <w:rsid w:val="009A60B8"/>
    <w:rsid w:val="009A6316"/>
    <w:rsid w:val="009A6866"/>
    <w:rsid w:val="009B5C2B"/>
    <w:rsid w:val="009B6D0A"/>
    <w:rsid w:val="009C4EDE"/>
    <w:rsid w:val="009C6C2D"/>
    <w:rsid w:val="009C7791"/>
    <w:rsid w:val="009C7FE4"/>
    <w:rsid w:val="009D54E5"/>
    <w:rsid w:val="009D5D3E"/>
    <w:rsid w:val="009D66E8"/>
    <w:rsid w:val="009E0531"/>
    <w:rsid w:val="009E25EE"/>
    <w:rsid w:val="009E2B07"/>
    <w:rsid w:val="009E2D1B"/>
    <w:rsid w:val="009E36AD"/>
    <w:rsid w:val="009E6A25"/>
    <w:rsid w:val="009F100E"/>
    <w:rsid w:val="009F1F6B"/>
    <w:rsid w:val="009F24F7"/>
    <w:rsid w:val="009F7EF3"/>
    <w:rsid w:val="00A11D02"/>
    <w:rsid w:val="00A1206E"/>
    <w:rsid w:val="00A145B0"/>
    <w:rsid w:val="00A159A3"/>
    <w:rsid w:val="00A15B73"/>
    <w:rsid w:val="00A1761E"/>
    <w:rsid w:val="00A17F5F"/>
    <w:rsid w:val="00A204C1"/>
    <w:rsid w:val="00A210F4"/>
    <w:rsid w:val="00A24C78"/>
    <w:rsid w:val="00A32A2D"/>
    <w:rsid w:val="00A332A3"/>
    <w:rsid w:val="00A34923"/>
    <w:rsid w:val="00A35402"/>
    <w:rsid w:val="00A42047"/>
    <w:rsid w:val="00A4492E"/>
    <w:rsid w:val="00A45E39"/>
    <w:rsid w:val="00A46881"/>
    <w:rsid w:val="00A47F9D"/>
    <w:rsid w:val="00A50AB5"/>
    <w:rsid w:val="00A54A98"/>
    <w:rsid w:val="00A55ADF"/>
    <w:rsid w:val="00A55E86"/>
    <w:rsid w:val="00A56865"/>
    <w:rsid w:val="00A573AD"/>
    <w:rsid w:val="00A602C9"/>
    <w:rsid w:val="00A624C5"/>
    <w:rsid w:val="00A63289"/>
    <w:rsid w:val="00A67F02"/>
    <w:rsid w:val="00A7421C"/>
    <w:rsid w:val="00A7435F"/>
    <w:rsid w:val="00A74E99"/>
    <w:rsid w:val="00A750F2"/>
    <w:rsid w:val="00A7536D"/>
    <w:rsid w:val="00A75F10"/>
    <w:rsid w:val="00A77471"/>
    <w:rsid w:val="00A80131"/>
    <w:rsid w:val="00A852CD"/>
    <w:rsid w:val="00A86837"/>
    <w:rsid w:val="00A87209"/>
    <w:rsid w:val="00A87FC8"/>
    <w:rsid w:val="00A91495"/>
    <w:rsid w:val="00A92A4A"/>
    <w:rsid w:val="00A93158"/>
    <w:rsid w:val="00A94469"/>
    <w:rsid w:val="00A94F45"/>
    <w:rsid w:val="00AA38AB"/>
    <w:rsid w:val="00AA5376"/>
    <w:rsid w:val="00AA58A7"/>
    <w:rsid w:val="00AB1179"/>
    <w:rsid w:val="00AB19CE"/>
    <w:rsid w:val="00AB3317"/>
    <w:rsid w:val="00AB53E6"/>
    <w:rsid w:val="00AB5731"/>
    <w:rsid w:val="00AB7C1F"/>
    <w:rsid w:val="00AC1360"/>
    <w:rsid w:val="00AC2A7C"/>
    <w:rsid w:val="00AC3ABC"/>
    <w:rsid w:val="00AC53D4"/>
    <w:rsid w:val="00AC6B33"/>
    <w:rsid w:val="00AC79BE"/>
    <w:rsid w:val="00AD1526"/>
    <w:rsid w:val="00AD1E95"/>
    <w:rsid w:val="00AD24CF"/>
    <w:rsid w:val="00AE389D"/>
    <w:rsid w:val="00AE4D86"/>
    <w:rsid w:val="00AE54E4"/>
    <w:rsid w:val="00AF0E9B"/>
    <w:rsid w:val="00AF316D"/>
    <w:rsid w:val="00AF3A97"/>
    <w:rsid w:val="00AF73EE"/>
    <w:rsid w:val="00AF7607"/>
    <w:rsid w:val="00B01876"/>
    <w:rsid w:val="00B03692"/>
    <w:rsid w:val="00B048BE"/>
    <w:rsid w:val="00B0562E"/>
    <w:rsid w:val="00B05D0E"/>
    <w:rsid w:val="00B11A9D"/>
    <w:rsid w:val="00B122E9"/>
    <w:rsid w:val="00B15CB6"/>
    <w:rsid w:val="00B16830"/>
    <w:rsid w:val="00B206BB"/>
    <w:rsid w:val="00B21681"/>
    <w:rsid w:val="00B2395D"/>
    <w:rsid w:val="00B23B2E"/>
    <w:rsid w:val="00B3122C"/>
    <w:rsid w:val="00B32A92"/>
    <w:rsid w:val="00B34438"/>
    <w:rsid w:val="00B37DFA"/>
    <w:rsid w:val="00B41FBA"/>
    <w:rsid w:val="00B4455A"/>
    <w:rsid w:val="00B472AA"/>
    <w:rsid w:val="00B51584"/>
    <w:rsid w:val="00B5271E"/>
    <w:rsid w:val="00B56106"/>
    <w:rsid w:val="00B60A3D"/>
    <w:rsid w:val="00B61794"/>
    <w:rsid w:val="00B61E1F"/>
    <w:rsid w:val="00B65419"/>
    <w:rsid w:val="00B6691E"/>
    <w:rsid w:val="00B7076A"/>
    <w:rsid w:val="00B77EDC"/>
    <w:rsid w:val="00B824A9"/>
    <w:rsid w:val="00B873E6"/>
    <w:rsid w:val="00B901AE"/>
    <w:rsid w:val="00B919A8"/>
    <w:rsid w:val="00B94033"/>
    <w:rsid w:val="00B94F1D"/>
    <w:rsid w:val="00B9564B"/>
    <w:rsid w:val="00B96D23"/>
    <w:rsid w:val="00B97647"/>
    <w:rsid w:val="00B9785A"/>
    <w:rsid w:val="00BA0DC5"/>
    <w:rsid w:val="00BA3FE7"/>
    <w:rsid w:val="00BB01EE"/>
    <w:rsid w:val="00BB2511"/>
    <w:rsid w:val="00BB2C0E"/>
    <w:rsid w:val="00BB2F19"/>
    <w:rsid w:val="00BB3E0A"/>
    <w:rsid w:val="00BB46A0"/>
    <w:rsid w:val="00BB4B9A"/>
    <w:rsid w:val="00BB63E5"/>
    <w:rsid w:val="00BB7A63"/>
    <w:rsid w:val="00BC1C8A"/>
    <w:rsid w:val="00BC5F2A"/>
    <w:rsid w:val="00BC7E75"/>
    <w:rsid w:val="00BD3764"/>
    <w:rsid w:val="00BD4911"/>
    <w:rsid w:val="00BE041B"/>
    <w:rsid w:val="00BE2D5B"/>
    <w:rsid w:val="00BE5842"/>
    <w:rsid w:val="00BE59F7"/>
    <w:rsid w:val="00BE6F09"/>
    <w:rsid w:val="00BF0209"/>
    <w:rsid w:val="00BF09EF"/>
    <w:rsid w:val="00BF319C"/>
    <w:rsid w:val="00BF465D"/>
    <w:rsid w:val="00BF67C8"/>
    <w:rsid w:val="00BF7D95"/>
    <w:rsid w:val="00C03629"/>
    <w:rsid w:val="00C03AB4"/>
    <w:rsid w:val="00C04AB2"/>
    <w:rsid w:val="00C051A9"/>
    <w:rsid w:val="00C13650"/>
    <w:rsid w:val="00C1565D"/>
    <w:rsid w:val="00C17A51"/>
    <w:rsid w:val="00C17D2A"/>
    <w:rsid w:val="00C2307B"/>
    <w:rsid w:val="00C24B95"/>
    <w:rsid w:val="00C25A85"/>
    <w:rsid w:val="00C31798"/>
    <w:rsid w:val="00C32732"/>
    <w:rsid w:val="00C33058"/>
    <w:rsid w:val="00C342CA"/>
    <w:rsid w:val="00C34DCB"/>
    <w:rsid w:val="00C368D4"/>
    <w:rsid w:val="00C36DFB"/>
    <w:rsid w:val="00C40E14"/>
    <w:rsid w:val="00C41F37"/>
    <w:rsid w:val="00C45B15"/>
    <w:rsid w:val="00C47F31"/>
    <w:rsid w:val="00C50D0B"/>
    <w:rsid w:val="00C562B3"/>
    <w:rsid w:val="00C603A8"/>
    <w:rsid w:val="00C608D3"/>
    <w:rsid w:val="00C60EB0"/>
    <w:rsid w:val="00C65143"/>
    <w:rsid w:val="00C72E46"/>
    <w:rsid w:val="00C734C8"/>
    <w:rsid w:val="00C74305"/>
    <w:rsid w:val="00C75476"/>
    <w:rsid w:val="00C853EE"/>
    <w:rsid w:val="00C85AD0"/>
    <w:rsid w:val="00C91AFE"/>
    <w:rsid w:val="00C9447B"/>
    <w:rsid w:val="00C94A02"/>
    <w:rsid w:val="00C95E88"/>
    <w:rsid w:val="00C95FA5"/>
    <w:rsid w:val="00CA0E4F"/>
    <w:rsid w:val="00CA1F35"/>
    <w:rsid w:val="00CA2A05"/>
    <w:rsid w:val="00CA3679"/>
    <w:rsid w:val="00CA3748"/>
    <w:rsid w:val="00CA454D"/>
    <w:rsid w:val="00CA58A6"/>
    <w:rsid w:val="00CA75E7"/>
    <w:rsid w:val="00CA7971"/>
    <w:rsid w:val="00CB558D"/>
    <w:rsid w:val="00CB5BF2"/>
    <w:rsid w:val="00CC7BDE"/>
    <w:rsid w:val="00CD1B08"/>
    <w:rsid w:val="00CD5197"/>
    <w:rsid w:val="00CD7468"/>
    <w:rsid w:val="00CE051F"/>
    <w:rsid w:val="00CE458B"/>
    <w:rsid w:val="00CE4750"/>
    <w:rsid w:val="00CE5AA8"/>
    <w:rsid w:val="00CE5ECC"/>
    <w:rsid w:val="00CE68BD"/>
    <w:rsid w:val="00CF09B0"/>
    <w:rsid w:val="00CF3941"/>
    <w:rsid w:val="00CF4EE8"/>
    <w:rsid w:val="00D01136"/>
    <w:rsid w:val="00D01B45"/>
    <w:rsid w:val="00D04F30"/>
    <w:rsid w:val="00D0655F"/>
    <w:rsid w:val="00D07BD0"/>
    <w:rsid w:val="00D10F78"/>
    <w:rsid w:val="00D12D49"/>
    <w:rsid w:val="00D13EDC"/>
    <w:rsid w:val="00D16A3E"/>
    <w:rsid w:val="00D2057E"/>
    <w:rsid w:val="00D2288B"/>
    <w:rsid w:val="00D25B57"/>
    <w:rsid w:val="00D30CA5"/>
    <w:rsid w:val="00D33A51"/>
    <w:rsid w:val="00D34076"/>
    <w:rsid w:val="00D34128"/>
    <w:rsid w:val="00D3441B"/>
    <w:rsid w:val="00D428E5"/>
    <w:rsid w:val="00D45AFD"/>
    <w:rsid w:val="00D4725E"/>
    <w:rsid w:val="00D50838"/>
    <w:rsid w:val="00D53011"/>
    <w:rsid w:val="00D53D04"/>
    <w:rsid w:val="00D549F7"/>
    <w:rsid w:val="00D56A20"/>
    <w:rsid w:val="00D5768B"/>
    <w:rsid w:val="00D6474C"/>
    <w:rsid w:val="00D705AE"/>
    <w:rsid w:val="00D7198D"/>
    <w:rsid w:val="00D71E6A"/>
    <w:rsid w:val="00D72C4A"/>
    <w:rsid w:val="00D756CF"/>
    <w:rsid w:val="00D8024D"/>
    <w:rsid w:val="00D81884"/>
    <w:rsid w:val="00D82F10"/>
    <w:rsid w:val="00D83A68"/>
    <w:rsid w:val="00D84DEF"/>
    <w:rsid w:val="00D85923"/>
    <w:rsid w:val="00D86189"/>
    <w:rsid w:val="00D87720"/>
    <w:rsid w:val="00D87A2F"/>
    <w:rsid w:val="00D93216"/>
    <w:rsid w:val="00D953A5"/>
    <w:rsid w:val="00DA0C67"/>
    <w:rsid w:val="00DA40F5"/>
    <w:rsid w:val="00DA4A54"/>
    <w:rsid w:val="00DA6023"/>
    <w:rsid w:val="00DA6DCC"/>
    <w:rsid w:val="00DB16E0"/>
    <w:rsid w:val="00DB4D26"/>
    <w:rsid w:val="00DB7B38"/>
    <w:rsid w:val="00DC1BFC"/>
    <w:rsid w:val="00DC264D"/>
    <w:rsid w:val="00DC56D8"/>
    <w:rsid w:val="00DC59E5"/>
    <w:rsid w:val="00DC5C7E"/>
    <w:rsid w:val="00DC6196"/>
    <w:rsid w:val="00DD2883"/>
    <w:rsid w:val="00DD4B29"/>
    <w:rsid w:val="00DD605D"/>
    <w:rsid w:val="00DE14F2"/>
    <w:rsid w:val="00DE2F17"/>
    <w:rsid w:val="00DE3232"/>
    <w:rsid w:val="00DE4ABF"/>
    <w:rsid w:val="00DF1270"/>
    <w:rsid w:val="00DF15C8"/>
    <w:rsid w:val="00DF4B68"/>
    <w:rsid w:val="00DF67D9"/>
    <w:rsid w:val="00DF7612"/>
    <w:rsid w:val="00DF7853"/>
    <w:rsid w:val="00E0034B"/>
    <w:rsid w:val="00E0312F"/>
    <w:rsid w:val="00E1117C"/>
    <w:rsid w:val="00E125C1"/>
    <w:rsid w:val="00E13131"/>
    <w:rsid w:val="00E14621"/>
    <w:rsid w:val="00E152BC"/>
    <w:rsid w:val="00E157B3"/>
    <w:rsid w:val="00E17A4F"/>
    <w:rsid w:val="00E2046A"/>
    <w:rsid w:val="00E20553"/>
    <w:rsid w:val="00E20A72"/>
    <w:rsid w:val="00E230FD"/>
    <w:rsid w:val="00E2353A"/>
    <w:rsid w:val="00E27BB5"/>
    <w:rsid w:val="00E34E43"/>
    <w:rsid w:val="00E405B5"/>
    <w:rsid w:val="00E44AB6"/>
    <w:rsid w:val="00E455BA"/>
    <w:rsid w:val="00E50BF3"/>
    <w:rsid w:val="00E51E40"/>
    <w:rsid w:val="00E53824"/>
    <w:rsid w:val="00E557DF"/>
    <w:rsid w:val="00E55CD5"/>
    <w:rsid w:val="00E565E4"/>
    <w:rsid w:val="00E60027"/>
    <w:rsid w:val="00E61FA7"/>
    <w:rsid w:val="00E64EF8"/>
    <w:rsid w:val="00E70361"/>
    <w:rsid w:val="00E73D38"/>
    <w:rsid w:val="00E749E7"/>
    <w:rsid w:val="00E75437"/>
    <w:rsid w:val="00E7654F"/>
    <w:rsid w:val="00E82ABE"/>
    <w:rsid w:val="00E85F94"/>
    <w:rsid w:val="00E869D4"/>
    <w:rsid w:val="00E93A82"/>
    <w:rsid w:val="00E94474"/>
    <w:rsid w:val="00E94C78"/>
    <w:rsid w:val="00E95084"/>
    <w:rsid w:val="00E97EE0"/>
    <w:rsid w:val="00EA4E1F"/>
    <w:rsid w:val="00EA5050"/>
    <w:rsid w:val="00EB0AF4"/>
    <w:rsid w:val="00EB0EBE"/>
    <w:rsid w:val="00EB5529"/>
    <w:rsid w:val="00EB5DD0"/>
    <w:rsid w:val="00EB7CD4"/>
    <w:rsid w:val="00EC5313"/>
    <w:rsid w:val="00EC6E6B"/>
    <w:rsid w:val="00EC7545"/>
    <w:rsid w:val="00EC77B0"/>
    <w:rsid w:val="00EC7F94"/>
    <w:rsid w:val="00ED089B"/>
    <w:rsid w:val="00ED300F"/>
    <w:rsid w:val="00ED358A"/>
    <w:rsid w:val="00ED45EC"/>
    <w:rsid w:val="00EE055D"/>
    <w:rsid w:val="00EE0AF9"/>
    <w:rsid w:val="00EE4616"/>
    <w:rsid w:val="00EE64A4"/>
    <w:rsid w:val="00EE64F2"/>
    <w:rsid w:val="00EF6F42"/>
    <w:rsid w:val="00F005A1"/>
    <w:rsid w:val="00F01E19"/>
    <w:rsid w:val="00F1302D"/>
    <w:rsid w:val="00F132C1"/>
    <w:rsid w:val="00F15767"/>
    <w:rsid w:val="00F1745C"/>
    <w:rsid w:val="00F21B39"/>
    <w:rsid w:val="00F21D63"/>
    <w:rsid w:val="00F22DA9"/>
    <w:rsid w:val="00F24886"/>
    <w:rsid w:val="00F25AE5"/>
    <w:rsid w:val="00F25B35"/>
    <w:rsid w:val="00F25F9E"/>
    <w:rsid w:val="00F27255"/>
    <w:rsid w:val="00F333C6"/>
    <w:rsid w:val="00F35FC5"/>
    <w:rsid w:val="00F40795"/>
    <w:rsid w:val="00F40EE6"/>
    <w:rsid w:val="00F432FC"/>
    <w:rsid w:val="00F43D01"/>
    <w:rsid w:val="00F445DD"/>
    <w:rsid w:val="00F45AA5"/>
    <w:rsid w:val="00F47490"/>
    <w:rsid w:val="00F50525"/>
    <w:rsid w:val="00F50D35"/>
    <w:rsid w:val="00F5106E"/>
    <w:rsid w:val="00F54E3A"/>
    <w:rsid w:val="00F55632"/>
    <w:rsid w:val="00F56243"/>
    <w:rsid w:val="00F62CC2"/>
    <w:rsid w:val="00F63CB8"/>
    <w:rsid w:val="00F6503B"/>
    <w:rsid w:val="00F65984"/>
    <w:rsid w:val="00F65AED"/>
    <w:rsid w:val="00F66BEB"/>
    <w:rsid w:val="00F708F3"/>
    <w:rsid w:val="00F71540"/>
    <w:rsid w:val="00F73E16"/>
    <w:rsid w:val="00F74263"/>
    <w:rsid w:val="00F746F1"/>
    <w:rsid w:val="00F7541D"/>
    <w:rsid w:val="00F76DC7"/>
    <w:rsid w:val="00F77A42"/>
    <w:rsid w:val="00F834CE"/>
    <w:rsid w:val="00F91649"/>
    <w:rsid w:val="00F916DE"/>
    <w:rsid w:val="00F9256F"/>
    <w:rsid w:val="00F92AFF"/>
    <w:rsid w:val="00F949C9"/>
    <w:rsid w:val="00F95A9A"/>
    <w:rsid w:val="00FA0DF9"/>
    <w:rsid w:val="00FA4460"/>
    <w:rsid w:val="00FA4C67"/>
    <w:rsid w:val="00FB1E9D"/>
    <w:rsid w:val="00FB262E"/>
    <w:rsid w:val="00FB27DD"/>
    <w:rsid w:val="00FB2EE6"/>
    <w:rsid w:val="00FB3CA5"/>
    <w:rsid w:val="00FB692A"/>
    <w:rsid w:val="00FC0229"/>
    <w:rsid w:val="00FC1C2F"/>
    <w:rsid w:val="00FC2224"/>
    <w:rsid w:val="00FC502A"/>
    <w:rsid w:val="00FC572F"/>
    <w:rsid w:val="00FC598C"/>
    <w:rsid w:val="00FC621C"/>
    <w:rsid w:val="00FC6DEA"/>
    <w:rsid w:val="00FD0CCE"/>
    <w:rsid w:val="00FD38CE"/>
    <w:rsid w:val="00FD4325"/>
    <w:rsid w:val="00FD4739"/>
    <w:rsid w:val="00FD5565"/>
    <w:rsid w:val="00FE1ED3"/>
    <w:rsid w:val="00FE5CAF"/>
    <w:rsid w:val="00FE6956"/>
    <w:rsid w:val="00FF4093"/>
    <w:rsid w:val="01A21C2E"/>
    <w:rsid w:val="04D70743"/>
    <w:rsid w:val="05897579"/>
    <w:rsid w:val="05CA1832"/>
    <w:rsid w:val="0D111F2C"/>
    <w:rsid w:val="17255166"/>
    <w:rsid w:val="1B2F0470"/>
    <w:rsid w:val="1E203CFD"/>
    <w:rsid w:val="245A7B3F"/>
    <w:rsid w:val="2613329D"/>
    <w:rsid w:val="28A06351"/>
    <w:rsid w:val="2A104C54"/>
    <w:rsid w:val="320529A8"/>
    <w:rsid w:val="327A2FC9"/>
    <w:rsid w:val="36F85FD5"/>
    <w:rsid w:val="3BD82168"/>
    <w:rsid w:val="44E11673"/>
    <w:rsid w:val="462A28D9"/>
    <w:rsid w:val="4C08237B"/>
    <w:rsid w:val="4D3C3342"/>
    <w:rsid w:val="4D4663F3"/>
    <w:rsid w:val="4F1A0ECA"/>
    <w:rsid w:val="503E1512"/>
    <w:rsid w:val="503E6DAF"/>
    <w:rsid w:val="55533E8F"/>
    <w:rsid w:val="581B6E0A"/>
    <w:rsid w:val="5D0528A7"/>
    <w:rsid w:val="5DDF4804"/>
    <w:rsid w:val="65E73ED0"/>
    <w:rsid w:val="669A6DE0"/>
    <w:rsid w:val="75B34899"/>
    <w:rsid w:val="781076A6"/>
    <w:rsid w:val="78963409"/>
    <w:rsid w:val="790E7EFD"/>
    <w:rsid w:val="7AE6427F"/>
    <w:rsid w:val="7B7E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eastAsia="楷体_GB2312" w:cstheme="majorBidi"/>
      <w:b/>
      <w:bCs/>
      <w:szCs w:val="32"/>
    </w:rPr>
  </w:style>
  <w:style w:type="paragraph" w:styleId="5">
    <w:name w:val="heading 3"/>
    <w:basedOn w:val="1"/>
    <w:next w:val="1"/>
    <w:link w:val="32"/>
    <w:unhideWhenUsed/>
    <w:qFormat/>
    <w:uiPriority w:val="9"/>
    <w:pPr>
      <w:keepNext/>
      <w:keepLines/>
      <w:spacing w:before="260" w:after="260" w:line="416" w:lineRule="auto"/>
      <w:outlineLvl w:val="2"/>
    </w:pPr>
    <w:rPr>
      <w:rFonts w:asciiTheme="minorHAnsi" w:hAnsiTheme="minorHAnsi" w:eastAsiaTheme="minorEastAsia" w:cstheme="minorBidi"/>
      <w:b/>
      <w:bCs/>
      <w:szCs w:val="32"/>
    </w:rPr>
  </w:style>
  <w:style w:type="paragraph" w:styleId="6">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link w:val="34"/>
    <w:unhideWhenUsed/>
    <w:qFormat/>
    <w:uiPriority w:val="99"/>
    <w:pPr>
      <w:spacing w:after="120"/>
    </w:pPr>
  </w:style>
  <w:style w:type="paragraph" w:styleId="7">
    <w:name w:val="annotation text"/>
    <w:basedOn w:val="1"/>
    <w:link w:val="41"/>
    <w:semiHidden/>
    <w:unhideWhenUsed/>
    <w:qFormat/>
    <w:uiPriority w:val="99"/>
    <w:pPr>
      <w:jc w:val="left"/>
    </w:pPr>
  </w:style>
  <w:style w:type="paragraph" w:styleId="8">
    <w:name w:val="Body Text Indent"/>
    <w:basedOn w:val="1"/>
    <w:link w:val="50"/>
    <w:semiHidden/>
    <w:unhideWhenUsed/>
    <w:qFormat/>
    <w:uiPriority w:val="99"/>
    <w:pPr>
      <w:spacing w:after="120"/>
      <w:ind w:left="420" w:leftChars="200"/>
    </w:pPr>
  </w:style>
  <w:style w:type="paragraph" w:styleId="9">
    <w:name w:val="toc 3"/>
    <w:basedOn w:val="1"/>
    <w:next w:val="1"/>
    <w:unhideWhenUsed/>
    <w:qFormat/>
    <w:uiPriority w:val="39"/>
    <w:pPr>
      <w:widowControl/>
      <w:spacing w:after="100" w:line="259" w:lineRule="auto"/>
      <w:ind w:left="440" w:firstLine="0" w:firstLineChars="0"/>
      <w:jc w:val="left"/>
    </w:pPr>
    <w:rPr>
      <w:rFonts w:asciiTheme="minorHAnsi" w:hAnsiTheme="minorHAnsi" w:eastAsiaTheme="minorEastAsia"/>
      <w:kern w:val="0"/>
      <w:sz w:val="22"/>
      <w:szCs w:val="22"/>
    </w:rPr>
  </w:style>
  <w:style w:type="paragraph" w:styleId="10">
    <w:name w:val="Body Text Indent 2"/>
    <w:basedOn w:val="1"/>
    <w:link w:val="53"/>
    <w:semiHidden/>
    <w:unhideWhenUsed/>
    <w:qFormat/>
    <w:uiPriority w:val="99"/>
    <w:pPr>
      <w:spacing w:after="120" w:line="480" w:lineRule="auto"/>
      <w:ind w:left="420" w:leftChars="200"/>
    </w:pPr>
  </w:style>
  <w:style w:type="paragraph" w:styleId="11">
    <w:name w:val="endnote text"/>
    <w:basedOn w:val="1"/>
    <w:link w:val="55"/>
    <w:semiHidden/>
    <w:unhideWhenUsed/>
    <w:qFormat/>
    <w:uiPriority w:val="99"/>
    <w:pPr>
      <w:snapToGrid w:val="0"/>
      <w:jc w:val="left"/>
    </w:pPr>
  </w:style>
  <w:style w:type="paragraph" w:styleId="12">
    <w:name w:val="Balloon Text"/>
    <w:basedOn w:val="1"/>
    <w:link w:val="35"/>
    <w:semiHidden/>
    <w:unhideWhenUsed/>
    <w:qFormat/>
    <w:uiPriority w:val="99"/>
    <w:rPr>
      <w:sz w:val="18"/>
      <w:szCs w:val="18"/>
    </w:rPr>
  </w:style>
  <w:style w:type="paragraph" w:styleId="13">
    <w:name w:val="footer"/>
    <w:basedOn w:val="1"/>
    <w:link w:val="36"/>
    <w:unhideWhenUsed/>
    <w:qFormat/>
    <w:uiPriority w:val="99"/>
    <w:pPr>
      <w:tabs>
        <w:tab w:val="center" w:pos="4153"/>
        <w:tab w:val="right" w:pos="8306"/>
      </w:tabs>
      <w:snapToGrid w:val="0"/>
      <w:jc w:val="left"/>
    </w:pPr>
    <w:rPr>
      <w:sz w:val="18"/>
      <w:szCs w:val="18"/>
    </w:rPr>
  </w:style>
  <w:style w:type="paragraph" w:styleId="1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tabs>
        <w:tab w:val="right" w:leader="dot" w:pos="8296"/>
      </w:tabs>
      <w:spacing w:after="100" w:line="259" w:lineRule="auto"/>
      <w:ind w:firstLine="0" w:firstLineChars="0"/>
      <w:jc w:val="left"/>
    </w:pPr>
    <w:rPr>
      <w:rFonts w:eastAsia="黑体"/>
      <w:bCs/>
      <w:color w:val="000000" w:themeColor="text1"/>
      <w:kern w:val="44"/>
      <w:sz w:val="30"/>
      <w:szCs w:val="30"/>
      <w14:textFill>
        <w14:solidFill>
          <w14:schemeClr w14:val="tx1"/>
        </w14:solidFill>
      </w14:textFill>
    </w:rPr>
  </w:style>
  <w:style w:type="paragraph" w:styleId="16">
    <w:name w:val="footnote text"/>
    <w:basedOn w:val="1"/>
    <w:link w:val="54"/>
    <w:semiHidden/>
    <w:unhideWhenUsed/>
    <w:qFormat/>
    <w:uiPriority w:val="99"/>
    <w:pPr>
      <w:snapToGrid w:val="0"/>
      <w:jc w:val="left"/>
    </w:pPr>
    <w:rPr>
      <w:sz w:val="18"/>
      <w:szCs w:val="18"/>
    </w:rPr>
  </w:style>
  <w:style w:type="paragraph" w:styleId="17">
    <w:name w:val="toc 2"/>
    <w:basedOn w:val="1"/>
    <w:next w:val="1"/>
    <w:unhideWhenUsed/>
    <w:qFormat/>
    <w:uiPriority w:val="39"/>
    <w:pPr>
      <w:widowControl/>
      <w:spacing w:after="100" w:line="259" w:lineRule="auto"/>
      <w:ind w:left="220" w:firstLine="0" w:firstLineChars="0"/>
      <w:jc w:val="left"/>
    </w:pPr>
    <w:rPr>
      <w:rFonts w:asciiTheme="minorHAnsi" w:hAnsiTheme="minorHAnsi" w:eastAsiaTheme="minorEastAsia"/>
      <w:kern w:val="0"/>
      <w:sz w:val="22"/>
      <w:szCs w:val="22"/>
    </w:rPr>
  </w:style>
  <w:style w:type="paragraph" w:styleId="1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styleId="19">
    <w:name w:val="annotation subject"/>
    <w:basedOn w:val="7"/>
    <w:next w:val="7"/>
    <w:link w:val="42"/>
    <w:semiHidden/>
    <w:unhideWhenUsed/>
    <w:qFormat/>
    <w:uiPriority w:val="99"/>
    <w:rPr>
      <w:b/>
      <w:bCs/>
    </w:rPr>
  </w:style>
  <w:style w:type="paragraph" w:styleId="20">
    <w:name w:val="Body Text First Indent 2"/>
    <w:basedOn w:val="8"/>
    <w:link w:val="51"/>
    <w:semiHidden/>
    <w:unhideWhenUsed/>
    <w:qFormat/>
    <w:uiPriority w:val="99"/>
    <w:pPr>
      <w:ind w:firstLine="420"/>
    </w:pPr>
  </w:style>
  <w:style w:type="table" w:styleId="22">
    <w:name w:val="Table Grid"/>
    <w:basedOn w:val="21"/>
    <w:qFormat/>
    <w:uiPriority w:val="39"/>
    <w:rPr>
      <w:rFonts w:ascii="Times New Roman" w:hAnsi="Times New Roman" w:eastAsia="方正仿宋简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endnote reference"/>
    <w:basedOn w:val="23"/>
    <w:semiHidden/>
    <w:unhideWhenUsed/>
    <w:qFormat/>
    <w:uiPriority w:val="99"/>
    <w:rPr>
      <w:vertAlign w:val="superscript"/>
    </w:rPr>
  </w:style>
  <w:style w:type="character" w:styleId="26">
    <w:name w:val="Emphasis"/>
    <w:basedOn w:val="23"/>
    <w:qFormat/>
    <w:uiPriority w:val="20"/>
    <w:rPr>
      <w:i/>
      <w:iCs/>
    </w:rPr>
  </w:style>
  <w:style w:type="character" w:styleId="27">
    <w:name w:val="Hyperlink"/>
    <w:basedOn w:val="23"/>
    <w:unhideWhenUsed/>
    <w:qFormat/>
    <w:uiPriority w:val="99"/>
    <w:rPr>
      <w:color w:val="0563C1" w:themeColor="hyperlink"/>
      <w:u w:val="single"/>
      <w14:textFill>
        <w14:solidFill>
          <w14:schemeClr w14:val="hlink"/>
        </w14:solidFill>
      </w14:textFill>
    </w:rPr>
  </w:style>
  <w:style w:type="character" w:styleId="28">
    <w:name w:val="annotation reference"/>
    <w:basedOn w:val="23"/>
    <w:semiHidden/>
    <w:unhideWhenUsed/>
    <w:qFormat/>
    <w:uiPriority w:val="99"/>
    <w:rPr>
      <w:sz w:val="21"/>
      <w:szCs w:val="21"/>
    </w:rPr>
  </w:style>
  <w:style w:type="character" w:styleId="29">
    <w:name w:val="footnote reference"/>
    <w:basedOn w:val="23"/>
    <w:semiHidden/>
    <w:unhideWhenUsed/>
    <w:qFormat/>
    <w:uiPriority w:val="99"/>
    <w:rPr>
      <w:vertAlign w:val="superscript"/>
    </w:rPr>
  </w:style>
  <w:style w:type="character" w:customStyle="1" w:styleId="30">
    <w:name w:val="标题 1 字符"/>
    <w:basedOn w:val="23"/>
    <w:link w:val="3"/>
    <w:qFormat/>
    <w:uiPriority w:val="9"/>
    <w:rPr>
      <w:rFonts w:ascii="Times New Roman" w:hAnsi="Times New Roman" w:eastAsia="仿宋_GB2312" w:cs="Times New Roman"/>
      <w:b/>
      <w:bCs/>
      <w:kern w:val="44"/>
      <w:sz w:val="44"/>
      <w:szCs w:val="44"/>
    </w:rPr>
  </w:style>
  <w:style w:type="character" w:customStyle="1" w:styleId="31">
    <w:name w:val="标题 2 字符"/>
    <w:basedOn w:val="23"/>
    <w:link w:val="4"/>
    <w:qFormat/>
    <w:uiPriority w:val="9"/>
    <w:rPr>
      <w:rFonts w:ascii="Times New Roman" w:hAnsi="Times New Roman" w:eastAsia="楷体_GB2312" w:cstheme="majorBidi"/>
      <w:b/>
      <w:bCs/>
      <w:sz w:val="32"/>
      <w:szCs w:val="32"/>
    </w:rPr>
  </w:style>
  <w:style w:type="character" w:customStyle="1" w:styleId="32">
    <w:name w:val="标题 3 字符"/>
    <w:basedOn w:val="23"/>
    <w:link w:val="5"/>
    <w:qFormat/>
    <w:uiPriority w:val="9"/>
    <w:rPr>
      <w:b/>
      <w:bCs/>
      <w:sz w:val="32"/>
      <w:szCs w:val="32"/>
    </w:rPr>
  </w:style>
  <w:style w:type="character" w:customStyle="1" w:styleId="33">
    <w:name w:val="标题 4 字符"/>
    <w:basedOn w:val="23"/>
    <w:link w:val="6"/>
    <w:qFormat/>
    <w:uiPriority w:val="9"/>
    <w:rPr>
      <w:rFonts w:asciiTheme="majorHAnsi" w:hAnsiTheme="majorHAnsi" w:eastAsiaTheme="majorEastAsia" w:cstheme="majorBidi"/>
      <w:b/>
      <w:bCs/>
      <w:sz w:val="28"/>
      <w:szCs w:val="28"/>
    </w:rPr>
  </w:style>
  <w:style w:type="character" w:customStyle="1" w:styleId="34">
    <w:name w:val="正文文本 字符"/>
    <w:basedOn w:val="23"/>
    <w:link w:val="2"/>
    <w:qFormat/>
    <w:uiPriority w:val="99"/>
    <w:rPr>
      <w:rFonts w:ascii="Times New Roman" w:hAnsi="Times New Roman" w:eastAsia="仿宋_GB2312" w:cs="Times New Roman"/>
      <w:sz w:val="32"/>
      <w:szCs w:val="24"/>
    </w:rPr>
  </w:style>
  <w:style w:type="character" w:customStyle="1" w:styleId="35">
    <w:name w:val="批注框文本 字符"/>
    <w:basedOn w:val="23"/>
    <w:link w:val="12"/>
    <w:semiHidden/>
    <w:qFormat/>
    <w:uiPriority w:val="99"/>
    <w:rPr>
      <w:rFonts w:ascii="Times New Roman" w:hAnsi="Times New Roman" w:eastAsia="仿宋_GB2312" w:cs="Times New Roman"/>
      <w:sz w:val="18"/>
      <w:szCs w:val="18"/>
    </w:rPr>
  </w:style>
  <w:style w:type="character" w:customStyle="1" w:styleId="36">
    <w:name w:val="页脚 字符"/>
    <w:basedOn w:val="23"/>
    <w:link w:val="13"/>
    <w:qFormat/>
    <w:uiPriority w:val="99"/>
    <w:rPr>
      <w:rFonts w:ascii="Times New Roman" w:hAnsi="Times New Roman" w:eastAsia="仿宋_GB2312" w:cs="Times New Roman"/>
      <w:sz w:val="18"/>
      <w:szCs w:val="18"/>
    </w:rPr>
  </w:style>
  <w:style w:type="character" w:customStyle="1" w:styleId="37">
    <w:name w:val="页眉 字符"/>
    <w:basedOn w:val="23"/>
    <w:link w:val="14"/>
    <w:qFormat/>
    <w:uiPriority w:val="99"/>
    <w:rPr>
      <w:rFonts w:ascii="Times New Roman" w:hAnsi="Times New Roman" w:eastAsia="仿宋_GB2312" w:cs="Times New Roman"/>
      <w:sz w:val="18"/>
      <w:szCs w:val="18"/>
    </w:rPr>
  </w:style>
  <w:style w:type="paragraph" w:styleId="38">
    <w:name w:val="List Paragraph"/>
    <w:basedOn w:val="1"/>
    <w:qFormat/>
    <w:uiPriority w:val="34"/>
    <w:pPr>
      <w:ind w:firstLine="420"/>
    </w:pPr>
  </w:style>
  <w:style w:type="paragraph" w:styleId="39">
    <w:name w:val="No Spacing"/>
    <w:qFormat/>
    <w:uiPriority w:val="1"/>
    <w:pPr>
      <w:widowControl w:val="0"/>
      <w:jc w:val="both"/>
    </w:pPr>
    <w:rPr>
      <w:rFonts w:ascii="Times New Roman" w:hAnsi="Times New Roman" w:eastAsia="黑体" w:cs="Times New Roman"/>
      <w:kern w:val="2"/>
      <w:sz w:val="21"/>
      <w:szCs w:val="24"/>
      <w:lang w:val="en-US" w:eastAsia="zh-CN" w:bidi="ar-SA"/>
    </w:rPr>
  </w:style>
  <w:style w:type="paragraph" w:customStyle="1" w:styleId="40">
    <w:name w:val="修订1"/>
    <w:hidden/>
    <w:semiHidden/>
    <w:qFormat/>
    <w:uiPriority w:val="99"/>
    <w:rPr>
      <w:rFonts w:ascii="Times New Roman" w:hAnsi="Times New Roman" w:eastAsia="仿宋_GB2312" w:cs="Times New Roman"/>
      <w:kern w:val="2"/>
      <w:sz w:val="32"/>
      <w:szCs w:val="24"/>
      <w:lang w:val="en-US" w:eastAsia="zh-CN" w:bidi="ar-SA"/>
    </w:rPr>
  </w:style>
  <w:style w:type="character" w:customStyle="1" w:styleId="41">
    <w:name w:val="批注文字 字符"/>
    <w:basedOn w:val="23"/>
    <w:link w:val="7"/>
    <w:semiHidden/>
    <w:qFormat/>
    <w:uiPriority w:val="99"/>
    <w:rPr>
      <w:rFonts w:ascii="Times New Roman" w:hAnsi="Times New Roman" w:eastAsia="仿宋_GB2312" w:cs="Times New Roman"/>
      <w:sz w:val="32"/>
      <w:szCs w:val="24"/>
    </w:rPr>
  </w:style>
  <w:style w:type="character" w:customStyle="1" w:styleId="42">
    <w:name w:val="批注主题 字符"/>
    <w:basedOn w:val="41"/>
    <w:link w:val="19"/>
    <w:semiHidden/>
    <w:qFormat/>
    <w:uiPriority w:val="99"/>
    <w:rPr>
      <w:rFonts w:ascii="Times New Roman" w:hAnsi="Times New Roman" w:eastAsia="仿宋_GB2312" w:cs="Times New Roman"/>
      <w:b/>
      <w:bCs/>
      <w:sz w:val="32"/>
      <w:szCs w:val="24"/>
    </w:rPr>
  </w:style>
  <w:style w:type="paragraph" w:customStyle="1" w:styleId="43">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4">
    <w:name w:val="font81"/>
    <w:basedOn w:val="23"/>
    <w:qFormat/>
    <w:uiPriority w:val="0"/>
    <w:rPr>
      <w:rFonts w:ascii="方正仿宋_GBK" w:hAnsi="方正仿宋_GBK" w:eastAsia="方正仿宋_GBK" w:cs="方正仿宋_GBK"/>
      <w:b/>
      <w:color w:val="000000"/>
      <w:sz w:val="20"/>
      <w:szCs w:val="20"/>
      <w:u w:val="none"/>
    </w:rPr>
  </w:style>
  <w:style w:type="table" w:customStyle="1" w:styleId="45">
    <w:name w:val="网格型1"/>
    <w:basedOn w:val="21"/>
    <w:qFormat/>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GW-正文 Char"/>
    <w:link w:val="47"/>
    <w:qFormat/>
    <w:uiPriority w:val="0"/>
    <w:rPr>
      <w:rFonts w:eastAsia="仿宋_GB2312"/>
      <w:sz w:val="24"/>
      <w:szCs w:val="24"/>
    </w:rPr>
  </w:style>
  <w:style w:type="paragraph" w:customStyle="1" w:styleId="47">
    <w:name w:val="GW-正文"/>
    <w:basedOn w:val="1"/>
    <w:link w:val="46"/>
    <w:qFormat/>
    <w:uiPriority w:val="0"/>
    <w:rPr>
      <w:rFonts w:asciiTheme="minorHAnsi" w:hAnsiTheme="minorHAnsi" w:cstheme="minorBidi"/>
      <w:sz w:val="24"/>
    </w:rPr>
  </w:style>
  <w:style w:type="paragraph" w:customStyle="1" w:styleId="48">
    <w:name w:val="Default"/>
    <w:qFormat/>
    <w:uiPriority w:val="0"/>
    <w:pPr>
      <w:widowControl w:val="0"/>
      <w:autoSpaceDE w:val="0"/>
      <w:autoSpaceDN w:val="0"/>
      <w:adjustRightInd w:val="0"/>
    </w:pPr>
    <w:rPr>
      <w:rFonts w:ascii="微软雅黑" w:hAnsi="等线" w:eastAsia="微软雅黑" w:cs="微软雅黑"/>
      <w:color w:val="000000"/>
      <w:sz w:val="24"/>
      <w:szCs w:val="24"/>
      <w:lang w:val="en-US" w:eastAsia="zh-CN" w:bidi="ar-SA"/>
    </w:rPr>
  </w:style>
  <w:style w:type="paragraph" w:customStyle="1" w:styleId="49">
    <w:name w:val="p0"/>
    <w:basedOn w:val="1"/>
    <w:qFormat/>
    <w:uiPriority w:val="0"/>
    <w:pPr>
      <w:widowControl/>
      <w:spacing w:line="240" w:lineRule="auto"/>
      <w:ind w:firstLine="0" w:firstLineChars="0"/>
    </w:pPr>
    <w:rPr>
      <w:rFonts w:eastAsia="宋体"/>
      <w:kern w:val="0"/>
      <w:sz w:val="21"/>
      <w:szCs w:val="21"/>
    </w:rPr>
  </w:style>
  <w:style w:type="character" w:customStyle="1" w:styleId="50">
    <w:name w:val="正文文本缩进 字符"/>
    <w:basedOn w:val="23"/>
    <w:link w:val="8"/>
    <w:semiHidden/>
    <w:qFormat/>
    <w:uiPriority w:val="99"/>
    <w:rPr>
      <w:rFonts w:ascii="Times New Roman" w:hAnsi="Times New Roman" w:eastAsia="仿宋_GB2312" w:cs="Times New Roman"/>
      <w:sz w:val="32"/>
      <w:szCs w:val="24"/>
    </w:rPr>
  </w:style>
  <w:style w:type="character" w:customStyle="1" w:styleId="51">
    <w:name w:val="正文文本首行缩进 2 字符"/>
    <w:basedOn w:val="50"/>
    <w:link w:val="20"/>
    <w:semiHidden/>
    <w:qFormat/>
    <w:uiPriority w:val="99"/>
    <w:rPr>
      <w:rFonts w:ascii="Times New Roman" w:hAnsi="Times New Roman" w:eastAsia="仿宋_GB2312" w:cs="Times New Roman"/>
      <w:sz w:val="32"/>
      <w:szCs w:val="24"/>
    </w:rPr>
  </w:style>
  <w:style w:type="table" w:customStyle="1" w:styleId="52">
    <w:name w:val="网格型2"/>
    <w:basedOn w:val="21"/>
    <w:qFormat/>
    <w:uiPriority w:val="5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正文文本缩进 2 字符"/>
    <w:basedOn w:val="23"/>
    <w:link w:val="10"/>
    <w:semiHidden/>
    <w:qFormat/>
    <w:uiPriority w:val="99"/>
    <w:rPr>
      <w:rFonts w:ascii="Times New Roman" w:hAnsi="Times New Roman" w:eastAsia="仿宋_GB2312" w:cs="Times New Roman"/>
      <w:sz w:val="32"/>
      <w:szCs w:val="24"/>
    </w:rPr>
  </w:style>
  <w:style w:type="character" w:customStyle="1" w:styleId="54">
    <w:name w:val="脚注文本 字符"/>
    <w:basedOn w:val="23"/>
    <w:link w:val="16"/>
    <w:semiHidden/>
    <w:qFormat/>
    <w:uiPriority w:val="99"/>
    <w:rPr>
      <w:rFonts w:ascii="Times New Roman" w:hAnsi="Times New Roman" w:eastAsia="仿宋_GB2312" w:cs="Times New Roman"/>
      <w:sz w:val="18"/>
      <w:szCs w:val="18"/>
    </w:rPr>
  </w:style>
  <w:style w:type="character" w:customStyle="1" w:styleId="55">
    <w:name w:val="尾注文本 字符"/>
    <w:basedOn w:val="23"/>
    <w:link w:val="11"/>
    <w:semiHidden/>
    <w:qFormat/>
    <w:uiPriority w:val="99"/>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E2186-B0E3-46BE-816D-14725198333E}">
  <ds:schemaRefs/>
</ds:datastoreItem>
</file>

<file path=docProps/app.xml><?xml version="1.0" encoding="utf-8"?>
<Properties xmlns="http://schemas.openxmlformats.org/officeDocument/2006/extended-properties" xmlns:vt="http://schemas.openxmlformats.org/officeDocument/2006/docPropsVTypes">
  <Template>Normal</Template>
  <Pages>65</Pages>
  <Words>5136</Words>
  <Characters>29279</Characters>
  <Lines>243</Lines>
  <Paragraphs>68</Paragraphs>
  <TotalTime>2</TotalTime>
  <ScaleCrop>false</ScaleCrop>
  <LinksUpToDate>false</LinksUpToDate>
  <CharactersWithSpaces>34347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2021-08-16T09:15:00Z</dcterms:created>
  <dc:creator>dwt0112</dc:creator>
  <cp:lastModifiedBy>空心藤</cp:lastModifiedBy>
  <cp:lastPrinted>2021-05-27T13:11:00Z</cp:lastPrinted>
  <dcterms:modified xsi:type="dcterms:W3CDTF">2021-08-17T01:28:17Z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269791911_cloud</vt:lpwstr>
  </property>
  <property fmtid="{D5CDD505-2E9C-101B-9397-08002B2CF9AE}" pid="3" name="KSOProductBuildVer">
    <vt:lpwstr>2052-11.1.0.10503</vt:lpwstr>
  </property>
  <property fmtid="{D5CDD505-2E9C-101B-9397-08002B2CF9AE}" pid="4" name="ICV">
    <vt:lpwstr>FDCBF8B3B43F4167B38A72BAF1EEECB0</vt:lpwstr>
  </property>
</Properties>
</file>