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黑体_GBK" w:cs="Times New Roman"/>
          <w:sz w:val="44"/>
          <w:szCs w:val="44"/>
        </w:rPr>
      </w:pPr>
    </w:p>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黑体_GBK" w:cs="Times New Roman"/>
          <w:sz w:val="44"/>
          <w:szCs w:val="44"/>
        </w:rPr>
      </w:pPr>
    </w:p>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黑体_GBK" w:cs="Times New Roman"/>
          <w:sz w:val="44"/>
          <w:szCs w:val="44"/>
        </w:rPr>
      </w:pPr>
    </w:p>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资阳市</w:t>
      </w:r>
      <w:r>
        <w:rPr>
          <w:rFonts w:hint="default" w:ascii="Times New Roman" w:hAnsi="Times New Roman" w:eastAsia="方正小标宋简体" w:cs="Times New Roman"/>
          <w:sz w:val="44"/>
          <w:szCs w:val="44"/>
          <w:lang w:val="en-US" w:eastAsia="zh-CN"/>
        </w:rPr>
        <w:t>交通运行监测与应急保障中心</w:t>
      </w:r>
    </w:p>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关于2022</w:t>
      </w:r>
      <w:r>
        <w:rPr>
          <w:rFonts w:hint="default" w:ascii="Times New Roman" w:hAnsi="Times New Roman" w:eastAsia="方正小标宋简体" w:cs="Times New Roman"/>
          <w:sz w:val="44"/>
          <w:szCs w:val="44"/>
        </w:rPr>
        <w:t>年部</w:t>
      </w:r>
      <w:r>
        <w:rPr>
          <w:rFonts w:hint="default" w:ascii="Times New Roman" w:hAnsi="Times New Roman" w:eastAsia="方正小标宋简体" w:cs="Times New Roman"/>
          <w:sz w:val="44"/>
          <w:szCs w:val="44"/>
          <w:lang w:val="en-US" w:eastAsia="zh-CN"/>
        </w:rPr>
        <w:t>门整体支出绩效自评情况的</w:t>
      </w:r>
    </w:p>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default" w:ascii="Times New Roman" w:hAnsi="Times New Roman" w:eastAsia="方正黑体_GBK" w:cs="Times New Roman"/>
          <w:sz w:val="44"/>
          <w:szCs w:val="44"/>
          <w:lang w:val="en-US" w:eastAsia="zh-CN"/>
        </w:rPr>
      </w:pPr>
      <w:r>
        <w:rPr>
          <w:rFonts w:hint="default" w:ascii="Times New Roman" w:hAnsi="Times New Roman" w:eastAsia="方正小标宋简体" w:cs="Times New Roman"/>
          <w:sz w:val="44"/>
          <w:szCs w:val="44"/>
          <w:lang w:val="en-US" w:eastAsia="zh-CN"/>
        </w:rPr>
        <w:t>报  告</w:t>
      </w:r>
    </w:p>
    <w:p>
      <w:pPr>
        <w:keepNext w:val="0"/>
        <w:keepLines w:val="0"/>
        <w:pageBreakBefore w:val="0"/>
        <w:widowControl w:val="0"/>
        <w:tabs>
          <w:tab w:val="left" w:pos="490"/>
        </w:tabs>
        <w:kinsoku/>
        <w:wordWrap/>
        <w:overflowPunct/>
        <w:topLinePunct w:val="0"/>
        <w:autoSpaceDE/>
        <w:autoSpaceDN/>
        <w:bidi w:val="0"/>
        <w:adjustRightInd/>
        <w:snapToGrid/>
        <w:spacing w:line="660" w:lineRule="exact"/>
        <w:jc w:val="center"/>
        <w:textAlignment w:val="auto"/>
        <w:rPr>
          <w:rFonts w:hint="eastAsia" w:ascii="Times New Roman" w:hAnsi="Times New Roman" w:eastAsia="方正黑体_GBK" w:cs="Times New Roman"/>
          <w:sz w:val="44"/>
          <w:szCs w:val="44"/>
          <w:lang w:val="en-US" w:eastAsia="zh-CN"/>
        </w:rPr>
      </w:pPr>
    </w:p>
    <w:p>
      <w:pPr>
        <w:keepNext w:val="0"/>
        <w:keepLines w:val="0"/>
        <w:pageBreakBefore w:val="0"/>
        <w:widowControl w:val="0"/>
        <w:kinsoku/>
        <w:wordWrap/>
        <w:topLinePunct w:val="0"/>
        <w:autoSpaceDE/>
        <w:autoSpaceDN w:val="0"/>
        <w:bidi w:val="0"/>
        <w:adjustRightInd w:val="0"/>
        <w:snapToGrid w:val="0"/>
        <w:spacing w:line="578" w:lineRule="exact"/>
        <w:jc w:val="left"/>
        <w:textAlignment w:val="auto"/>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sz w:val="32"/>
          <w:szCs w:val="32"/>
        </w:rPr>
        <w:t>资阳市财政局：</w:t>
      </w:r>
    </w:p>
    <w:p>
      <w:pPr>
        <w:keepNext w:val="0"/>
        <w:keepLines w:val="0"/>
        <w:pageBreakBefore w:val="0"/>
        <w:widowControl w:val="0"/>
        <w:kinsoku/>
        <w:wordWrap/>
        <w:topLinePunct w:val="0"/>
        <w:autoSpaceDE/>
        <w:autoSpaceDN w:val="0"/>
        <w:bidi w:val="0"/>
        <w:adjustRightInd w:val="0"/>
        <w:snapToGrid w:val="0"/>
        <w:spacing w:line="578" w:lineRule="exact"/>
        <w:ind w:firstLine="640" w:firstLineChars="200"/>
        <w:jc w:val="left"/>
        <w:textAlignment w:val="auto"/>
        <w:rPr>
          <w:rFonts w:hint="eastAsia" w:ascii="Times New Roman" w:hAnsi="Times New Roman" w:eastAsia="方正仿宋_GBK" w:cs="Times New Roman"/>
          <w:color w:val="000000"/>
          <w:kern w:val="0"/>
          <w:sz w:val="32"/>
          <w:szCs w:val="32"/>
          <w:shd w:val="clear" w:color="auto" w:fill="FFFFFF"/>
          <w:lang w:eastAsia="zh-CN"/>
        </w:rPr>
      </w:pPr>
      <w:r>
        <w:rPr>
          <w:rFonts w:hint="default" w:ascii="Times New Roman" w:hAnsi="Times New Roman" w:eastAsia="方正仿宋_GBK" w:cs="Times New Roman"/>
          <w:color w:val="000000"/>
          <w:sz w:val="32"/>
          <w:szCs w:val="32"/>
        </w:rPr>
        <w:t>按照</w:t>
      </w:r>
      <w:r>
        <w:rPr>
          <w:rFonts w:hint="eastAsia" w:eastAsia="方正仿宋_GBK" w:cs="Times New Roman"/>
          <w:color w:val="000000"/>
          <w:sz w:val="32"/>
          <w:szCs w:val="32"/>
          <w:lang w:eastAsia="zh-CN"/>
        </w:rPr>
        <w:t>有关工作安排</w:t>
      </w:r>
      <w:r>
        <w:rPr>
          <w:rFonts w:hint="default" w:ascii="Times New Roman" w:hAnsi="Times New Roman" w:eastAsia="方正仿宋_GBK" w:cs="Times New Roman"/>
          <w:color w:val="000000"/>
          <w:sz w:val="32"/>
          <w:szCs w:val="32"/>
        </w:rPr>
        <w:t>，</w:t>
      </w:r>
      <w:r>
        <w:rPr>
          <w:rFonts w:hint="eastAsia" w:eastAsia="方正仿宋_GBK" w:cs="Times New Roman"/>
          <w:color w:val="000000"/>
          <w:sz w:val="32"/>
          <w:szCs w:val="32"/>
          <w:lang w:eastAsia="zh-CN"/>
        </w:rPr>
        <w:t>我中心</w:t>
      </w:r>
      <w:r>
        <w:rPr>
          <w:rFonts w:hint="default" w:ascii="Times New Roman" w:hAnsi="Times New Roman" w:eastAsia="方正仿宋_GBK" w:cs="Times New Roman"/>
          <w:color w:val="000000"/>
          <w:sz w:val="32"/>
          <w:szCs w:val="32"/>
        </w:rPr>
        <w:t>就20</w:t>
      </w:r>
      <w:r>
        <w:rPr>
          <w:rFonts w:hint="default" w:ascii="Times New Roman" w:hAnsi="Times New Roman" w:eastAsia="方正仿宋_GBK" w:cs="Times New Roman"/>
          <w:color w:val="000000"/>
          <w:sz w:val="32"/>
          <w:szCs w:val="32"/>
          <w:lang w:val="en-US" w:eastAsia="zh-CN"/>
        </w:rPr>
        <w:t>2</w:t>
      </w:r>
      <w:r>
        <w:rPr>
          <w:rFonts w:hint="eastAsia"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年部门支出绩效情况进行了认真评价，现将自评</w:t>
      </w:r>
      <w:r>
        <w:rPr>
          <w:rFonts w:hint="eastAsia" w:eastAsia="方正仿宋_GBK" w:cs="Times New Roman"/>
          <w:color w:val="000000"/>
          <w:sz w:val="32"/>
          <w:szCs w:val="32"/>
          <w:lang w:eastAsia="zh-CN"/>
        </w:rPr>
        <w:t>情况报告</w:t>
      </w:r>
      <w:r>
        <w:rPr>
          <w:rFonts w:hint="default" w:ascii="Times New Roman" w:hAnsi="Times New Roman" w:eastAsia="方正仿宋_GBK" w:cs="Times New Roman"/>
          <w:color w:val="000000"/>
          <w:sz w:val="32"/>
          <w:szCs w:val="32"/>
        </w:rPr>
        <w:t>如下</w:t>
      </w:r>
      <w:r>
        <w:rPr>
          <w:rFonts w:hint="eastAsia" w:eastAsia="方正仿宋_GBK" w:cs="Times New Roman"/>
          <w:color w:val="000000"/>
          <w:sz w:val="32"/>
          <w:szCs w:val="32"/>
          <w:lang w:eastAsia="zh-CN"/>
        </w:rPr>
        <w:t>。</w:t>
      </w:r>
    </w:p>
    <w:p>
      <w:pPr>
        <w:keepNext w:val="0"/>
        <w:keepLines w:val="0"/>
        <w:pageBreakBefore w:val="0"/>
        <w:widowControl w:val="0"/>
        <w:kinsoku/>
        <w:wordWrap/>
        <w:topLinePunct w:val="0"/>
        <w:autoSpaceDE/>
        <w:autoSpaceDN w:val="0"/>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lang w:val="zh-CN"/>
        </w:rPr>
      </w:pPr>
      <w:r>
        <w:rPr>
          <w:rFonts w:hint="eastAsia" w:ascii="方正黑体_GBK" w:hAnsi="方正黑体_GBK" w:eastAsia="方正黑体_GBK" w:cs="方正黑体_GBK"/>
          <w:color w:val="000000"/>
          <w:kern w:val="0"/>
          <w:sz w:val="32"/>
          <w:szCs w:val="32"/>
          <w:shd w:val="clear" w:color="auto" w:fill="FFFFFF"/>
        </w:rPr>
        <w:t>一、</w:t>
      </w:r>
      <w:r>
        <w:rPr>
          <w:rFonts w:hint="eastAsia" w:ascii="方正黑体_GBK" w:hAnsi="方正黑体_GBK" w:eastAsia="方正黑体_GBK" w:cs="方正黑体_GBK"/>
          <w:color w:val="000000"/>
          <w:kern w:val="0"/>
          <w:sz w:val="32"/>
          <w:szCs w:val="32"/>
          <w:shd w:val="clear" w:color="auto" w:fill="FFFFFF"/>
          <w:lang w:val="zh-CN"/>
        </w:rPr>
        <w:t>部门概况</w:t>
      </w:r>
    </w:p>
    <w:p>
      <w:pPr>
        <w:keepNext w:val="0"/>
        <w:keepLines w:val="0"/>
        <w:pageBreakBefore w:val="0"/>
        <w:widowControl w:val="0"/>
        <w:kinsoku/>
        <w:wordWrap/>
        <w:topLinePunct w:val="0"/>
        <w:autoSpaceDE/>
        <w:autoSpaceDN w:val="0"/>
        <w:bidi w:val="0"/>
        <w:adjustRightInd w:val="0"/>
        <w:snapToGrid w:val="0"/>
        <w:spacing w:line="578" w:lineRule="exact"/>
        <w:ind w:firstLine="642" w:firstLineChars="200"/>
        <w:jc w:val="left"/>
        <w:textAlignment w:val="auto"/>
        <w:rPr>
          <w:rFonts w:hint="default" w:ascii="Times New Roman" w:hAnsi="Times New Roman" w:eastAsia="方正仿宋_GBK" w:cs="Times New Roman"/>
          <w:b/>
          <w:color w:val="000000"/>
          <w:kern w:val="0"/>
          <w:sz w:val="32"/>
          <w:szCs w:val="32"/>
          <w:shd w:val="clear" w:color="auto" w:fill="FFFFFF"/>
          <w:lang w:val="zh-CN"/>
        </w:rPr>
      </w:pPr>
      <w:r>
        <w:rPr>
          <w:rFonts w:hint="eastAsia" w:ascii="方正楷体_GBK" w:hAnsi="方正楷体_GBK" w:eastAsia="方正楷体_GBK" w:cs="方正楷体_GBK"/>
          <w:b/>
          <w:color w:val="000000"/>
          <w:kern w:val="0"/>
          <w:sz w:val="32"/>
          <w:szCs w:val="32"/>
          <w:shd w:val="clear" w:color="auto" w:fill="FFFFFF"/>
          <w:lang w:val="zh-CN"/>
        </w:rPr>
        <w:t>（一）机构组成</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sz w:val="32"/>
          <w:szCs w:val="32"/>
          <w:lang w:eastAsia="zh-CN"/>
        </w:rPr>
        <w:t>本单位</w:t>
      </w:r>
      <w:r>
        <w:rPr>
          <w:rFonts w:hint="default" w:ascii="Times New Roman" w:hAnsi="Times New Roman" w:eastAsia="方正仿宋_GBK" w:cs="Times New Roman"/>
          <w:sz w:val="32"/>
          <w:szCs w:val="32"/>
          <w:lang w:val="en-US" w:eastAsia="zh-CN"/>
        </w:rPr>
        <w:t>是资阳市交通运输局管理的副县级公益一类事业单位，2021年2月根据《关于市交通运输局下属单位更名的通知》</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资编委发</w:t>
      </w:r>
      <w:r>
        <w:rPr>
          <w:rFonts w:hint="eastAsia" w:ascii="方正隶书_GBK" w:hAnsi="方正隶书_GBK" w:eastAsia="方正隶书_GBK" w:cs="方正隶书_GBK"/>
          <w:sz w:val="32"/>
          <w:szCs w:val="32"/>
          <w:lang w:eastAsia="zh-CN"/>
        </w:rPr>
        <w:t>〔</w:t>
      </w:r>
      <w:r>
        <w:rPr>
          <w:rFonts w:hint="default" w:ascii="Times New Roman" w:hAnsi="Times New Roman" w:eastAsia="方正仿宋_GBK" w:cs="Times New Roman"/>
          <w:sz w:val="32"/>
          <w:szCs w:val="32"/>
          <w:lang w:val="en-US" w:eastAsia="zh-CN"/>
        </w:rPr>
        <w:t>2021</w:t>
      </w:r>
      <w:r>
        <w:rPr>
          <w:rFonts w:hint="eastAsia" w:ascii="方正隶书_GBK" w:hAnsi="方正隶书_GBK" w:eastAsia="方正隶书_GBK" w:cs="方正隶书_GBK"/>
          <w:sz w:val="32"/>
          <w:szCs w:val="32"/>
          <w:lang w:val="en-US" w:eastAsia="zh-CN"/>
        </w:rPr>
        <w:t>〕</w:t>
      </w:r>
      <w:r>
        <w:rPr>
          <w:rFonts w:hint="default" w:ascii="Times New Roman" w:hAnsi="Times New Roman" w:eastAsia="方正仿宋_GBK" w:cs="Times New Roman"/>
          <w:sz w:val="32"/>
          <w:szCs w:val="32"/>
          <w:lang w:val="en-US" w:eastAsia="zh-CN"/>
        </w:rPr>
        <w:t>7号</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要求，由原资阳市公路路政管理支队更名为资阳市运行监测与应急保障中心，核定参公事业编制7名，设置综合科、运行监测科两个科室</w:t>
      </w:r>
      <w:r>
        <w:rPr>
          <w:rFonts w:hint="default" w:ascii="Times New Roman" w:hAnsi="Times New Roman" w:eastAsia="方正仿宋_GBK" w:cs="Times New Roman"/>
          <w:sz w:val="32"/>
          <w:szCs w:val="32"/>
        </w:rPr>
        <w:t>，设主任1名（副县级）、副主任1名（正科级），中层领导职数2名（副科级）。</w:t>
      </w:r>
    </w:p>
    <w:p>
      <w:pPr>
        <w:keepNext w:val="0"/>
        <w:keepLines w:val="0"/>
        <w:pageBreakBefore w:val="0"/>
        <w:widowControl w:val="0"/>
        <w:kinsoku/>
        <w:wordWrap/>
        <w:topLinePunct w:val="0"/>
        <w:autoSpaceDE/>
        <w:autoSpaceDN w:val="0"/>
        <w:bidi w:val="0"/>
        <w:adjustRightInd w:val="0"/>
        <w:snapToGrid w:val="0"/>
        <w:spacing w:line="578" w:lineRule="exact"/>
        <w:ind w:firstLine="642" w:firstLineChars="200"/>
        <w:jc w:val="left"/>
        <w:textAlignment w:val="auto"/>
        <w:rPr>
          <w:rFonts w:hint="default" w:ascii="Times New Roman" w:hAnsi="Times New Roman" w:eastAsia="方正仿宋_GBK" w:cs="Times New Roman"/>
          <w:b/>
          <w:color w:val="000000"/>
          <w:kern w:val="0"/>
          <w:sz w:val="32"/>
          <w:szCs w:val="32"/>
          <w:shd w:val="clear" w:color="auto" w:fill="FFFFFF"/>
          <w:lang w:val="zh-CN"/>
        </w:rPr>
      </w:pPr>
      <w:r>
        <w:rPr>
          <w:rFonts w:hint="default" w:ascii="方正楷体_GBK" w:hAnsi="方正楷体_GBK" w:eastAsia="方正楷体_GBK" w:cs="方正楷体_GBK"/>
          <w:b/>
          <w:color w:val="000000"/>
          <w:kern w:val="0"/>
          <w:sz w:val="32"/>
          <w:szCs w:val="32"/>
          <w:shd w:val="clear" w:color="auto" w:fill="FFFFFF"/>
          <w:lang w:val="zh-CN"/>
        </w:rPr>
        <w:t>（二）机构职能</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rPr>
        <w:t>1</w:t>
      </w:r>
      <w:r>
        <w:rPr>
          <w:rFonts w:hint="eastAsia"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承担全市交通运输行业运</w:t>
      </w:r>
      <w:r>
        <w:rPr>
          <w:rFonts w:hint="default" w:ascii="Times New Roman" w:hAnsi="Times New Roman" w:eastAsia="方正仿宋_GBK" w:cs="Times New Roman"/>
          <w:sz w:val="32"/>
          <w:szCs w:val="32"/>
          <w:lang w:val="en-US" w:eastAsia="zh-CN"/>
        </w:rPr>
        <w:t>行监测、应急保障、出行服务等技术支撑工作。</w:t>
      </w:r>
    </w:p>
    <w:p>
      <w:pPr>
        <w:keepNext w:val="0"/>
        <w:keepLines w:val="0"/>
        <w:pageBreakBefore w:val="0"/>
        <w:widowControl w:val="0"/>
        <w:kinsoku/>
        <w:wordWrap/>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负责交通运输突发事件的预测、预警，为应急统筹调度、交通组织疏导、抢修保通提供技术保障。</w:t>
      </w:r>
    </w:p>
    <w:p>
      <w:pPr>
        <w:keepNext w:val="0"/>
        <w:keepLines w:val="0"/>
        <w:pageBreakBefore w:val="0"/>
        <w:widowControl w:val="0"/>
        <w:kinsoku/>
        <w:wordWrap/>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eastAsia"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负责全市交通网运行信息收集、分析和发布及交通运输社会会服务平台的研发、运维。</w:t>
      </w:r>
    </w:p>
    <w:p>
      <w:pPr>
        <w:keepNext w:val="0"/>
        <w:keepLines w:val="0"/>
        <w:pageBreakBefore w:val="0"/>
        <w:widowControl w:val="0"/>
        <w:kinsoku/>
        <w:wordWrap/>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eastAsia"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完成市交通运输局交办的其他任务。</w:t>
      </w:r>
    </w:p>
    <w:p>
      <w:pPr>
        <w:keepNext w:val="0"/>
        <w:keepLines w:val="0"/>
        <w:pageBreakBefore w:val="0"/>
        <w:widowControl w:val="0"/>
        <w:kinsoku/>
        <w:wordWrap/>
        <w:topLinePunct w:val="0"/>
        <w:autoSpaceDE/>
        <w:autoSpaceDN w:val="0"/>
        <w:bidi w:val="0"/>
        <w:adjustRightInd w:val="0"/>
        <w:snapToGrid w:val="0"/>
        <w:spacing w:line="578" w:lineRule="exact"/>
        <w:ind w:firstLine="642" w:firstLineChars="200"/>
        <w:contextualSpacing/>
        <w:textAlignment w:val="auto"/>
        <w:rPr>
          <w:rFonts w:hint="default" w:ascii="Times New Roman" w:hAnsi="Times New Roman" w:eastAsia="方正仿宋_GBK" w:cs="Times New Roman"/>
          <w:b/>
          <w:color w:val="000000"/>
          <w:kern w:val="0"/>
          <w:sz w:val="32"/>
          <w:szCs w:val="32"/>
          <w:shd w:val="clear" w:color="auto" w:fill="FFFFFF"/>
          <w:lang w:val="zh-CN"/>
        </w:rPr>
      </w:pPr>
      <w:r>
        <w:rPr>
          <w:rFonts w:hint="default" w:ascii="方正楷体_GBK" w:hAnsi="方正楷体_GBK" w:eastAsia="方正楷体_GBK" w:cs="方正楷体_GBK"/>
          <w:b/>
          <w:color w:val="000000"/>
          <w:kern w:val="0"/>
          <w:sz w:val="32"/>
          <w:szCs w:val="32"/>
          <w:shd w:val="clear" w:color="auto" w:fill="FFFFFF"/>
          <w:lang w:val="zh-CN"/>
        </w:rPr>
        <w:t>（三）人员概况</w:t>
      </w:r>
    </w:p>
    <w:p>
      <w:pPr>
        <w:keepNext w:val="0"/>
        <w:keepLines w:val="0"/>
        <w:pageBreakBefore w:val="0"/>
        <w:widowControl w:val="0"/>
        <w:numPr>
          <w:ilvl w:val="0"/>
          <w:numId w:val="0"/>
        </w:numPr>
        <w:kinsoku/>
        <w:wordWrap/>
        <w:topLinePunct w:val="0"/>
        <w:autoSpaceDE/>
        <w:bidi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截止</w:t>
      </w:r>
      <w:r>
        <w:rPr>
          <w:rFonts w:hint="default" w:ascii="Times New Roman" w:hAnsi="Times New Roman" w:eastAsia="方正仿宋_GBK" w:cs="Times New Roman"/>
          <w:sz w:val="32"/>
          <w:szCs w:val="32"/>
          <w:lang w:val="en-US" w:eastAsia="zh-CN"/>
        </w:rPr>
        <w:t>2022年12月，有在职职工6人，退休职工11人</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val="0"/>
        <w:bidi w:val="0"/>
        <w:adjustRightInd w:val="0"/>
        <w:snapToGrid w:val="0"/>
        <w:spacing w:line="578"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color w:val="000000"/>
          <w:kern w:val="0"/>
          <w:sz w:val="32"/>
          <w:szCs w:val="32"/>
          <w:shd w:val="clear" w:color="auto" w:fill="FFFFFF"/>
          <w:lang w:val="zh-CN"/>
        </w:rPr>
        <w:t>二、部门财政资金收支情况</w:t>
      </w:r>
    </w:p>
    <w:p>
      <w:pPr>
        <w:keepNext w:val="0"/>
        <w:keepLines w:val="0"/>
        <w:pageBreakBefore w:val="0"/>
        <w:widowControl w:val="0"/>
        <w:kinsoku/>
        <w:wordWrap/>
        <w:topLinePunct w:val="0"/>
        <w:autoSpaceDE/>
        <w:autoSpaceDN w:val="0"/>
        <w:bidi w:val="0"/>
        <w:adjustRightInd w:val="0"/>
        <w:snapToGrid w:val="0"/>
        <w:spacing w:line="578" w:lineRule="exact"/>
        <w:ind w:firstLine="642" w:firstLineChars="200"/>
        <w:contextualSpacing/>
        <w:textAlignment w:val="auto"/>
        <w:rPr>
          <w:rFonts w:hint="default" w:ascii="Times New Roman" w:hAnsi="Times New Roman" w:eastAsia="方正仿宋_GBK" w:cs="Times New Roman"/>
          <w:b/>
          <w:color w:val="000000"/>
          <w:kern w:val="0"/>
          <w:sz w:val="32"/>
          <w:szCs w:val="32"/>
          <w:shd w:val="clear" w:color="auto" w:fill="FFFFFF"/>
          <w:lang w:val="zh-CN"/>
        </w:rPr>
      </w:pPr>
      <w:r>
        <w:rPr>
          <w:rFonts w:hint="default" w:ascii="方正楷体_GBK" w:hAnsi="方正楷体_GBK" w:eastAsia="方正楷体_GBK" w:cs="方正楷体_GBK"/>
          <w:b/>
          <w:color w:val="000000"/>
          <w:kern w:val="0"/>
          <w:sz w:val="32"/>
          <w:szCs w:val="32"/>
          <w:shd w:val="clear" w:color="auto" w:fill="FFFFFF"/>
          <w:lang w:val="zh-CN"/>
        </w:rPr>
        <w:t>（一）部门财政资金收入情况</w:t>
      </w:r>
    </w:p>
    <w:p>
      <w:pPr>
        <w:pStyle w:val="2"/>
        <w:keepNext w:val="0"/>
        <w:keepLines w:val="0"/>
        <w:pageBreakBefore w:val="0"/>
        <w:widowControl w:val="0"/>
        <w:kinsoku/>
        <w:wordWrap/>
        <w:topLinePunct w:val="0"/>
        <w:autoSpaceDE/>
        <w:bidi w:val="0"/>
        <w:spacing w:after="0"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2022</w:t>
      </w:r>
      <w:r>
        <w:rPr>
          <w:rFonts w:hint="default" w:ascii="Times New Roman" w:hAnsi="Times New Roman" w:eastAsia="方正仿宋_GBK" w:cs="Times New Roman"/>
          <w:color w:val="000000" w:themeColor="text1"/>
          <w:sz w:val="32"/>
          <w:szCs w:val="32"/>
          <w14:textFill>
            <w14:solidFill>
              <w14:schemeClr w14:val="tx1"/>
            </w14:solidFill>
          </w14:textFill>
        </w:rPr>
        <w:t>年本单位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一般公共</w:t>
      </w:r>
      <w:r>
        <w:rPr>
          <w:rFonts w:hint="default" w:ascii="Times New Roman" w:hAnsi="Times New Roman" w:eastAsia="方正仿宋_GBK" w:cs="Times New Roman"/>
          <w:color w:val="000000" w:themeColor="text1"/>
          <w:sz w:val="32"/>
          <w:szCs w:val="32"/>
          <w14:textFill>
            <w14:solidFill>
              <w14:schemeClr w14:val="tx1"/>
            </w14:solidFill>
          </w14:textFill>
        </w:rPr>
        <w:t>财政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预算拨款</w:t>
      </w:r>
      <w:r>
        <w:rPr>
          <w:rFonts w:hint="default" w:ascii="Times New Roman" w:hAnsi="Times New Roman" w:eastAsia="方正仿宋_GBK" w:cs="Times New Roman"/>
          <w:color w:val="000000" w:themeColor="text1"/>
          <w:sz w:val="32"/>
          <w:szCs w:val="32"/>
          <w14:textFill>
            <w14:solidFill>
              <w14:schemeClr w14:val="tx1"/>
            </w14:solidFill>
          </w14:textFill>
        </w:rPr>
        <w:t>收入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197.61万元，</w:t>
      </w:r>
      <w:r>
        <w:rPr>
          <w:rFonts w:hint="default" w:ascii="Times New Roman" w:hAnsi="Times New Roman" w:eastAsia="方正仿宋_GBK" w:cs="Times New Roman"/>
          <w:color w:val="000000" w:themeColor="text1"/>
          <w:sz w:val="32"/>
          <w:szCs w:val="32"/>
          <w14:textFill>
            <w14:solidFill>
              <w14:schemeClr w14:val="tx1"/>
            </w14:solidFill>
          </w14:textFill>
        </w:rPr>
        <w:t>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r>
        <w:rPr>
          <w:rFonts w:hint="default" w:ascii="Times New Roman" w:hAnsi="Times New Roman" w:eastAsia="方正仿宋_GBK" w:cs="Times New Roman"/>
          <w:color w:val="000000" w:themeColor="text1"/>
          <w:sz w:val="32"/>
          <w:szCs w:val="32"/>
          <w14:textFill>
            <w14:solidFill>
              <w14:schemeClr w14:val="tx1"/>
            </w14:solidFill>
          </w14:textFill>
        </w:rPr>
        <w:t>年相应安排支出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197.61</w:t>
      </w:r>
      <w:r>
        <w:rPr>
          <w:rFonts w:hint="default" w:ascii="Times New Roman" w:hAnsi="Times New Roman" w:eastAsia="方正仿宋_GBK" w:cs="Times New Roman"/>
          <w:color w:val="000000" w:themeColor="text1"/>
          <w:sz w:val="32"/>
          <w:szCs w:val="32"/>
          <w14:textFill>
            <w14:solidFill>
              <w14:schemeClr w14:val="tx1"/>
            </w14:solidFill>
          </w14:textFill>
        </w:rPr>
        <w:t>万元。收入支出预算总额较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2021</w:t>
      </w:r>
      <w:r>
        <w:rPr>
          <w:rFonts w:hint="default" w:ascii="Times New Roman" w:hAnsi="Times New Roman" w:eastAsia="方正仿宋_GBK" w:cs="Times New Roman"/>
          <w:color w:val="000000" w:themeColor="text1"/>
          <w:sz w:val="32"/>
          <w:szCs w:val="32"/>
          <w14:textFill>
            <w14:solidFill>
              <w14:schemeClr w14:val="tx1"/>
            </w14:solidFill>
          </w14:textFill>
        </w:rPr>
        <w:t>年下降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68.16</w:t>
      </w:r>
      <w:r>
        <w:rPr>
          <w:rFonts w:hint="default" w:ascii="Times New Roman" w:hAnsi="Times New Roman" w:eastAsia="方正仿宋_GBK" w:cs="Times New Roman"/>
          <w:color w:val="000000" w:themeColor="text1"/>
          <w:sz w:val="32"/>
          <w:szCs w:val="32"/>
          <w14:textFill>
            <w14:solidFill>
              <w14:schemeClr w14:val="tx1"/>
            </w14:solidFill>
          </w14:textFill>
        </w:rPr>
        <w:t>万元，下降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color w:val="000000" w:themeColor="text1"/>
          <w:sz w:val="32"/>
          <w:szCs w:val="32"/>
          <w14:textFill>
            <w14:solidFill>
              <w14:schemeClr w14:val="tx1"/>
            </w14:solidFill>
          </w14:textFill>
        </w:rPr>
        <w:t>%，主要原因为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交通执法机构改革，职能划转，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减少人员及项目经费。</w:t>
      </w:r>
    </w:p>
    <w:p>
      <w:pPr>
        <w:keepNext w:val="0"/>
        <w:keepLines w:val="0"/>
        <w:pageBreakBefore w:val="0"/>
        <w:widowControl w:val="0"/>
        <w:kinsoku/>
        <w:wordWrap/>
        <w:topLinePunct w:val="0"/>
        <w:autoSpaceDE/>
        <w:autoSpaceDN w:val="0"/>
        <w:bidi w:val="0"/>
        <w:adjustRightInd w:val="0"/>
        <w:spacing w:line="578" w:lineRule="exact"/>
        <w:ind w:firstLine="642" w:firstLineChars="200"/>
        <w:contextualSpacing/>
        <w:textAlignment w:val="auto"/>
        <w:rPr>
          <w:rFonts w:hint="default" w:ascii="Times New Roman" w:hAnsi="Times New Roman" w:eastAsia="方正仿宋_GBK" w:cs="Times New Roman"/>
          <w:b/>
          <w:color w:val="000000"/>
          <w:kern w:val="0"/>
          <w:sz w:val="32"/>
          <w:szCs w:val="32"/>
          <w:shd w:val="clear" w:color="auto" w:fill="FFFFFF"/>
          <w:lang w:val="zh-CN"/>
        </w:rPr>
      </w:pPr>
      <w:r>
        <w:rPr>
          <w:rFonts w:hint="default" w:ascii="方正楷体_GBK" w:hAnsi="方正楷体_GBK" w:eastAsia="方正楷体_GBK" w:cs="方正楷体_GBK"/>
          <w:b/>
          <w:color w:val="000000"/>
          <w:kern w:val="0"/>
          <w:sz w:val="32"/>
          <w:szCs w:val="32"/>
          <w:shd w:val="clear" w:color="auto" w:fill="FFFFFF"/>
          <w:lang w:val="zh-CN"/>
        </w:rPr>
        <w:t>（二）部门财政资金支出情况</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年支出总额为</w:t>
      </w:r>
      <w:r>
        <w:rPr>
          <w:rFonts w:hint="default" w:ascii="Times New Roman" w:hAnsi="Times New Roman" w:eastAsia="方正仿宋_GBK" w:cs="Times New Roman"/>
          <w:sz w:val="32"/>
          <w:szCs w:val="32"/>
          <w:lang w:val="en-US" w:eastAsia="zh-CN"/>
        </w:rPr>
        <w:t>197.61</w:t>
      </w:r>
      <w:r>
        <w:rPr>
          <w:rFonts w:hint="default" w:ascii="Times New Roman" w:hAnsi="Times New Roman" w:eastAsia="方正仿宋_GBK" w:cs="Times New Roman"/>
          <w:sz w:val="32"/>
          <w:szCs w:val="32"/>
        </w:rPr>
        <w:t>万元。其中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（1）基本支出</w:t>
      </w:r>
      <w:r>
        <w:rPr>
          <w:rFonts w:hint="default" w:ascii="Times New Roman" w:hAnsi="Times New Roman" w:eastAsia="方正仿宋_GBK" w:cs="Times New Roman"/>
          <w:sz w:val="32"/>
          <w:szCs w:val="32"/>
          <w:lang w:val="en-US" w:eastAsia="zh-CN"/>
        </w:rPr>
        <w:t>171.01</w:t>
      </w:r>
      <w:r>
        <w:rPr>
          <w:rFonts w:hint="default" w:ascii="Times New Roman" w:hAnsi="Times New Roman" w:eastAsia="方正仿宋_GBK" w:cs="Times New Roman"/>
          <w:sz w:val="32"/>
          <w:szCs w:val="32"/>
        </w:rPr>
        <w:t>万元，占预算的8</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%，主要用于机关正常运转的日常支出，包括基本工资、津贴补贴等人员经费以及办公费、印刷费、水电费等日常公用经费的支出。（2）项目支出</w:t>
      </w:r>
      <w:r>
        <w:rPr>
          <w:rFonts w:hint="default" w:ascii="Times New Roman" w:hAnsi="Times New Roman" w:eastAsia="方正仿宋_GBK" w:cs="Times New Roman"/>
          <w:sz w:val="32"/>
          <w:szCs w:val="32"/>
          <w:lang w:val="en-US" w:eastAsia="zh-CN"/>
        </w:rPr>
        <w:t>26.6</w:t>
      </w:r>
      <w:r>
        <w:rPr>
          <w:rFonts w:hint="default" w:ascii="Times New Roman" w:hAnsi="Times New Roman" w:eastAsia="方正仿宋_GBK" w:cs="Times New Roman"/>
          <w:sz w:val="32"/>
          <w:szCs w:val="32"/>
        </w:rPr>
        <w:t>万元，占预算的1</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%，主要用于</w:t>
      </w:r>
      <w:r>
        <w:rPr>
          <w:rFonts w:hint="default" w:ascii="Times New Roman" w:hAnsi="Times New Roman" w:eastAsia="方正仿宋_GBK" w:cs="Times New Roman"/>
          <w:color w:val="000000"/>
          <w:sz w:val="32"/>
          <w:szCs w:val="32"/>
          <w:lang w:val="zh-CN"/>
        </w:rPr>
        <w:t>交通数据库建设经费</w:t>
      </w:r>
      <w:r>
        <w:rPr>
          <w:rFonts w:hint="default" w:ascii="Times New Roman" w:hAnsi="Times New Roman" w:eastAsia="方正仿宋_GBK" w:cs="Times New Roman"/>
          <w:color w:val="000000"/>
          <w:sz w:val="32"/>
          <w:szCs w:val="32"/>
          <w:lang w:val="en-US" w:eastAsia="zh-CN"/>
        </w:rPr>
        <w:t>1.1万元、交通运输信息化建设25.</w:t>
      </w:r>
      <w:r>
        <w:rPr>
          <w:rFonts w:hint="default" w:ascii="Times New Roman" w:hAnsi="Times New Roman" w:eastAsia="方正仿宋_GBK" w:cs="Times New Roman"/>
          <w:color w:val="000000"/>
          <w:sz w:val="32"/>
          <w:szCs w:val="32"/>
        </w:rPr>
        <w:t>万元。</w:t>
      </w:r>
    </w:p>
    <w:p>
      <w:pPr>
        <w:keepNext w:val="0"/>
        <w:keepLines w:val="0"/>
        <w:pageBreakBefore w:val="0"/>
        <w:widowControl w:val="0"/>
        <w:kinsoku/>
        <w:wordWrap/>
        <w:topLinePunct w:val="0"/>
        <w:autoSpaceDE/>
        <w:autoSpaceDN w:val="0"/>
        <w:bidi w:val="0"/>
        <w:adjustRightInd w:val="0"/>
        <w:spacing w:line="578"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color w:val="000000"/>
          <w:kern w:val="0"/>
          <w:sz w:val="32"/>
          <w:szCs w:val="32"/>
          <w:shd w:val="clear" w:color="auto" w:fill="FFFFFF"/>
          <w:lang w:val="zh-CN"/>
        </w:rPr>
        <w:t>三、评价工作开展情况</w:t>
      </w:r>
    </w:p>
    <w:p>
      <w:pPr>
        <w:keepNext w:val="0"/>
        <w:keepLines w:val="0"/>
        <w:pageBreakBefore w:val="0"/>
        <w:widowControl w:val="0"/>
        <w:kinsoku/>
        <w:wordWrap/>
        <w:topLinePunct w:val="0"/>
        <w:autoSpaceDE/>
        <w:bidi w:val="0"/>
        <w:spacing w:line="578" w:lineRule="exact"/>
        <w:ind w:firstLine="642" w:firstLineChars="200"/>
        <w:contextualSpacing/>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color w:val="000000"/>
          <w:kern w:val="0"/>
          <w:sz w:val="32"/>
          <w:szCs w:val="32"/>
          <w:shd w:val="clear" w:color="auto" w:fill="FFFFFF"/>
          <w:lang w:val="zh-CN"/>
        </w:rPr>
        <w:t>（一）自评工作组织领导</w:t>
      </w:r>
    </w:p>
    <w:p>
      <w:pPr>
        <w:keepNext w:val="0"/>
        <w:keepLines w:val="0"/>
        <w:pageBreakBefore w:val="0"/>
        <w:widowControl w:val="0"/>
        <w:kinsoku/>
        <w:wordWrap/>
        <w:topLinePunct w:val="0"/>
        <w:autoSpaceDE/>
        <w:bidi w:val="0"/>
        <w:spacing w:line="578"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成立绩效评价工作小组，严格按照《资阳市财政局关于印发&lt;资阳市财政支出绩效评价管理办法&gt;的通知》（资财监督绩效〔2020〕1号）规定，本着客观、真实、准确的原则开展部门整体支出绩效评价工作。</w:t>
      </w:r>
    </w:p>
    <w:p>
      <w:pPr>
        <w:keepNext w:val="0"/>
        <w:keepLines w:val="0"/>
        <w:pageBreakBefore w:val="0"/>
        <w:widowControl w:val="0"/>
        <w:kinsoku/>
        <w:wordWrap/>
        <w:topLinePunct w:val="0"/>
        <w:autoSpaceDE/>
        <w:bidi w:val="0"/>
        <w:spacing w:line="578" w:lineRule="exact"/>
        <w:ind w:firstLine="642" w:firstLineChars="200"/>
        <w:contextualSpacing/>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b/>
          <w:color w:val="000000"/>
          <w:kern w:val="0"/>
          <w:sz w:val="32"/>
          <w:szCs w:val="32"/>
          <w:shd w:val="clear" w:color="auto" w:fill="FFFFFF"/>
          <w:lang w:val="zh-CN"/>
        </w:rPr>
        <w:t>（二）自评方式、方法、重点</w:t>
      </w:r>
    </w:p>
    <w:p>
      <w:pPr>
        <w:keepNext w:val="0"/>
        <w:keepLines w:val="0"/>
        <w:pageBreakBefore w:val="0"/>
        <w:widowControl w:val="0"/>
        <w:kinsoku/>
        <w:wordWrap/>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由于我单位承担着全市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交通运输行业运行监测、应急保障、路网信息发布等技术支撑工作。</w:t>
      </w:r>
      <w:r>
        <w:rPr>
          <w:rFonts w:hint="default" w:ascii="Times New Roman" w:hAnsi="Times New Roman" w:eastAsia="方正仿宋_GBK" w:cs="Times New Roman"/>
          <w:sz w:val="32"/>
          <w:szCs w:val="32"/>
        </w:rPr>
        <w:t>效益确定却不易计量的特点，故对20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年绩效评价工作采用定量与定性分析相结合等方法实施绩效评价。重点对20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年的财政下达的</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资金进行绩效评价。</w:t>
      </w:r>
    </w:p>
    <w:p>
      <w:pPr>
        <w:keepNext w:val="0"/>
        <w:keepLines w:val="0"/>
        <w:pageBreakBefore w:val="0"/>
        <w:widowControl w:val="0"/>
        <w:kinsoku/>
        <w:wordWrap/>
        <w:topLinePunct w:val="0"/>
        <w:autoSpaceDE/>
        <w:autoSpaceDN w:val="0"/>
        <w:bidi w:val="0"/>
        <w:adjustRightInd w:val="0"/>
        <w:snapToGrid w:val="0"/>
        <w:spacing w:line="578" w:lineRule="exact"/>
        <w:ind w:firstLine="640" w:firstLineChars="200"/>
        <w:jc w:val="left"/>
        <w:textAlignment w:val="auto"/>
        <w:rPr>
          <w:rFonts w:hint="default" w:ascii="Times New Roman" w:hAnsi="Times New Roman" w:eastAsia="方正仿宋_GBK" w:cs="Times New Roman"/>
          <w:color w:val="000000"/>
          <w:kern w:val="0"/>
          <w:sz w:val="32"/>
          <w:szCs w:val="32"/>
          <w:shd w:val="clear" w:color="auto" w:fill="FFFFFF"/>
        </w:rPr>
      </w:pPr>
      <w:r>
        <w:rPr>
          <w:rFonts w:hint="default" w:ascii="方正黑体_GBK" w:hAnsi="方正黑体_GBK" w:eastAsia="方正黑体_GBK" w:cs="方正黑体_GBK"/>
          <w:color w:val="000000"/>
          <w:kern w:val="0"/>
          <w:sz w:val="32"/>
          <w:szCs w:val="32"/>
          <w:shd w:val="clear" w:color="auto" w:fill="FFFFFF"/>
          <w:lang w:val="zh-CN"/>
        </w:rPr>
        <w:t>四、评价结论</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val="en-US" w:eastAsia="zh-CN"/>
        </w:rPr>
        <w:t>022</w:t>
      </w:r>
      <w:r>
        <w:rPr>
          <w:rFonts w:hint="default" w:ascii="Times New Roman" w:hAnsi="Times New Roman" w:eastAsia="方正仿宋_GBK" w:cs="Times New Roman"/>
          <w:color w:val="000000"/>
          <w:sz w:val="32"/>
          <w:szCs w:val="32"/>
        </w:rPr>
        <w:t>年，在市委、市政府、市交通运输局的领导下，在市财政局的具体指导下，</w:t>
      </w:r>
      <w:r>
        <w:rPr>
          <w:rFonts w:hint="default" w:ascii="Times New Roman" w:hAnsi="Times New Roman" w:eastAsia="方正仿宋_GBK" w:cs="Times New Roman"/>
          <w:color w:val="000000"/>
          <w:sz w:val="32"/>
          <w:szCs w:val="32"/>
          <w:lang w:eastAsia="zh-CN"/>
        </w:rPr>
        <w:t>本单位</w:t>
      </w:r>
      <w:r>
        <w:rPr>
          <w:rFonts w:hint="default" w:ascii="Times New Roman" w:hAnsi="Times New Roman" w:eastAsia="方正仿宋_GBK" w:cs="Times New Roman"/>
          <w:color w:val="000000"/>
          <w:sz w:val="32"/>
          <w:szCs w:val="32"/>
          <w:lang w:val="zh-CN"/>
        </w:rPr>
        <w:t>全面超额完成市政府下达的各项目标任务。</w:t>
      </w:r>
      <w:r>
        <w:rPr>
          <w:rFonts w:hint="default" w:ascii="Times New Roman" w:hAnsi="Times New Roman" w:eastAsia="方正仿宋_GBK" w:cs="Times New Roman"/>
          <w:color w:val="000000"/>
          <w:sz w:val="32"/>
          <w:szCs w:val="32"/>
        </w:rPr>
        <w:t>按照《资阳市财政局关于印发&lt;资阳市财政支出绩效评价管理办法&gt;的通知》（资财监督绩效〔2020〕1号）规定，评价等级为优秀。</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kern w:val="0"/>
          <w:sz w:val="32"/>
          <w:szCs w:val="32"/>
          <w:shd w:val="clear" w:color="auto" w:fill="FFFFFF"/>
        </w:rPr>
      </w:pPr>
      <w:r>
        <w:rPr>
          <w:rFonts w:hint="default" w:ascii="方正黑体_GBK" w:hAnsi="方正黑体_GBK" w:eastAsia="方正黑体_GBK" w:cs="方正黑体_GBK"/>
          <w:color w:val="000000"/>
          <w:kern w:val="0"/>
          <w:sz w:val="32"/>
          <w:szCs w:val="32"/>
          <w:shd w:val="clear" w:color="auto" w:fill="FFFFFF"/>
          <w:lang w:val="zh-CN"/>
        </w:rPr>
        <w:t>五、绩效分析</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b/>
          <w:color w:val="000000"/>
          <w:kern w:val="0"/>
          <w:sz w:val="32"/>
          <w:szCs w:val="32"/>
          <w:shd w:val="clear" w:color="auto" w:fill="FFFFFF"/>
          <w:lang w:val="zh-CN"/>
        </w:rPr>
      </w:pPr>
      <w:r>
        <w:rPr>
          <w:rFonts w:hint="default" w:ascii="方正楷体_GBK" w:hAnsi="方正楷体_GBK" w:eastAsia="方正楷体_GBK" w:cs="方正楷体_GBK"/>
          <w:b/>
          <w:color w:val="000000"/>
          <w:kern w:val="0"/>
          <w:sz w:val="32"/>
          <w:szCs w:val="32"/>
          <w:shd w:val="clear" w:color="auto" w:fill="FFFFFF"/>
          <w:lang w:val="zh-CN"/>
        </w:rPr>
        <w:t>（一）指标分析</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年本部门严格按照20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年度市本级部门整体支出绩效自评计分标准进行自行考评。共计得分9</w:t>
      </w:r>
      <w:r>
        <w:rPr>
          <w:rFonts w:hint="default" w:ascii="Times New Roman" w:hAnsi="Times New Roman" w:eastAsia="方正仿宋_GBK" w:cs="Times New Roman"/>
          <w:color w:val="000000"/>
          <w:sz w:val="32"/>
          <w:szCs w:val="32"/>
          <w:lang w:val="en-US" w:eastAsia="zh-CN"/>
        </w:rPr>
        <w:t>6.8</w:t>
      </w:r>
      <w:r>
        <w:rPr>
          <w:rFonts w:hint="default" w:ascii="Times New Roman" w:hAnsi="Times New Roman" w:eastAsia="方正仿宋_GBK" w:cs="Times New Roman"/>
          <w:color w:val="000000"/>
          <w:sz w:val="32"/>
          <w:szCs w:val="32"/>
        </w:rPr>
        <w:t>分。</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w:t>
      </w:r>
      <w:r>
        <w:rPr>
          <w:rFonts w:hint="eastAsia" w:eastAsia="方正仿宋_GBK" w:cs="Times New Roman"/>
          <w:b/>
          <w:sz w:val="32"/>
          <w:szCs w:val="32"/>
          <w:lang w:val="en-US" w:eastAsia="zh-CN"/>
        </w:rPr>
        <w:t xml:space="preserve">. </w:t>
      </w:r>
      <w:r>
        <w:rPr>
          <w:rFonts w:hint="default" w:ascii="Times New Roman" w:hAnsi="Times New Roman" w:eastAsia="方正仿宋_GBK" w:cs="Times New Roman"/>
          <w:b/>
          <w:sz w:val="32"/>
          <w:szCs w:val="32"/>
        </w:rPr>
        <w:t>投入分析得分</w:t>
      </w:r>
      <w:r>
        <w:rPr>
          <w:rFonts w:hint="default" w:ascii="Times New Roman" w:hAnsi="Times New Roman" w:eastAsia="方正仿宋_GBK" w:cs="Times New Roman"/>
          <w:b/>
          <w:sz w:val="32"/>
          <w:szCs w:val="32"/>
          <w:lang w:val="en-US" w:eastAsia="zh-CN"/>
        </w:rPr>
        <w:t>20</w:t>
      </w:r>
      <w:r>
        <w:rPr>
          <w:rFonts w:hint="default" w:ascii="Times New Roman" w:hAnsi="Times New Roman" w:eastAsia="方正仿宋_GBK" w:cs="Times New Roman"/>
          <w:b/>
          <w:sz w:val="32"/>
          <w:szCs w:val="32"/>
        </w:rPr>
        <w:t>分</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年严格按照单位职能职责工作设定绩效目标，严格控制职工人数，在职人员逐年下降，人员控制率100%，在“三公”经费管理方面，</w:t>
      </w:r>
      <w:r>
        <w:rPr>
          <w:rFonts w:hint="default" w:ascii="Times New Roman" w:hAnsi="Times New Roman" w:eastAsia="方正仿宋_GBK" w:cs="Times New Roman"/>
          <w:sz w:val="32"/>
          <w:szCs w:val="32"/>
          <w:lang w:val="en-US" w:eastAsia="zh-CN"/>
        </w:rPr>
        <w:t>2022年无</w:t>
      </w:r>
      <w:r>
        <w:rPr>
          <w:rFonts w:hint="default" w:ascii="Times New Roman" w:hAnsi="Times New Roman" w:eastAsia="方正仿宋_GBK" w:cs="Times New Roman"/>
          <w:sz w:val="32"/>
          <w:szCs w:val="32"/>
        </w:rPr>
        <w:t>公务接待、车辆管理做到定点维修、实行定点加油。</w:t>
      </w:r>
      <w:r>
        <w:rPr>
          <w:rFonts w:hint="default" w:ascii="Times New Roman" w:hAnsi="Times New Roman" w:eastAsia="方正仿宋_GBK" w:cs="Times New Roman"/>
          <w:kern w:val="0"/>
          <w:sz w:val="32"/>
          <w:szCs w:val="32"/>
        </w:rPr>
        <w:t>20</w:t>
      </w:r>
      <w:r>
        <w:rPr>
          <w:rFonts w:hint="default" w:ascii="Times New Roman" w:hAnsi="Times New Roman" w:eastAsia="方正仿宋_GBK" w:cs="Times New Roman"/>
          <w:kern w:val="0"/>
          <w:sz w:val="32"/>
          <w:szCs w:val="32"/>
          <w:lang w:val="en-US" w:eastAsia="zh-CN"/>
        </w:rPr>
        <w:t>22</w:t>
      </w:r>
      <w:r>
        <w:rPr>
          <w:rFonts w:hint="default" w:ascii="Times New Roman" w:hAnsi="Times New Roman" w:eastAsia="方正仿宋_GBK" w:cs="Times New Roman"/>
          <w:kern w:val="0"/>
          <w:sz w:val="32"/>
          <w:szCs w:val="32"/>
        </w:rPr>
        <w:t>年“三公”经费支出</w:t>
      </w:r>
      <w:r>
        <w:rPr>
          <w:rFonts w:hint="default" w:ascii="Times New Roman" w:hAnsi="Times New Roman" w:eastAsia="方正仿宋_GBK" w:cs="Times New Roman"/>
          <w:kern w:val="0"/>
          <w:sz w:val="32"/>
          <w:szCs w:val="32"/>
          <w:lang w:val="en-US" w:eastAsia="zh-CN"/>
        </w:rPr>
        <w:t>3.54</w:t>
      </w:r>
      <w:r>
        <w:rPr>
          <w:rFonts w:hint="default" w:ascii="Times New Roman" w:hAnsi="Times New Roman" w:eastAsia="方正仿宋_GBK" w:cs="Times New Roman"/>
          <w:kern w:val="0"/>
          <w:sz w:val="32"/>
          <w:szCs w:val="32"/>
        </w:rPr>
        <w:t>万元，其中：公务接待费</w:t>
      </w:r>
      <w:r>
        <w:rPr>
          <w:rFonts w:hint="default"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万元，公务接待费较20</w:t>
      </w:r>
      <w:r>
        <w:rPr>
          <w:rFonts w:hint="default" w:ascii="Times New Roman" w:hAnsi="Times New Roman" w:eastAsia="方正仿宋_GBK" w:cs="Times New Roman"/>
          <w:kern w:val="0"/>
          <w:sz w:val="32"/>
          <w:szCs w:val="32"/>
          <w:lang w:val="en-US" w:eastAsia="zh-CN"/>
        </w:rPr>
        <w:t>21</w:t>
      </w:r>
      <w:r>
        <w:rPr>
          <w:rFonts w:hint="default" w:ascii="Times New Roman" w:hAnsi="Times New Roman" w:eastAsia="方正仿宋_GBK" w:cs="Times New Roman"/>
          <w:kern w:val="0"/>
          <w:sz w:val="32"/>
          <w:szCs w:val="32"/>
        </w:rPr>
        <w:t>年预算支出</w:t>
      </w:r>
      <w:r>
        <w:rPr>
          <w:rFonts w:hint="default" w:ascii="Times New Roman" w:hAnsi="Times New Roman" w:eastAsia="方正仿宋_GBK" w:cs="Times New Roman"/>
          <w:kern w:val="0"/>
          <w:sz w:val="32"/>
          <w:szCs w:val="32"/>
          <w:lang w:eastAsia="zh-CN"/>
        </w:rPr>
        <w:t>下降</w:t>
      </w:r>
      <w:r>
        <w:rPr>
          <w:rFonts w:hint="default" w:ascii="Times New Roman" w:hAnsi="Times New Roman" w:eastAsia="方正仿宋_GBK" w:cs="Times New Roman"/>
          <w:kern w:val="0"/>
          <w:sz w:val="32"/>
          <w:szCs w:val="32"/>
          <w:lang w:val="en-US" w:eastAsia="zh-CN"/>
        </w:rPr>
        <w:t>100%</w:t>
      </w:r>
      <w:r>
        <w:rPr>
          <w:rFonts w:hint="default" w:ascii="Times New Roman" w:hAnsi="Times New Roman" w:eastAsia="方正仿宋_GBK" w:cs="Times New Roman"/>
          <w:kern w:val="0"/>
          <w:sz w:val="32"/>
          <w:szCs w:val="32"/>
        </w:rPr>
        <w:t>。公务用车运行维护费</w:t>
      </w:r>
      <w:r>
        <w:rPr>
          <w:rFonts w:hint="default" w:ascii="Times New Roman" w:hAnsi="Times New Roman" w:eastAsia="方正仿宋_GBK" w:cs="Times New Roman"/>
          <w:kern w:val="0"/>
          <w:sz w:val="32"/>
          <w:szCs w:val="32"/>
          <w:lang w:val="en-US" w:eastAsia="zh-CN"/>
        </w:rPr>
        <w:t>3.54</w:t>
      </w:r>
      <w:r>
        <w:rPr>
          <w:rFonts w:hint="default" w:ascii="Times New Roman" w:hAnsi="Times New Roman" w:eastAsia="方正仿宋_GBK" w:cs="Times New Roman"/>
          <w:kern w:val="0"/>
          <w:sz w:val="32"/>
          <w:szCs w:val="32"/>
        </w:rPr>
        <w:t>万元，较20</w:t>
      </w:r>
      <w:r>
        <w:rPr>
          <w:rFonts w:hint="default" w:ascii="Times New Roman" w:hAnsi="Times New Roman" w:eastAsia="方正仿宋_GBK" w:cs="Times New Roman"/>
          <w:kern w:val="0"/>
          <w:sz w:val="32"/>
          <w:szCs w:val="32"/>
          <w:lang w:val="en-US" w:eastAsia="zh-CN"/>
        </w:rPr>
        <w:t>21</w:t>
      </w:r>
      <w:r>
        <w:rPr>
          <w:rFonts w:hint="default" w:ascii="Times New Roman" w:hAnsi="Times New Roman" w:eastAsia="方正仿宋_GBK" w:cs="Times New Roman"/>
          <w:kern w:val="0"/>
          <w:sz w:val="32"/>
          <w:szCs w:val="32"/>
        </w:rPr>
        <w:t>年支出</w:t>
      </w:r>
      <w:r>
        <w:rPr>
          <w:rFonts w:hint="default" w:ascii="Times New Roman" w:hAnsi="Times New Roman" w:eastAsia="方正仿宋_GBK" w:cs="Times New Roman"/>
          <w:kern w:val="0"/>
          <w:sz w:val="32"/>
          <w:szCs w:val="32"/>
          <w:lang w:eastAsia="zh-CN"/>
        </w:rPr>
        <w:t>减少</w:t>
      </w:r>
      <w:r>
        <w:rPr>
          <w:rFonts w:hint="default" w:ascii="Times New Roman" w:hAnsi="Times New Roman" w:eastAsia="方正仿宋_GBK" w:cs="Times New Roman"/>
          <w:kern w:val="0"/>
          <w:sz w:val="32"/>
          <w:szCs w:val="32"/>
          <w:lang w:val="en-US" w:eastAsia="zh-CN"/>
        </w:rPr>
        <w:t>2.9</w:t>
      </w:r>
      <w:r>
        <w:rPr>
          <w:rFonts w:hint="default" w:ascii="Times New Roman" w:hAnsi="Times New Roman" w:eastAsia="方正仿宋_GBK" w:cs="Times New Roman"/>
          <w:kern w:val="0"/>
          <w:sz w:val="32"/>
          <w:szCs w:val="32"/>
        </w:rPr>
        <w:t>万元</w:t>
      </w:r>
      <w:r>
        <w:rPr>
          <w:rFonts w:hint="default" w:ascii="Times New Roman" w:hAnsi="Times New Roman" w:eastAsia="方正仿宋_GBK" w:cs="Times New Roman"/>
          <w:kern w:val="0"/>
          <w:sz w:val="32"/>
          <w:szCs w:val="32"/>
          <w:lang w:eastAsia="zh-CN"/>
        </w:rPr>
        <w:t>，下降</w:t>
      </w:r>
      <w:r>
        <w:rPr>
          <w:rFonts w:hint="default" w:ascii="Times New Roman" w:hAnsi="Times New Roman" w:eastAsia="方正仿宋_GBK" w:cs="Times New Roman"/>
          <w:kern w:val="0"/>
          <w:sz w:val="32"/>
          <w:szCs w:val="32"/>
          <w:lang w:val="en-US" w:eastAsia="zh-CN"/>
        </w:rPr>
        <w:t>45</w:t>
      </w:r>
      <w:r>
        <w:rPr>
          <w:rFonts w:hint="default" w:ascii="Times New Roman" w:hAnsi="Times New Roman" w:eastAsia="方正仿宋_GBK" w:cs="Times New Roman"/>
          <w:kern w:val="0"/>
          <w:sz w:val="32"/>
          <w:szCs w:val="32"/>
        </w:rPr>
        <w:t>%。在预算编制中，重点项目安排率为</w:t>
      </w:r>
      <w:r>
        <w:rPr>
          <w:rFonts w:hint="default" w:ascii="Times New Roman" w:hAnsi="Times New Roman" w:eastAsia="方正仿宋_GBK" w:cs="Times New Roman"/>
          <w:kern w:val="0"/>
          <w:sz w:val="32"/>
          <w:szCs w:val="32"/>
          <w:lang w:val="en-US" w:eastAsia="zh-CN"/>
        </w:rPr>
        <w:t>100</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topLinePunct w:val="0"/>
        <w:autoSpaceDE/>
        <w:autoSpaceDN w:val="0"/>
        <w:bidi w:val="0"/>
        <w:adjustRightInd w:val="0"/>
        <w:snapToGrid w:val="0"/>
        <w:spacing w:line="578" w:lineRule="exact"/>
        <w:ind w:firstLine="642" w:firstLineChars="200"/>
        <w:jc w:val="lef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w:t>
      </w:r>
      <w:r>
        <w:rPr>
          <w:rFonts w:hint="eastAsia" w:eastAsia="方正仿宋_GBK" w:cs="Times New Roman"/>
          <w:b/>
          <w:sz w:val="32"/>
          <w:szCs w:val="32"/>
          <w:lang w:val="en-US" w:eastAsia="zh-CN"/>
        </w:rPr>
        <w:t xml:space="preserve">. </w:t>
      </w:r>
      <w:r>
        <w:rPr>
          <w:rFonts w:hint="default" w:ascii="Times New Roman" w:hAnsi="Times New Roman" w:eastAsia="方正仿宋_GBK" w:cs="Times New Roman"/>
          <w:b/>
          <w:sz w:val="32"/>
          <w:szCs w:val="32"/>
        </w:rPr>
        <w:t>过程分析得分</w:t>
      </w:r>
      <w:r>
        <w:rPr>
          <w:rFonts w:hint="default" w:ascii="Times New Roman" w:hAnsi="Times New Roman" w:eastAsia="方正仿宋_GBK" w:cs="Times New Roman"/>
          <w:b/>
          <w:sz w:val="32"/>
          <w:szCs w:val="32"/>
          <w:lang w:val="en-US" w:eastAsia="zh-CN"/>
        </w:rPr>
        <w:t>29.8</w:t>
      </w:r>
      <w:r>
        <w:rPr>
          <w:rFonts w:hint="default" w:ascii="Times New Roman" w:hAnsi="Times New Roman" w:eastAsia="方正仿宋_GBK" w:cs="Times New Roman"/>
          <w:b/>
          <w:sz w:val="32"/>
          <w:szCs w:val="32"/>
        </w:rPr>
        <w:t>分</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（1）预算执行得分</w:t>
      </w:r>
      <w:r>
        <w:rPr>
          <w:rFonts w:hint="default" w:ascii="Times New Roman" w:hAnsi="Times New Roman" w:eastAsia="方正仿宋_GBK" w:cs="Times New Roman"/>
          <w:b/>
          <w:sz w:val="32"/>
          <w:szCs w:val="32"/>
          <w:lang w:val="en-US" w:eastAsia="zh-CN"/>
        </w:rPr>
        <w:t>19.8</w:t>
      </w:r>
      <w:r>
        <w:rPr>
          <w:rFonts w:hint="default" w:ascii="Times New Roman" w:hAnsi="Times New Roman" w:eastAsia="方正仿宋_GBK" w:cs="Times New Roman"/>
          <w:b/>
          <w:sz w:val="32"/>
          <w:szCs w:val="32"/>
        </w:rPr>
        <w:t>分</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eastAsia="zh-CN"/>
        </w:rPr>
        <w:t>2022</w:t>
      </w:r>
      <w:r>
        <w:rPr>
          <w:rFonts w:hint="default" w:ascii="Times New Roman" w:hAnsi="Times New Roman" w:eastAsia="方正仿宋_GBK" w:cs="Times New Roman"/>
          <w:color w:val="000000"/>
          <w:sz w:val="32"/>
          <w:szCs w:val="32"/>
        </w:rPr>
        <w:t>年我</w:t>
      </w:r>
      <w:r>
        <w:rPr>
          <w:rFonts w:hint="default" w:ascii="Times New Roman" w:hAnsi="Times New Roman" w:eastAsia="方正仿宋_GBK" w:cs="Times New Roman"/>
          <w:color w:val="000000"/>
          <w:sz w:val="32"/>
          <w:szCs w:val="32"/>
          <w:lang w:eastAsia="zh-CN"/>
        </w:rPr>
        <w:t>单位</w:t>
      </w:r>
      <w:r>
        <w:rPr>
          <w:rFonts w:hint="default" w:ascii="Times New Roman" w:hAnsi="Times New Roman" w:eastAsia="方正仿宋_GBK" w:cs="Times New Roman"/>
          <w:color w:val="000000"/>
          <w:sz w:val="32"/>
          <w:szCs w:val="32"/>
        </w:rPr>
        <w:t>进一步加强支出绩效管理，严格执行财政预算，严格按照预算、用款计划和进度支付资金。在资金使用方面做到专款专用，无挤占挪用财政资金。6月、9月预算执行率分别为40%、86%，至12月底执行率为100%。公用经费控制率</w:t>
      </w:r>
      <w:r>
        <w:rPr>
          <w:rFonts w:hint="default" w:ascii="Times New Roman" w:hAnsi="Times New Roman" w:eastAsia="方正仿宋_GBK" w:cs="Times New Roman"/>
          <w:color w:val="000000"/>
          <w:sz w:val="32"/>
          <w:szCs w:val="32"/>
          <w:lang w:eastAsia="zh-CN"/>
        </w:rPr>
        <w:t>增加</w:t>
      </w:r>
      <w:r>
        <w:rPr>
          <w:rFonts w:hint="default" w:ascii="Times New Roman" w:hAnsi="Times New Roman" w:eastAsia="方正仿宋_GBK" w:cs="Times New Roman"/>
          <w:color w:val="000000"/>
          <w:sz w:val="32"/>
          <w:szCs w:val="32"/>
          <w:lang w:val="en-US" w:eastAsia="zh-CN"/>
        </w:rPr>
        <w:t>2%，扣减0.2分。</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（2）预算管理得分5分</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年加强预算资金管理，在预算编制上紧围绕</w:t>
      </w:r>
      <w:r>
        <w:rPr>
          <w:rFonts w:hint="default" w:ascii="Times New Roman" w:hAnsi="Times New Roman" w:eastAsia="方正仿宋_GBK" w:cs="Times New Roman"/>
          <w:sz w:val="32"/>
          <w:szCs w:val="32"/>
          <w:lang w:eastAsia="zh-CN"/>
        </w:rPr>
        <w:t>中心</w:t>
      </w:r>
      <w:r>
        <w:rPr>
          <w:rFonts w:hint="default" w:ascii="Times New Roman" w:hAnsi="Times New Roman" w:eastAsia="方正仿宋_GBK" w:cs="Times New Roman"/>
          <w:sz w:val="32"/>
          <w:szCs w:val="32"/>
        </w:rPr>
        <w:t>工作大局，以保障重点、压缩一般性支出、严格控制三公经费为编制原则，采取零基预算方法，编制单位部门预算，以保障各项工作的正常运转。建立健全了单位内部控制管理制度。严格按照预算、用款计划支付资金。加强财务信息公开、增加政务公开透明度。严格按照《政府信息公开条例》及政务信息发布流程。确定专人在四川省政府信息公开目录管理系统和市交通运输局门户网站上及时发布本部门政务信息。</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（3）资产管理得分5分</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在资产管理方面，</w:t>
      </w:r>
      <w:r>
        <w:rPr>
          <w:rFonts w:hint="default" w:ascii="Times New Roman" w:hAnsi="Times New Roman" w:eastAsia="方正仿宋_GBK" w:cs="Times New Roman"/>
          <w:sz w:val="32"/>
          <w:szCs w:val="32"/>
          <w:lang w:eastAsia="zh-CN"/>
        </w:rPr>
        <w:t>认真制定资产管理制度，</w:t>
      </w:r>
      <w:r>
        <w:rPr>
          <w:rFonts w:hint="default" w:ascii="Times New Roman" w:hAnsi="Times New Roman" w:eastAsia="方正仿宋_GBK" w:cs="Times New Roman"/>
          <w:sz w:val="32"/>
          <w:szCs w:val="32"/>
        </w:rPr>
        <w:t>做到规范配置资产，严格履行资产配置审批制度，加强资产日常管理，做好资产</w:t>
      </w:r>
      <w:r>
        <w:rPr>
          <w:rFonts w:hint="default" w:ascii="Times New Roman" w:hAnsi="Times New Roman" w:eastAsia="方正仿宋_GBK" w:cs="Times New Roman"/>
          <w:sz w:val="32"/>
          <w:szCs w:val="32"/>
          <w:lang w:eastAsia="zh-CN"/>
        </w:rPr>
        <w:t>处置工作</w:t>
      </w:r>
      <w:r>
        <w:rPr>
          <w:rFonts w:hint="default" w:ascii="Times New Roman" w:hAnsi="Times New Roman" w:eastAsia="方正仿宋_GBK" w:cs="Times New Roman"/>
          <w:sz w:val="32"/>
          <w:szCs w:val="32"/>
        </w:rPr>
        <w:t>的核算、建账、登记工作，</w:t>
      </w:r>
      <w:r>
        <w:rPr>
          <w:rFonts w:hint="default" w:ascii="Times New Roman" w:hAnsi="Times New Roman" w:eastAsia="方正仿宋_GBK" w:cs="Times New Roman"/>
          <w:sz w:val="32"/>
          <w:szCs w:val="32"/>
          <w:lang w:eastAsia="zh-CN"/>
        </w:rPr>
        <w:t>资产利用率</w:t>
      </w:r>
      <w:r>
        <w:rPr>
          <w:rFonts w:hint="default" w:ascii="Times New Roman" w:hAnsi="Times New Roman" w:eastAsia="方正仿宋_GBK" w:cs="Times New Roman"/>
          <w:sz w:val="32"/>
          <w:szCs w:val="32"/>
          <w:lang w:val="en-US" w:eastAsia="zh-CN"/>
        </w:rPr>
        <w:t>100%。</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3</w:t>
      </w:r>
      <w:r>
        <w:rPr>
          <w:rFonts w:hint="eastAsia" w:eastAsia="方正仿宋_GBK"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职责履行分析得分</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color w:val="000000" w:themeColor="text1"/>
          <w:sz w:val="32"/>
          <w:szCs w:val="32"/>
          <w14:textFill>
            <w14:solidFill>
              <w14:schemeClr w14:val="tx1"/>
            </w14:solidFill>
          </w14:textFill>
        </w:rPr>
        <w:t>分</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以来，市交通运行监测中心</w:t>
      </w:r>
      <w:r>
        <w:rPr>
          <w:rFonts w:hint="default" w:ascii="Times New Roman" w:hAnsi="Times New Roman" w:eastAsia="方正仿宋_GBK" w:cs="Times New Roman"/>
          <w:color w:val="000000" w:themeColor="text1"/>
          <w:kern w:val="0"/>
          <w:sz w:val="32"/>
          <w:szCs w:val="32"/>
          <w14:textFill>
            <w14:solidFill>
              <w14:schemeClr w14:val="tx1"/>
            </w14:solidFill>
          </w14:textFill>
        </w:rPr>
        <w:t>按照整体绩效目标确定的时限</w:t>
      </w:r>
      <w:r>
        <w:rPr>
          <w:rFonts w:hint="default" w:ascii="Times New Roman" w:hAnsi="Times New Roman" w:eastAsia="方正仿宋_GBK" w:cs="Times New Roman"/>
          <w:color w:val="000000" w:themeColor="text1"/>
          <w:kern w:val="0"/>
          <w:sz w:val="32"/>
          <w:szCs w:val="32"/>
          <w:lang w:eastAsia="zh-CN"/>
          <w14:textFill>
            <w14:solidFill>
              <w14:schemeClr w14:val="tx1"/>
            </w14:solidFill>
          </w14:textFill>
        </w:rPr>
        <w:t>和要求，</w:t>
      </w:r>
      <w:r>
        <w:rPr>
          <w:rFonts w:hint="default" w:ascii="Times New Roman" w:hAnsi="Times New Roman" w:eastAsia="方正仿宋_GBK" w:cs="Times New Roman"/>
          <w:color w:val="000000" w:themeColor="text1"/>
          <w:sz w:val="32"/>
          <w:szCs w:val="32"/>
          <w14:textFill>
            <w14:solidFill>
              <w14:schemeClr w14:val="tx1"/>
            </w14:solidFill>
          </w14:textFill>
        </w:rPr>
        <w:t>全面完成各项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目标</w:t>
      </w:r>
      <w:r>
        <w:rPr>
          <w:rFonts w:hint="default" w:ascii="Times New Roman" w:hAnsi="Times New Roman" w:eastAsia="方正仿宋_GBK" w:cs="Times New Roman"/>
          <w:color w:val="000000" w:themeColor="text1"/>
          <w:sz w:val="32"/>
          <w:szCs w:val="32"/>
          <w14:textFill>
            <w14:solidFill>
              <w14:schemeClr w14:val="tx1"/>
            </w14:solidFill>
          </w14:textFill>
        </w:rPr>
        <w:t>任务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各项</w:t>
      </w:r>
      <w:r>
        <w:rPr>
          <w:rFonts w:hint="default" w:ascii="Times New Roman" w:hAnsi="Times New Roman" w:eastAsia="方正仿宋_GBK" w:cs="Times New Roman"/>
          <w:color w:val="000000" w:themeColor="text1"/>
          <w:sz w:val="32"/>
          <w:szCs w:val="32"/>
          <w14:textFill>
            <w14:solidFill>
              <w14:schemeClr w14:val="tx1"/>
            </w14:solidFill>
          </w14:textFill>
        </w:rPr>
        <w:t>工作完成率100%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，完成及时率</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100%、重点工作完成率100%，</w:t>
      </w:r>
      <w:r>
        <w:rPr>
          <w:rFonts w:hint="default" w:ascii="Times New Roman" w:hAnsi="Times New Roman" w:eastAsia="方正仿宋_GBK" w:cs="Times New Roman"/>
          <w:color w:val="000000" w:themeColor="text1"/>
          <w:sz w:val="32"/>
          <w:szCs w:val="32"/>
          <w14:textFill>
            <w14:solidFill>
              <w14:schemeClr w14:val="tx1"/>
            </w14:solidFill>
          </w14:textFill>
        </w:rPr>
        <w:t>实现了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对交通全行业的实时监测，切实做好了全市交通运行监测及应急技术支持保障工作</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4</w:t>
      </w:r>
      <w:r>
        <w:rPr>
          <w:rFonts w:hint="eastAsia" w:eastAsia="方正仿宋_GBK"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履职效益得分20</w:t>
      </w:r>
      <w:r>
        <w:rPr>
          <w:rFonts w:hint="default" w:ascii="Times New Roman" w:hAnsi="Times New Roman" w:eastAsia="方正仿宋_GBK" w:cs="Times New Roman"/>
          <w:b/>
          <w:color w:val="000000" w:themeColor="text1"/>
          <w:sz w:val="32"/>
          <w:szCs w:val="32"/>
          <w:lang w:eastAsia="zh-CN"/>
          <w14:textFill>
            <w14:solidFill>
              <w14:schemeClr w14:val="tx1"/>
            </w14:solidFill>
          </w14:textFill>
        </w:rPr>
        <w:t>分</w:t>
      </w:r>
    </w:p>
    <w:p>
      <w:pPr>
        <w:keepNext w:val="0"/>
        <w:keepLines w:val="0"/>
        <w:pageBreakBefore w:val="0"/>
        <w:widowControl w:val="0"/>
        <w:kinsoku/>
        <w:wordWrap/>
        <w:topLinePunct w:val="0"/>
        <w:autoSpaceDE/>
        <w:bidi w:val="0"/>
        <w:spacing w:line="578" w:lineRule="exact"/>
        <w:ind w:firstLine="616" w:firstLineChars="200"/>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b w:val="0"/>
          <w:bCs/>
          <w:color w:val="000000" w:themeColor="text1"/>
          <w:spacing w:val="-6"/>
          <w:sz w:val="32"/>
          <w:szCs w:val="32"/>
          <w:lang w:val="en-US" w:eastAsia="zh-CN"/>
          <w14:textFill>
            <w14:solidFill>
              <w14:schemeClr w14:val="tx1"/>
            </w14:solidFill>
          </w14:textFill>
        </w:rPr>
        <w:t>2022年全年，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市交通监测中心根据自身工作职责，着重围绕汛期值班、路况巡查、信息发布、应急支持保障全方位开展工作，先后发布交通预警信息85条，安全宣传信息34条。消除安全隐患20处，切实做好应急二期项目工程场外设备的安全运行。协助公安交警调取交通事故、刑事犯罪视频监控证据12次，提前发布气象预警信息34条，保障全市公路网的安全畅通。</w:t>
      </w:r>
      <w:r>
        <w:rPr>
          <w:rFonts w:hint="default" w:ascii="Times New Roman" w:hAnsi="Times New Roman" w:eastAsia="方正仿宋_GBK" w:cs="Times New Roman"/>
          <w:color w:val="000000" w:themeColor="text1"/>
          <w:kern w:val="0"/>
          <w:sz w:val="32"/>
          <w:szCs w:val="32"/>
          <w14:textFill>
            <w14:solidFill>
              <w14:schemeClr w14:val="tx1"/>
            </w14:solidFill>
          </w14:textFill>
        </w:rPr>
        <w:t>社会公众对部门履职效果的满意</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度达到100%</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b/>
          <w:color w:val="000000"/>
          <w:kern w:val="0"/>
          <w:sz w:val="32"/>
          <w:szCs w:val="32"/>
          <w:shd w:val="clear" w:color="auto" w:fill="FFFFFF"/>
          <w:lang w:val="zh-CN"/>
        </w:rPr>
        <w:t>（二）综合绩效分析</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2022</w:t>
      </w:r>
      <w:r>
        <w:rPr>
          <w:rFonts w:hint="default" w:ascii="Times New Roman" w:hAnsi="Times New Roman" w:eastAsia="方正仿宋_GBK" w:cs="Times New Roman"/>
          <w:color w:val="000000" w:themeColor="text1"/>
          <w:sz w:val="32"/>
          <w:szCs w:val="32"/>
          <w14:textFill>
            <w14:solidFill>
              <w14:schemeClr w14:val="tx1"/>
            </w14:solidFill>
          </w14:textFill>
        </w:rPr>
        <w:t>年在市委市政府的正确领导下，经过相关部门的共同协作，全面完成了绩效管理目标任务。</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1</w:t>
      </w:r>
      <w:r>
        <w:rPr>
          <w:rFonts w:hint="eastAsia" w:eastAsia="方正仿宋_GBK"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部门职能</w:t>
      </w:r>
      <w:r>
        <w:rPr>
          <w:rFonts w:hint="default" w:ascii="Times New Roman" w:hAnsi="Times New Roman" w:eastAsia="方正仿宋_GBK" w:cs="Times New Roman"/>
          <w:b/>
          <w:color w:val="000000" w:themeColor="text1"/>
          <w:sz w:val="32"/>
          <w:szCs w:val="32"/>
          <w14:textFill>
            <w14:solidFill>
              <w14:schemeClr w14:val="tx1"/>
            </w14:solidFill>
          </w14:textFill>
        </w:rPr>
        <w:t>履行</w:t>
      </w:r>
      <w:r>
        <w:rPr>
          <w:rFonts w:hint="default" w:ascii="Times New Roman" w:hAnsi="Times New Roman" w:eastAsia="方正仿宋_GBK" w:cs="Times New Roman"/>
          <w:b/>
          <w:color w:val="000000" w:themeColor="text1"/>
          <w:sz w:val="32"/>
          <w:szCs w:val="32"/>
          <w:lang w:eastAsia="zh-CN"/>
          <w14:textFill>
            <w14:solidFill>
              <w14:schemeClr w14:val="tx1"/>
            </w14:solidFill>
          </w14:textFill>
        </w:rPr>
        <w:t>情况</w:t>
      </w:r>
    </w:p>
    <w:p>
      <w:pPr>
        <w:keepNext w:val="0"/>
        <w:keepLines w:val="0"/>
        <w:pageBreakBefore w:val="0"/>
        <w:widowControl w:val="0"/>
        <w:kinsoku/>
        <w:wordWrap/>
        <w:topLinePunct w:val="0"/>
        <w:autoSpaceDE/>
        <w:autoSpaceDN/>
        <w:bidi w:val="0"/>
        <w:adjustRightInd/>
        <w:snapToGrid/>
        <w:spacing w:line="578" w:lineRule="exact"/>
        <w:ind w:firstLine="642"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（1）交通运行监测工作开展情况</w:t>
      </w:r>
    </w:p>
    <w:p>
      <w:pPr>
        <w:keepNext w:val="0"/>
        <w:keepLines w:val="0"/>
        <w:pageBreakBefore w:val="0"/>
        <w:widowControl w:val="0"/>
        <w:kinsoku/>
        <w:wordWrap/>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2022年以来，为拓展省应急二期工程项目设备应用范围，经多次协调多个部门，整合交通行业视频资源2200条，可随时调取公交、出租、高速、客运场站、水路码头、超限站点、重要道路桥梁和高风险路段的视频资源，掌握各个点位监控运行情况。市交通运行监测中心结合应急二期功能，主要从汛期值守、路况巡查、信息发布、部门协作等几个方面全面开展交通监测工作。</w:t>
      </w:r>
    </w:p>
    <w:p>
      <w:pPr>
        <w:keepNext w:val="0"/>
        <w:keepLines w:val="0"/>
        <w:pageBreakBefore w:val="0"/>
        <w:widowControl w:val="0"/>
        <w:kinsoku/>
        <w:wordWrap/>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严格汛期值守，全面掌握路况信息。2022年汛期，市交通运行监测中心成立汛期路网运行监测值守工作专班，利用场外摄像点位进行日常巡查，配置应急车辆及驾驶人员。针对极端天气情况，安排人员在重点时段值守，重点对事故易发路段、地质灾害路段进行实时监测，及时掌握报告相关情况，在2022年汛期未监测到重大紧急情况。</w:t>
      </w:r>
    </w:p>
    <w:p>
      <w:pPr>
        <w:keepNext w:val="0"/>
        <w:keepLines w:val="0"/>
        <w:pageBreakBefore w:val="0"/>
        <w:widowControl w:val="0"/>
        <w:kinsoku/>
        <w:wordWrap/>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加强路况巡查，及时处理问题隐患。在进行线上巡查的基础上，市交通运行监测中心定期不定期的安排工作人员上路巡查，平均每月上路巡查10次以上，重点对应急二期项目场外设备及重点路段进行巡查，对摄像头及可变情报板进行整修40余次，发现路上安全隐患并转交相关责任单位处理事件7次，切实保障应急二期场外设备正常运行。</w:t>
      </w:r>
    </w:p>
    <w:p>
      <w:pPr>
        <w:keepNext w:val="0"/>
        <w:keepLines w:val="0"/>
        <w:pageBreakBefore w:val="0"/>
        <w:widowControl w:val="0"/>
        <w:kinsoku/>
        <w:wordWrap/>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开展信息发布，做好行业宣传。利用公路重要点位上的可变情报板，发布路况信息提示、灾害信息预警和交通行业信息宣传。先后发布交通预警信息85条、安全宣传信息34条。</w:t>
      </w:r>
    </w:p>
    <w:p>
      <w:pPr>
        <w:keepNext w:val="0"/>
        <w:keepLines w:val="0"/>
        <w:pageBreakBefore w:val="0"/>
        <w:widowControl w:val="0"/>
        <w:kinsoku/>
        <w:wordWrap/>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密切部门协作，形成工作合力。常态化与公安、气象等部门进行密切协作，发挥部门合力。协助公安交警调取交通事故、刑事犯罪视频监控证据12次；协调气象部门，第一时间掌握可能危及交通安全的极端气象信息预警预报，提前发布气象预警信息34条，保障交通行车安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jc w:val="both"/>
        <w:textAlignment w:val="auto"/>
        <w:rPr>
          <w:rFonts w:hint="default" w:ascii="Times New Roman" w:hAnsi="Times New Roman" w:eastAsia="方正仿宋_GBK" w:cs="Times New Roman"/>
          <w:b/>
          <w:bCs/>
          <w:i w:val="0"/>
          <w:caps w:val="0"/>
          <w:color w:val="000000" w:themeColor="text1"/>
          <w:spacing w:val="0"/>
          <w:sz w:val="32"/>
          <w:szCs w:val="32"/>
          <w:shd w:val="clear" w:color="auto" w:fill="FFFFFF"/>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（2）交通流量调查工作情况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全市共布设有31个交通流量监测站点，其中自动观测站8个，人工观测站点23个，分别布设在国道、省道、县道及乡道上，主要用于对我市境内车流量进行分析。目前，主要运用的设备是交通流量调查站。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我市交通情况调查</w:t>
      </w:r>
      <w:r>
        <w:rPr>
          <w:rFonts w:hint="default" w:ascii="Times New Roman" w:hAnsi="Times New Roman" w:eastAsia="方正仿宋_GBK" w:cs="Times New Roman"/>
          <w:color w:val="000000" w:themeColor="text1"/>
          <w:sz w:val="32"/>
          <w:szCs w:val="32"/>
          <w14:textFill>
            <w14:solidFill>
              <w14:schemeClr w14:val="tx1"/>
            </w14:solidFill>
          </w14:textFill>
        </w:rPr>
        <w:t>监测总里程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为</w:t>
      </w:r>
      <w:r>
        <w:rPr>
          <w:rFonts w:hint="default" w:ascii="Times New Roman" w:hAnsi="Times New Roman" w:eastAsia="方正仿宋_GBK" w:cs="Times New Roman"/>
          <w:color w:val="000000" w:themeColor="text1"/>
          <w:sz w:val="32"/>
          <w:szCs w:val="32"/>
          <w14:textFill>
            <w14:solidFill>
              <w14:schemeClr w14:val="tx1"/>
            </w14:solidFill>
          </w14:textFill>
        </w:rPr>
        <w:t>836.421公里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，其中</w:t>
      </w:r>
      <w:r>
        <w:rPr>
          <w:rFonts w:hint="default" w:ascii="Times New Roman" w:hAnsi="Times New Roman" w:eastAsia="方正仿宋_GBK" w:cs="Times New Roman"/>
          <w:color w:val="000000" w:themeColor="text1"/>
          <w:sz w:val="32"/>
          <w:szCs w:val="32"/>
          <w14:textFill>
            <w14:solidFill>
              <w14:schemeClr w14:val="tx1"/>
            </w14:solidFill>
          </w14:textFill>
        </w:rPr>
        <w:t>国道里程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228.87</w:t>
      </w:r>
      <w:r>
        <w:rPr>
          <w:rFonts w:hint="default" w:ascii="Times New Roman" w:hAnsi="Times New Roman" w:eastAsia="方正仿宋_GBK" w:cs="Times New Roman"/>
          <w:color w:val="000000" w:themeColor="text1"/>
          <w:sz w:val="32"/>
          <w:szCs w:val="32"/>
          <w14:textFill>
            <w14:solidFill>
              <w14:schemeClr w14:val="tx1"/>
            </w14:solidFill>
          </w14:textFill>
        </w:rPr>
        <w:t>公里，占全市普通国道总里程的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76.5</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其中省道里程为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75.272</w:t>
      </w:r>
      <w:r>
        <w:rPr>
          <w:rFonts w:hint="default" w:ascii="Times New Roman" w:hAnsi="Times New Roman" w:eastAsia="方正仿宋_GBK" w:cs="Times New Roman"/>
          <w:color w:val="000000" w:themeColor="text1"/>
          <w:sz w:val="32"/>
          <w:szCs w:val="32"/>
          <w14:textFill>
            <w14:solidFill>
              <w14:schemeClr w14:val="tx1"/>
            </w14:solidFill>
          </w14:textFill>
        </w:rPr>
        <w:t>公里，占全市普通省道里程的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；县道里程为468.323公里，乡道里程为63.956公里。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（3）交通基础数据共享</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参与资阳市政务信息资源共享开发工作，负责公路基本情况、交通流量及城市公共交通和水路运输等交通数据的上传和管理，目前已有200类（条）资源目录实现了多部门的数据共享。</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（4）应急技术保障情况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目前市交通运行监测中心配备应急保障设备有单兵应急通讯系统、卫星电话、一体化视频运营设备等40套，为应急通讯及相关信息服务提供硬件及软件保障。</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b w:val="0"/>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w:t>
      </w:r>
      <w:r>
        <w:rPr>
          <w:rFonts w:hint="eastAsia" w:eastAsia="方正仿宋_GBK" w:cs="Times New Roman"/>
          <w:b/>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部门</w:t>
      </w:r>
      <w:r>
        <w:rPr>
          <w:rFonts w:hint="default" w:ascii="Times New Roman" w:hAnsi="Times New Roman" w:eastAsia="方正仿宋_GBK" w:cs="Times New Roman"/>
          <w:b/>
          <w:bCs w:val="0"/>
          <w:color w:val="000000" w:themeColor="text1"/>
          <w:sz w:val="32"/>
          <w:szCs w:val="32"/>
          <w14:textFill>
            <w14:solidFill>
              <w14:schemeClr w14:val="tx1"/>
            </w14:solidFill>
          </w14:textFill>
        </w:rPr>
        <w:t>履职</w:t>
      </w:r>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有</w:t>
      </w:r>
      <w:r>
        <w:rPr>
          <w:rFonts w:hint="default" w:ascii="Times New Roman" w:hAnsi="Times New Roman" w:eastAsia="方正仿宋_GBK" w:cs="Times New Roman"/>
          <w:b/>
          <w:bCs w:val="0"/>
          <w:color w:val="000000" w:themeColor="text1"/>
          <w:sz w:val="32"/>
          <w:szCs w:val="32"/>
          <w14:textFill>
            <w14:solidFill>
              <w14:schemeClr w14:val="tx1"/>
            </w14:solidFill>
          </w14:textFill>
        </w:rPr>
        <w:t>效</w:t>
      </w:r>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性</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b/>
          <w:color w:val="C0504D" w:themeColor="accent2"/>
          <w:sz w:val="32"/>
          <w:szCs w:val="32"/>
          <w:lang w:val="en-US" w:eastAsia="zh-CN"/>
          <w14:textFill>
            <w14:solidFill>
              <w14:schemeClr w14:val="accent2"/>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在2022年全年当中，市交通运行监测中心按照自身工作职责切实做好交通运行监测工作，综合运用省应急二期工程项目的软硬件设施做好对全市重要国省干线公路的24小时运行监测工作，同时接入了高速、渡口、码头、车站、出租、超限站、公交等监控视频2200路，实现了对全交通行业的运行监测。同时，利用应急通讯设备，切实做好紧急情况下的应急通讯工作，切实做好应急技术支持相关工作。市交通运行监测中心综合运用自身优势，有效的履行了工作职责。</w:t>
      </w:r>
    </w:p>
    <w:p>
      <w:pPr>
        <w:keepNext w:val="0"/>
        <w:keepLines w:val="0"/>
        <w:pageBreakBefore w:val="0"/>
        <w:widowControl w:val="0"/>
        <w:kinsoku/>
        <w:wordWrap/>
        <w:topLinePunct w:val="0"/>
        <w:autoSpaceDE/>
        <w:bidi w:val="0"/>
        <w:spacing w:line="578" w:lineRule="exact"/>
        <w:ind w:firstLine="64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w:t>
      </w:r>
      <w:r>
        <w:rPr>
          <w:rFonts w:hint="eastAsia" w:eastAsia="方正仿宋_GBK"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部门职能实现程度</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2022年，市交通运行监测中心结合现有设备实施积极做好交通运行监测工作，相关的工作推进也在有序开展，部门职能职责履行良好。保障了全市公路网的安全畅通。</w:t>
      </w:r>
      <w:r>
        <w:rPr>
          <w:rFonts w:hint="default" w:ascii="Times New Roman" w:hAnsi="Times New Roman" w:eastAsia="方正仿宋_GBK" w:cs="Times New Roman"/>
          <w:color w:val="000000" w:themeColor="text1"/>
          <w:kern w:val="0"/>
          <w:sz w:val="32"/>
          <w:szCs w:val="32"/>
          <w14:textFill>
            <w14:solidFill>
              <w14:schemeClr w14:val="tx1"/>
            </w14:solidFill>
          </w14:textFill>
        </w:rPr>
        <w:t>社会公众对部门履职效果的满意</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度达到100%</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Fonts w:hint="default" w:ascii="方正黑体_GBK" w:hAnsi="方正黑体_GBK" w:eastAsia="方正黑体_GBK" w:cs="方正黑体_GBK"/>
          <w:color w:val="000000"/>
          <w:kern w:val="0"/>
          <w:sz w:val="32"/>
          <w:szCs w:val="32"/>
          <w:shd w:val="clear" w:color="auto" w:fill="FFFFFF"/>
          <w:lang w:val="zh-CN"/>
        </w:rPr>
        <w:t>六、问题分析</w:t>
      </w:r>
    </w:p>
    <w:p>
      <w:pPr>
        <w:keepNext w:val="0"/>
        <w:keepLines w:val="0"/>
        <w:pageBreakBefore w:val="0"/>
        <w:widowControl w:val="0"/>
        <w:kinsoku/>
        <w:wordWrap/>
        <w:topLinePunct w:val="0"/>
        <w:autoSpaceDE/>
        <w:autoSpaceDN/>
        <w:bidi w:val="0"/>
        <w:adjustRightInd/>
        <w:snapToGrid/>
        <w:spacing w:line="578" w:lineRule="exact"/>
        <w:ind w:firstLine="642"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b/>
          <w:color w:val="000000"/>
          <w:kern w:val="0"/>
          <w:sz w:val="32"/>
          <w:szCs w:val="32"/>
          <w:shd w:val="clear" w:color="auto" w:fill="FFFFFF"/>
          <w:lang w:val="en-US" w:eastAsia="zh-CN"/>
        </w:rPr>
        <w:t>（一）工作机制不畅。</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因各县（区）无对应的</w:t>
      </w:r>
      <w:r>
        <w:rPr>
          <w:rFonts w:hint="eastAsia" w:eastAsia="方正仿宋_GBK" w:cs="Times New Roman"/>
          <w:b w:val="0"/>
          <w:bCs w:val="0"/>
          <w:color w:val="000000" w:themeColor="text1"/>
          <w:sz w:val="32"/>
          <w:szCs w:val="32"/>
          <w:lang w:val="en-US" w:eastAsia="zh-CN"/>
          <w14:textFill>
            <w14:solidFill>
              <w14:schemeClr w14:val="tx1"/>
            </w14:solidFill>
          </w14:textFill>
        </w:rPr>
        <w:t>工作</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机构，造成有关工作落实不到位，难以形成自</w:t>
      </w:r>
      <w:r>
        <w:rPr>
          <w:rFonts w:hint="eastAsia" w:eastAsia="方正仿宋_GBK" w:cs="Times New Roman"/>
          <w:b w:val="0"/>
          <w:bCs w:val="0"/>
          <w:color w:val="000000" w:themeColor="text1"/>
          <w:sz w:val="32"/>
          <w:szCs w:val="32"/>
          <w:lang w:val="en-US" w:eastAsia="zh-CN"/>
          <w14:textFill>
            <w14:solidFill>
              <w14:schemeClr w14:val="tx1"/>
            </w14:solidFill>
          </w14:textFill>
        </w:rPr>
        <w:t>下</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而</w:t>
      </w:r>
      <w:r>
        <w:rPr>
          <w:rFonts w:hint="eastAsia" w:eastAsia="方正仿宋_GBK" w:cs="Times New Roman"/>
          <w:b w:val="0"/>
          <w:bCs w:val="0"/>
          <w:color w:val="000000" w:themeColor="text1"/>
          <w:sz w:val="32"/>
          <w:szCs w:val="32"/>
          <w:lang w:val="en-US" w:eastAsia="zh-CN"/>
          <w14:textFill>
            <w14:solidFill>
              <w14:schemeClr w14:val="tx1"/>
            </w14:solidFill>
          </w14:textFill>
        </w:rPr>
        <w:t>上</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的工作合力，开展工作较为困难。</w:t>
      </w:r>
    </w:p>
    <w:p>
      <w:pPr>
        <w:keepNext w:val="0"/>
        <w:keepLines w:val="0"/>
        <w:pageBreakBefore w:val="0"/>
        <w:widowControl w:val="0"/>
        <w:kinsoku/>
        <w:wordWrap/>
        <w:topLinePunct w:val="0"/>
        <w:autoSpaceDE/>
        <w:autoSpaceDN/>
        <w:bidi w:val="0"/>
        <w:adjustRightInd/>
        <w:snapToGrid/>
        <w:spacing w:line="578" w:lineRule="exact"/>
        <w:ind w:firstLine="642"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b/>
          <w:color w:val="000000"/>
          <w:kern w:val="0"/>
          <w:sz w:val="32"/>
          <w:szCs w:val="32"/>
          <w:shd w:val="clear" w:color="auto" w:fill="FFFFFF"/>
          <w:lang w:val="en-US" w:eastAsia="zh-CN"/>
        </w:rPr>
        <w:t>（二）监控存在盲区。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国道、省道上监控点位分布密度不够，未实现全方位的监控与监测，需要根据实际情况增加监控数量，逐步实现重点路段有效监测。</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Fonts w:hint="default" w:ascii="方正黑体_GBK" w:hAnsi="方正黑体_GBK" w:eastAsia="方正黑体_GBK" w:cs="方正黑体_GBK"/>
          <w:color w:val="000000"/>
          <w:kern w:val="0"/>
          <w:sz w:val="32"/>
          <w:szCs w:val="32"/>
          <w:shd w:val="clear" w:color="auto" w:fill="FFFFFF"/>
          <w:lang w:val="zh-CN"/>
        </w:rPr>
        <w:t>七、建议</w:t>
      </w:r>
    </w:p>
    <w:p>
      <w:pPr>
        <w:keepNext w:val="0"/>
        <w:keepLines w:val="0"/>
        <w:pageBreakBefore w:val="0"/>
        <w:widowControl w:val="0"/>
        <w:kinsoku/>
        <w:wordWrap/>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sz w:val="32"/>
          <w:szCs w:val="32"/>
        </w:rPr>
        <w:t>加</w:t>
      </w:r>
      <w:r>
        <w:rPr>
          <w:rFonts w:hint="default" w:ascii="Times New Roman" w:hAnsi="Times New Roman" w:eastAsia="方正仿宋_GBK" w:cs="Times New Roman"/>
          <w:color w:val="000000"/>
          <w:sz w:val="32"/>
          <w:szCs w:val="32"/>
          <w:lang w:eastAsia="zh-CN"/>
        </w:rPr>
        <w:t>大交通监控设备</w:t>
      </w:r>
      <w:r>
        <w:rPr>
          <w:rFonts w:hint="default" w:ascii="Times New Roman" w:hAnsi="Times New Roman" w:eastAsia="方正仿宋_GBK" w:cs="Times New Roman"/>
          <w:color w:val="000000"/>
          <w:sz w:val="32"/>
          <w:szCs w:val="32"/>
        </w:rPr>
        <w:t>资金投入，积极推进</w:t>
      </w:r>
      <w:r>
        <w:rPr>
          <w:rFonts w:hint="default" w:ascii="Times New Roman" w:hAnsi="Times New Roman" w:eastAsia="方正仿宋_GBK" w:cs="Times New Roman"/>
          <w:color w:val="000000"/>
          <w:sz w:val="32"/>
          <w:szCs w:val="32"/>
          <w:lang w:eastAsia="zh-CN"/>
        </w:rPr>
        <w:t>路网监测点的</w:t>
      </w:r>
      <w:r>
        <w:rPr>
          <w:rFonts w:hint="default" w:ascii="Times New Roman" w:hAnsi="Times New Roman" w:eastAsia="方正仿宋_GBK" w:cs="Times New Roman"/>
          <w:color w:val="000000"/>
          <w:sz w:val="32"/>
          <w:szCs w:val="32"/>
        </w:rPr>
        <w:t>智能监控、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增加监控数量，逐步实现重点路段有效监测。确保障了全市公路网的安全畅通，社会公众满意出行。</w:t>
      </w: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topLinePunct w:val="0"/>
        <w:autoSpaceDE/>
        <w:bidi w:val="0"/>
        <w:spacing w:line="578"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 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z w:val="32"/>
          <w:szCs w:val="32"/>
        </w:rPr>
        <w:t>年度市本级部门整体支出绩效自评计分表</w:t>
      </w:r>
    </w:p>
    <w:p>
      <w:pPr>
        <w:keepNext w:val="0"/>
        <w:keepLines w:val="0"/>
        <w:pageBreakBefore w:val="0"/>
        <w:widowControl w:val="0"/>
        <w:kinsoku/>
        <w:wordWrap/>
        <w:topLinePunct w:val="0"/>
        <w:autoSpaceDE/>
        <w:bidi w:val="0"/>
        <w:spacing w:line="578" w:lineRule="exact"/>
        <w:ind w:firstLine="1600" w:firstLineChars="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2. 20</w:t>
      </w:r>
      <w:r>
        <w:rPr>
          <w:rFonts w:hint="default" w:ascii="Times New Roman" w:hAnsi="Times New Roman" w:eastAsia="方正仿宋_GBK" w:cs="Times New Roman"/>
          <w:color w:val="000000"/>
          <w:sz w:val="32"/>
          <w:szCs w:val="32"/>
          <w:lang w:val="en-US" w:eastAsia="zh-CN"/>
        </w:rPr>
        <w:t>22</w:t>
      </w:r>
      <w:r>
        <w:rPr>
          <w:rFonts w:hint="default" w:ascii="Times New Roman" w:hAnsi="Times New Roman" w:eastAsia="方正仿宋_GBK" w:cs="Times New Roman"/>
          <w:color w:val="000000"/>
          <w:spacing w:val="-17"/>
          <w:sz w:val="32"/>
          <w:szCs w:val="32"/>
        </w:rPr>
        <w:t>年度市本级部门整体支出绩效目标完成情况表</w:t>
      </w:r>
    </w:p>
    <w:p>
      <w:pPr>
        <w:keepNext w:val="0"/>
        <w:keepLines w:val="0"/>
        <w:pageBreakBefore w:val="0"/>
        <w:widowControl w:val="0"/>
        <w:kinsoku/>
        <w:wordWrap/>
        <w:topLinePunct w:val="0"/>
        <w:autoSpaceDE/>
        <w:bidi w:val="0"/>
        <w:spacing w:line="578" w:lineRule="exact"/>
        <w:ind w:firstLine="640" w:firstLineChars="200"/>
        <w:textAlignment w:val="auto"/>
        <w:rPr>
          <w:rFonts w:hint="eastAsia" w:eastAsia="方正仿宋_GBK" w:cs="Times New Roman"/>
          <w:color w:val="000000" w:themeColor="text1"/>
          <w:kern w:val="0"/>
          <w:sz w:val="32"/>
          <w:szCs w:val="32"/>
          <w:shd w:val="clear" w:color="auto" w:fill="FFFFFF"/>
          <w:lang w:eastAsia="zh-CN"/>
          <w14:textFill>
            <w14:solidFill>
              <w14:schemeClr w14:val="tx1"/>
            </w14:solidFill>
          </w14:textFill>
        </w:rPr>
      </w:pPr>
    </w:p>
    <w:p>
      <w:pPr>
        <w:keepNext w:val="0"/>
        <w:keepLines w:val="0"/>
        <w:pageBreakBefore w:val="0"/>
        <w:widowControl w:val="0"/>
        <w:kinsoku/>
        <w:wordWrap/>
        <w:topLinePunct w:val="0"/>
        <w:autoSpaceDE/>
        <w:bidi w:val="0"/>
        <w:spacing w:line="578" w:lineRule="exact"/>
        <w:ind w:firstLine="640" w:firstLineChars="200"/>
        <w:textAlignment w:val="auto"/>
        <w:rPr>
          <w:rFonts w:hint="eastAsia" w:eastAsia="方正仿宋_GBK" w:cs="Times New Roman"/>
          <w:color w:val="000000" w:themeColor="text1"/>
          <w:kern w:val="0"/>
          <w:sz w:val="32"/>
          <w:szCs w:val="32"/>
          <w:shd w:val="clear" w:color="auto" w:fill="FFFFFF"/>
          <w:lang w:eastAsia="zh-CN"/>
          <w14:textFill>
            <w14:solidFill>
              <w14:schemeClr w14:val="tx1"/>
            </w14:solidFill>
          </w14:textFill>
        </w:rPr>
      </w:pPr>
    </w:p>
    <w:p>
      <w:pPr>
        <w:keepNext w:val="0"/>
        <w:keepLines w:val="0"/>
        <w:pageBreakBefore w:val="0"/>
        <w:widowControl w:val="0"/>
        <w:kinsoku/>
        <w:wordWrap w:val="0"/>
        <w:topLinePunct w:val="0"/>
        <w:autoSpaceDE/>
        <w:bidi w:val="0"/>
        <w:spacing w:line="578" w:lineRule="exact"/>
        <w:ind w:firstLine="640" w:firstLineChars="200"/>
        <w:jc w:val="right"/>
        <w:textAlignment w:val="auto"/>
        <w:rPr>
          <w:rFonts w:hint="default" w:ascii="Times New Roman" w:hAnsi="Times New Roman" w:eastAsia="方正仿宋_GBK" w:cs="Times New Roman"/>
          <w:color w:val="000000" w:themeColor="text1"/>
          <w:kern w:val="0"/>
          <w:sz w:val="32"/>
          <w:szCs w:val="32"/>
          <w:shd w:val="clear" w:color="auto" w:fill="FFFFFF"/>
          <w:lang w:val="en-US" w:eastAsia="zh-CN"/>
          <w14:textFill>
            <w14:solidFill>
              <w14:schemeClr w14:val="tx1"/>
            </w14:solidFill>
          </w14:textFill>
        </w:rPr>
      </w:pPr>
      <w:r>
        <w:rPr>
          <w:rFonts w:hint="eastAsia" w:eastAsia="方正仿宋_GBK" w:cs="Times New Roman"/>
          <w:color w:val="000000" w:themeColor="text1"/>
          <w:kern w:val="0"/>
          <w:sz w:val="32"/>
          <w:szCs w:val="32"/>
          <w:shd w:val="clear" w:color="auto" w:fill="FFFFFF"/>
          <w:lang w:eastAsia="zh-CN"/>
          <w14:textFill>
            <w14:solidFill>
              <w14:schemeClr w14:val="tx1"/>
            </w14:solidFill>
          </w14:textFill>
        </w:rPr>
        <w:t>资阳市交通运行监测与应急保障中心</w:t>
      </w:r>
      <w:r>
        <w:rPr>
          <w:rFonts w:hint="eastAsia" w:eastAsia="方正仿宋_GBK" w:cs="Times New Roman"/>
          <w:color w:val="000000" w:themeColor="text1"/>
          <w:kern w:val="0"/>
          <w:sz w:val="32"/>
          <w:szCs w:val="32"/>
          <w:shd w:val="clear" w:color="auto" w:fill="FFFFFF"/>
          <w:lang w:val="en-US" w:eastAsia="zh-CN"/>
          <w14:textFill>
            <w14:solidFill>
              <w14:schemeClr w14:val="tx1"/>
            </w14:solidFill>
          </w14:textFill>
        </w:rPr>
        <w:t xml:space="preserve">  </w:t>
      </w:r>
    </w:p>
    <w:p>
      <w:pPr>
        <w:keepNext w:val="0"/>
        <w:keepLines w:val="0"/>
        <w:pageBreakBefore w:val="0"/>
        <w:widowControl w:val="0"/>
        <w:kinsoku/>
        <w:wordWrap w:val="0"/>
        <w:topLinePunct w:val="0"/>
        <w:autoSpaceDE/>
        <w:bidi w:val="0"/>
        <w:spacing w:line="578" w:lineRule="exact"/>
        <w:ind w:firstLine="640" w:firstLineChars="200"/>
        <w:jc w:val="right"/>
        <w:textAlignment w:val="auto"/>
        <w:rPr>
          <w:rFonts w:hint="eastAsia" w:eastAsia="方正仿宋_GBK" w:cs="Times New Roman"/>
          <w:color w:val="000000" w:themeColor="text1"/>
          <w:kern w:val="0"/>
          <w:sz w:val="32"/>
          <w:szCs w:val="32"/>
          <w:shd w:val="clear" w:color="auto" w:fill="FFFFFF"/>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shd w:val="clear" w:color="auto" w:fill="FFFFFF"/>
          <w:lang w:val="en-US" w:eastAsia="zh-CN"/>
          <w14:textFill>
            <w14:solidFill>
              <w14:schemeClr w14:val="tx1"/>
            </w14:solidFill>
          </w14:textFill>
        </w:rPr>
        <w:t>2023年5月</w:t>
      </w:r>
      <w:r>
        <w:rPr>
          <w:rFonts w:hint="eastAsia" w:eastAsia="方正仿宋_GBK" w:cs="Times New Roman"/>
          <w:color w:val="000000" w:themeColor="text1"/>
          <w:kern w:val="0"/>
          <w:sz w:val="32"/>
          <w:szCs w:val="32"/>
          <w:shd w:val="clear" w:color="auto" w:fill="FFFFFF"/>
          <w:lang w:val="en-US" w:eastAsia="zh-CN"/>
          <w14:textFill>
            <w14:solidFill>
              <w14:schemeClr w14:val="tx1"/>
            </w14:solidFill>
          </w14:textFill>
        </w:rPr>
        <w:t>22</w:t>
      </w:r>
      <w:r>
        <w:rPr>
          <w:rFonts w:hint="eastAsia" w:ascii="Times New Roman" w:hAnsi="Times New Roman" w:eastAsia="方正仿宋_GBK" w:cs="Times New Roman"/>
          <w:color w:val="000000" w:themeColor="text1"/>
          <w:kern w:val="0"/>
          <w:sz w:val="32"/>
          <w:szCs w:val="32"/>
          <w:shd w:val="clear" w:color="auto" w:fill="FFFFFF"/>
          <w:lang w:val="en-US" w:eastAsia="zh-CN"/>
          <w14:textFill>
            <w14:solidFill>
              <w14:schemeClr w14:val="tx1"/>
            </w14:solidFill>
          </w14:textFill>
        </w:rPr>
        <w:t>日</w:t>
      </w:r>
      <w:r>
        <w:rPr>
          <w:rFonts w:hint="eastAsia" w:eastAsia="方正仿宋_GBK" w:cs="Times New Roman"/>
          <w:color w:val="000000" w:themeColor="text1"/>
          <w:kern w:val="0"/>
          <w:sz w:val="32"/>
          <w:szCs w:val="32"/>
          <w:shd w:val="clear" w:color="auto" w:fill="FFFFFF"/>
          <w:lang w:val="en-US" w:eastAsia="zh-CN"/>
          <w14:textFill>
            <w14:solidFill>
              <w14:schemeClr w14:val="tx1"/>
            </w14:solidFill>
          </w14:textFill>
        </w:rPr>
        <w:t xml:space="preserve">         </w:t>
      </w:r>
    </w:p>
    <w:p>
      <w:pPr>
        <w:rPr>
          <w:rFonts w:hint="eastAsia" w:eastAsia="方正仿宋_GBK" w:cs="Times New Roman"/>
          <w:color w:val="000000" w:themeColor="text1"/>
          <w:kern w:val="0"/>
          <w:sz w:val="32"/>
          <w:szCs w:val="32"/>
          <w:shd w:val="clear" w:color="auto" w:fill="FFFFFF"/>
          <w:lang w:val="en-US" w:eastAsia="zh-CN"/>
          <w14:textFill>
            <w14:solidFill>
              <w14:schemeClr w14:val="tx1"/>
            </w14:solidFill>
          </w14:textFill>
        </w:rPr>
      </w:pPr>
      <w:r>
        <w:rPr>
          <w:rFonts w:hint="eastAsia" w:eastAsia="方正仿宋_GBK" w:cs="Times New Roman"/>
          <w:color w:val="000000" w:themeColor="text1"/>
          <w:kern w:val="0"/>
          <w:sz w:val="32"/>
          <w:szCs w:val="32"/>
          <w:shd w:val="clear" w:color="auto" w:fill="FFFFFF"/>
          <w:lang w:val="en-US" w:eastAsia="zh-CN"/>
          <w14:textFill>
            <w14:solidFill>
              <w14:schemeClr w14:val="tx1"/>
            </w14:solidFill>
          </w14:textFill>
        </w:rPr>
        <w:br w:type="page"/>
      </w:r>
    </w:p>
    <w:p>
      <w:pPr>
        <w:spacing w:line="620" w:lineRule="exact"/>
        <w:jc w:val="left"/>
        <w:rPr>
          <w:rFonts w:hint="default" w:eastAsia="方正小标宋简体"/>
          <w:bCs/>
          <w:kern w:val="0"/>
          <w:sz w:val="40"/>
          <w:szCs w:val="40"/>
          <w:lang w:val="en-US" w:eastAsia="zh-CN"/>
        </w:rPr>
      </w:pPr>
      <w:r>
        <w:rPr>
          <w:rFonts w:hint="eastAsia" w:eastAsia="方正小标宋简体"/>
          <w:bCs/>
          <w:kern w:val="0"/>
          <w:sz w:val="32"/>
          <w:szCs w:val="32"/>
          <w:lang w:eastAsia="zh-CN"/>
        </w:rPr>
        <w:t>附件</w:t>
      </w:r>
      <w:r>
        <w:rPr>
          <w:rFonts w:hint="eastAsia" w:eastAsia="方正小标宋简体"/>
          <w:bCs/>
          <w:kern w:val="0"/>
          <w:sz w:val="32"/>
          <w:szCs w:val="32"/>
          <w:lang w:val="en-US" w:eastAsia="zh-CN"/>
        </w:rPr>
        <w:t>1</w:t>
      </w:r>
      <w:bookmarkStart w:id="0" w:name="_GoBack"/>
      <w:bookmarkEnd w:id="0"/>
    </w:p>
    <w:p>
      <w:pPr>
        <w:spacing w:line="620" w:lineRule="exact"/>
        <w:jc w:val="center"/>
        <w:rPr>
          <w:rFonts w:eastAsia="方正黑体简体"/>
          <w:kern w:val="0"/>
          <w:sz w:val="32"/>
          <w:szCs w:val="32"/>
        </w:rPr>
      </w:pPr>
      <w:r>
        <w:rPr>
          <w:rFonts w:eastAsia="方正小标宋简体"/>
          <w:bCs/>
          <w:kern w:val="0"/>
          <w:sz w:val="40"/>
          <w:szCs w:val="40"/>
        </w:rPr>
        <w:t>20</w:t>
      </w:r>
      <w:r>
        <w:rPr>
          <w:rFonts w:hint="eastAsia" w:eastAsia="方正小标宋简体"/>
          <w:bCs/>
          <w:kern w:val="0"/>
          <w:sz w:val="40"/>
          <w:szCs w:val="40"/>
          <w:lang w:val="en-US" w:eastAsia="zh-CN"/>
        </w:rPr>
        <w:t>22</w:t>
      </w:r>
      <w:r>
        <w:rPr>
          <w:rFonts w:eastAsia="方正小标宋简体"/>
          <w:bCs/>
          <w:kern w:val="0"/>
          <w:sz w:val="40"/>
          <w:szCs w:val="40"/>
        </w:rPr>
        <w:t>年度市本级部门整体支出绩效自评计分表</w:t>
      </w:r>
    </w:p>
    <w:p>
      <w:pPr>
        <w:spacing w:line="620" w:lineRule="exact"/>
        <w:jc w:val="center"/>
        <w:rPr>
          <w:rFonts w:eastAsia="方正小标宋简体"/>
          <w:color w:val="000000"/>
          <w:kern w:val="0"/>
          <w:sz w:val="15"/>
          <w:szCs w:val="15"/>
        </w:rPr>
      </w:pPr>
      <w:r>
        <w:rPr>
          <w:rFonts w:eastAsia="方正小标宋简体"/>
          <w:color w:val="000000"/>
          <w:kern w:val="0"/>
          <w:sz w:val="15"/>
          <w:szCs w:val="15"/>
        </w:rPr>
        <w:t xml:space="preserve">部门（单位）名称： </w:t>
      </w:r>
      <w:r>
        <w:rPr>
          <w:rFonts w:hint="eastAsia" w:eastAsia="方正小标宋简体"/>
          <w:color w:val="000000"/>
          <w:kern w:val="0"/>
          <w:sz w:val="15"/>
          <w:szCs w:val="15"/>
        </w:rPr>
        <w:t>资阳市</w:t>
      </w:r>
      <w:r>
        <w:rPr>
          <w:rFonts w:hint="eastAsia" w:eastAsia="方正小标宋简体"/>
          <w:color w:val="000000"/>
          <w:kern w:val="0"/>
          <w:sz w:val="15"/>
          <w:szCs w:val="15"/>
          <w:lang w:eastAsia="zh-CN"/>
        </w:rPr>
        <w:t>交通运行监测与应急保障中心</w:t>
      </w:r>
      <w:r>
        <w:rPr>
          <w:rFonts w:hint="eastAsia" w:eastAsia="方正小标宋简体"/>
          <w:color w:val="000000"/>
          <w:kern w:val="0"/>
          <w:sz w:val="15"/>
          <w:szCs w:val="15"/>
          <w:lang w:val="en-US" w:eastAsia="zh-CN"/>
        </w:rPr>
        <w:t xml:space="preserve">      </w:t>
      </w:r>
      <w:r>
        <w:rPr>
          <w:rFonts w:eastAsia="方正小标宋简体"/>
          <w:color w:val="000000"/>
          <w:kern w:val="0"/>
          <w:sz w:val="15"/>
          <w:szCs w:val="15"/>
        </w:rPr>
        <w:t xml:space="preserve"> </w:t>
      </w:r>
      <w:r>
        <w:rPr>
          <w:rFonts w:hint="eastAsia" w:eastAsia="方正小标宋简体"/>
          <w:color w:val="000000"/>
          <w:kern w:val="0"/>
          <w:sz w:val="15"/>
          <w:szCs w:val="15"/>
          <w:lang w:val="en-US" w:eastAsia="zh-CN"/>
        </w:rPr>
        <w:t xml:space="preserve">  </w:t>
      </w:r>
      <w:r>
        <w:rPr>
          <w:rFonts w:eastAsia="方正小标宋简体"/>
          <w:color w:val="000000"/>
          <w:kern w:val="0"/>
          <w:sz w:val="15"/>
          <w:szCs w:val="15"/>
        </w:rPr>
        <w:t>预算单位编码：</w:t>
      </w:r>
      <w:r>
        <w:rPr>
          <w:rFonts w:hint="eastAsia" w:eastAsia="方正小标宋简体"/>
          <w:color w:val="000000"/>
          <w:kern w:val="0"/>
          <w:sz w:val="15"/>
          <w:szCs w:val="15"/>
        </w:rPr>
        <w:t>1</w:t>
      </w:r>
      <w:r>
        <w:rPr>
          <w:rFonts w:hint="eastAsia" w:eastAsia="方正小标宋简体"/>
          <w:color w:val="000000"/>
          <w:kern w:val="0"/>
          <w:sz w:val="15"/>
          <w:szCs w:val="15"/>
          <w:lang w:val="en-US" w:eastAsia="zh-CN"/>
        </w:rPr>
        <w:t>400007</w:t>
      </w:r>
      <w:r>
        <w:rPr>
          <w:rFonts w:eastAsia="方正小标宋简体"/>
          <w:color w:val="000000"/>
          <w:kern w:val="0"/>
          <w:sz w:val="15"/>
          <w:szCs w:val="15"/>
        </w:rPr>
        <w:t xml:space="preserve"> </w:t>
      </w:r>
      <w:r>
        <w:rPr>
          <w:rFonts w:hint="eastAsia" w:eastAsia="方正小标宋简体"/>
          <w:color w:val="000000"/>
          <w:kern w:val="0"/>
          <w:sz w:val="15"/>
          <w:szCs w:val="15"/>
          <w:lang w:val="en-US" w:eastAsia="zh-CN"/>
        </w:rPr>
        <w:t xml:space="preserve">         </w:t>
      </w:r>
      <w:r>
        <w:rPr>
          <w:rFonts w:eastAsia="方正小标宋简体"/>
          <w:color w:val="000000"/>
          <w:kern w:val="0"/>
          <w:sz w:val="15"/>
          <w:szCs w:val="15"/>
        </w:rPr>
        <w:t xml:space="preserve"> 自评等级：</w:t>
      </w:r>
      <w:r>
        <w:rPr>
          <w:rFonts w:hint="eastAsia" w:eastAsia="方正小标宋简体"/>
          <w:color w:val="000000"/>
          <w:kern w:val="0"/>
          <w:sz w:val="15"/>
          <w:szCs w:val="15"/>
        </w:rPr>
        <w:t>优秀</w:t>
      </w:r>
    </w:p>
    <w:tbl>
      <w:tblPr>
        <w:tblStyle w:val="5"/>
        <w:tblW w:w="9214" w:type="dxa"/>
        <w:tblInd w:w="-176" w:type="dxa"/>
        <w:tblLayout w:type="fixed"/>
        <w:tblCellMar>
          <w:top w:w="0" w:type="dxa"/>
          <w:left w:w="108" w:type="dxa"/>
          <w:bottom w:w="0" w:type="dxa"/>
          <w:right w:w="108" w:type="dxa"/>
        </w:tblCellMar>
      </w:tblPr>
      <w:tblGrid>
        <w:gridCol w:w="592"/>
        <w:gridCol w:w="559"/>
        <w:gridCol w:w="1059"/>
        <w:gridCol w:w="2206"/>
        <w:gridCol w:w="2808"/>
        <w:gridCol w:w="795"/>
        <w:gridCol w:w="1195"/>
      </w:tblGrid>
      <w:tr>
        <w:tblPrEx>
          <w:tblCellMar>
            <w:top w:w="0" w:type="dxa"/>
            <w:left w:w="108" w:type="dxa"/>
            <w:bottom w:w="0" w:type="dxa"/>
            <w:right w:w="108" w:type="dxa"/>
          </w:tblCellMar>
        </w:tblPrEx>
        <w:trPr>
          <w:trHeight w:val="660" w:hRule="atLeast"/>
          <w:tblHeader/>
        </w:trPr>
        <w:tc>
          <w:tcPr>
            <w:tcW w:w="5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b/>
                <w:bCs/>
                <w:spacing w:val="0"/>
                <w:kern w:val="0"/>
                <w:sz w:val="15"/>
                <w:szCs w:val="15"/>
              </w:rPr>
            </w:pPr>
            <w:r>
              <w:rPr>
                <w:rFonts w:eastAsia="宋体"/>
                <w:b/>
                <w:bCs/>
                <w:spacing w:val="0"/>
                <w:kern w:val="0"/>
                <w:sz w:val="15"/>
                <w:szCs w:val="15"/>
              </w:rPr>
              <w:t>一级</w:t>
            </w:r>
          </w:p>
          <w:p>
            <w:pPr>
              <w:widowControl/>
              <w:jc w:val="center"/>
              <w:rPr>
                <w:rFonts w:eastAsia="宋体"/>
                <w:b/>
                <w:bCs/>
                <w:spacing w:val="0"/>
                <w:kern w:val="0"/>
                <w:sz w:val="15"/>
                <w:szCs w:val="15"/>
              </w:rPr>
            </w:pPr>
            <w:r>
              <w:rPr>
                <w:rFonts w:eastAsia="宋体"/>
                <w:b/>
                <w:bCs/>
                <w:spacing w:val="0"/>
                <w:kern w:val="0"/>
                <w:sz w:val="15"/>
                <w:szCs w:val="15"/>
              </w:rPr>
              <w:t>指标</w:t>
            </w:r>
          </w:p>
        </w:tc>
        <w:tc>
          <w:tcPr>
            <w:tcW w:w="559" w:type="dxa"/>
            <w:tcBorders>
              <w:top w:val="single" w:color="auto" w:sz="4" w:space="0"/>
              <w:left w:val="nil"/>
              <w:bottom w:val="single" w:color="auto" w:sz="4" w:space="0"/>
              <w:right w:val="single" w:color="auto" w:sz="4" w:space="0"/>
            </w:tcBorders>
            <w:vAlign w:val="center"/>
          </w:tcPr>
          <w:p>
            <w:pPr>
              <w:widowControl/>
              <w:jc w:val="center"/>
              <w:rPr>
                <w:rFonts w:eastAsia="宋体"/>
                <w:b/>
                <w:bCs/>
                <w:spacing w:val="0"/>
                <w:kern w:val="0"/>
                <w:sz w:val="15"/>
                <w:szCs w:val="15"/>
              </w:rPr>
            </w:pPr>
            <w:r>
              <w:rPr>
                <w:rFonts w:eastAsia="宋体"/>
                <w:b/>
                <w:bCs/>
                <w:spacing w:val="0"/>
                <w:kern w:val="0"/>
                <w:sz w:val="15"/>
                <w:szCs w:val="15"/>
              </w:rPr>
              <w:t>二级指标</w:t>
            </w:r>
          </w:p>
        </w:tc>
        <w:tc>
          <w:tcPr>
            <w:tcW w:w="1059" w:type="dxa"/>
            <w:tcBorders>
              <w:top w:val="single" w:color="auto" w:sz="4" w:space="0"/>
              <w:left w:val="nil"/>
              <w:bottom w:val="single" w:color="auto" w:sz="4" w:space="0"/>
              <w:right w:val="single" w:color="auto" w:sz="4" w:space="0"/>
            </w:tcBorders>
            <w:vAlign w:val="center"/>
          </w:tcPr>
          <w:p>
            <w:pPr>
              <w:widowControl/>
              <w:jc w:val="center"/>
              <w:rPr>
                <w:b/>
                <w:bCs/>
                <w:spacing w:val="-20"/>
                <w:kern w:val="0"/>
                <w:sz w:val="15"/>
                <w:szCs w:val="15"/>
              </w:rPr>
            </w:pPr>
            <w:r>
              <w:rPr>
                <w:rFonts w:eastAsia="宋体"/>
                <w:b/>
                <w:bCs/>
                <w:spacing w:val="0"/>
                <w:kern w:val="0"/>
                <w:sz w:val="15"/>
                <w:szCs w:val="15"/>
              </w:rPr>
              <w:t>三级指标</w:t>
            </w:r>
          </w:p>
        </w:tc>
        <w:tc>
          <w:tcPr>
            <w:tcW w:w="2206" w:type="dxa"/>
            <w:tcBorders>
              <w:top w:val="single" w:color="auto" w:sz="4" w:space="0"/>
              <w:left w:val="nil"/>
              <w:bottom w:val="single" w:color="auto" w:sz="4" w:space="0"/>
              <w:right w:val="single" w:color="auto" w:sz="4" w:space="0"/>
            </w:tcBorders>
            <w:vAlign w:val="center"/>
          </w:tcPr>
          <w:p>
            <w:pPr>
              <w:widowControl/>
              <w:jc w:val="center"/>
              <w:rPr>
                <w:b/>
                <w:bCs/>
                <w:spacing w:val="-20"/>
                <w:kern w:val="0"/>
                <w:sz w:val="15"/>
                <w:szCs w:val="15"/>
              </w:rPr>
            </w:pPr>
            <w:r>
              <w:rPr>
                <w:b/>
                <w:bCs/>
                <w:spacing w:val="0"/>
                <w:kern w:val="0"/>
                <w:sz w:val="15"/>
                <w:szCs w:val="15"/>
              </w:rPr>
              <w:t>指标解释</w:t>
            </w:r>
          </w:p>
        </w:tc>
        <w:tc>
          <w:tcPr>
            <w:tcW w:w="2808" w:type="dxa"/>
            <w:tcBorders>
              <w:top w:val="single" w:color="auto" w:sz="4" w:space="0"/>
              <w:left w:val="nil"/>
              <w:bottom w:val="single" w:color="auto" w:sz="4" w:space="0"/>
              <w:right w:val="single" w:color="auto" w:sz="4" w:space="0"/>
            </w:tcBorders>
            <w:vAlign w:val="center"/>
          </w:tcPr>
          <w:p>
            <w:pPr>
              <w:widowControl/>
              <w:jc w:val="center"/>
              <w:rPr>
                <w:b/>
                <w:bCs/>
                <w:spacing w:val="-20"/>
                <w:kern w:val="0"/>
                <w:sz w:val="15"/>
                <w:szCs w:val="15"/>
              </w:rPr>
            </w:pPr>
            <w:r>
              <w:rPr>
                <w:rFonts w:eastAsia="宋体"/>
                <w:b/>
                <w:bCs/>
                <w:spacing w:val="0"/>
                <w:kern w:val="0"/>
                <w:sz w:val="15"/>
                <w:szCs w:val="15"/>
              </w:rPr>
              <w:t>指标说明(评价计分标准）</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eastAsia="宋体"/>
                <w:b/>
                <w:bCs/>
                <w:spacing w:val="0"/>
                <w:kern w:val="0"/>
                <w:sz w:val="15"/>
                <w:szCs w:val="15"/>
              </w:rPr>
            </w:pPr>
            <w:r>
              <w:rPr>
                <w:rFonts w:eastAsia="宋体"/>
                <w:b/>
                <w:bCs/>
                <w:spacing w:val="0"/>
                <w:kern w:val="0"/>
                <w:sz w:val="15"/>
                <w:szCs w:val="15"/>
              </w:rPr>
              <w:t>自评</w:t>
            </w:r>
          </w:p>
          <w:p>
            <w:pPr>
              <w:widowControl/>
              <w:jc w:val="center"/>
              <w:rPr>
                <w:b/>
                <w:bCs/>
                <w:spacing w:val="-20"/>
                <w:kern w:val="0"/>
                <w:sz w:val="15"/>
                <w:szCs w:val="15"/>
              </w:rPr>
            </w:pPr>
            <w:r>
              <w:rPr>
                <w:rFonts w:eastAsia="宋体"/>
                <w:b/>
                <w:bCs/>
                <w:spacing w:val="0"/>
                <w:kern w:val="0"/>
                <w:sz w:val="15"/>
                <w:szCs w:val="15"/>
              </w:rPr>
              <w:t>分数</w:t>
            </w:r>
          </w:p>
        </w:tc>
        <w:tc>
          <w:tcPr>
            <w:tcW w:w="1195" w:type="dxa"/>
            <w:tcBorders>
              <w:top w:val="single" w:color="auto" w:sz="4" w:space="0"/>
              <w:left w:val="nil"/>
              <w:bottom w:val="single" w:color="auto" w:sz="4" w:space="0"/>
              <w:right w:val="single" w:color="auto" w:sz="4" w:space="0"/>
            </w:tcBorders>
            <w:vAlign w:val="center"/>
          </w:tcPr>
          <w:p>
            <w:pPr>
              <w:widowControl/>
              <w:jc w:val="center"/>
              <w:rPr>
                <w:rFonts w:eastAsia="宋体"/>
                <w:b/>
                <w:bCs/>
                <w:spacing w:val="0"/>
                <w:kern w:val="0"/>
                <w:sz w:val="15"/>
                <w:szCs w:val="15"/>
              </w:rPr>
            </w:pPr>
            <w:r>
              <w:rPr>
                <w:rFonts w:eastAsia="宋体"/>
                <w:b/>
                <w:bCs/>
                <w:spacing w:val="0"/>
                <w:kern w:val="0"/>
                <w:sz w:val="15"/>
                <w:szCs w:val="15"/>
              </w:rPr>
              <w:t>自评</w:t>
            </w:r>
          </w:p>
          <w:p>
            <w:pPr>
              <w:widowControl/>
              <w:jc w:val="center"/>
              <w:rPr>
                <w:b/>
                <w:bCs/>
                <w:spacing w:val="-20"/>
                <w:kern w:val="0"/>
                <w:sz w:val="15"/>
                <w:szCs w:val="15"/>
              </w:rPr>
            </w:pPr>
            <w:r>
              <w:rPr>
                <w:rFonts w:eastAsia="宋体"/>
                <w:b/>
                <w:bCs/>
                <w:spacing w:val="0"/>
                <w:kern w:val="0"/>
                <w:sz w:val="15"/>
                <w:szCs w:val="15"/>
              </w:rPr>
              <w:t>依据及说明</w:t>
            </w:r>
          </w:p>
        </w:tc>
      </w:tr>
      <w:tr>
        <w:tblPrEx>
          <w:tblCellMar>
            <w:top w:w="0" w:type="dxa"/>
            <w:left w:w="108" w:type="dxa"/>
            <w:bottom w:w="0" w:type="dxa"/>
            <w:right w:w="108" w:type="dxa"/>
          </w:tblCellMar>
        </w:tblPrEx>
        <w:trPr>
          <w:trHeight w:val="1562" w:hRule="atLeast"/>
        </w:trPr>
        <w:tc>
          <w:tcPr>
            <w:tcW w:w="59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kern w:val="0"/>
                <w:sz w:val="15"/>
                <w:szCs w:val="15"/>
              </w:rPr>
            </w:pPr>
            <w:r>
              <w:rPr>
                <w:kern w:val="0"/>
                <w:sz w:val="15"/>
                <w:szCs w:val="15"/>
              </w:rPr>
              <w:t>投入（20分）</w:t>
            </w:r>
          </w:p>
        </w:tc>
        <w:tc>
          <w:tcPr>
            <w:tcW w:w="559"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15"/>
                <w:szCs w:val="15"/>
              </w:rPr>
            </w:pPr>
            <w:r>
              <w:rPr>
                <w:spacing w:val="-20"/>
                <w:kern w:val="0"/>
                <w:sz w:val="15"/>
                <w:szCs w:val="15"/>
              </w:rPr>
              <w:t>目标设定（5分）</w:t>
            </w: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绩效目标合理性（2分）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部门（单位）所设立的整体绩效目标依据是否充分，是否符合客观实际，用以反映和考核部门（单位）整体绩效目标与部门履职、年度工作任务的相符性情况。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是否符合国家法律法规、国民经济和社会发展总体规划；(1分）</w:t>
            </w:r>
            <w:r>
              <w:rPr>
                <w:kern w:val="0"/>
                <w:sz w:val="15"/>
                <w:szCs w:val="15"/>
              </w:rPr>
              <w:br w:type="textWrapping"/>
            </w:r>
            <w:r>
              <w:rPr>
                <w:rFonts w:hint="eastAsia" w:ascii="宋体" w:hAnsi="宋体" w:cs="宋体"/>
                <w:kern w:val="0"/>
                <w:sz w:val="15"/>
                <w:szCs w:val="15"/>
              </w:rPr>
              <w:t>②</w:t>
            </w:r>
            <w:r>
              <w:rPr>
                <w:kern w:val="0"/>
                <w:sz w:val="15"/>
                <w:szCs w:val="15"/>
              </w:rPr>
              <w:t>是否符合部门“三定”方案确定的职责；（0.5分）</w:t>
            </w:r>
            <w:r>
              <w:rPr>
                <w:kern w:val="0"/>
                <w:sz w:val="15"/>
                <w:szCs w:val="15"/>
              </w:rPr>
              <w:br w:type="textWrapping"/>
            </w:r>
            <w:r>
              <w:rPr>
                <w:rFonts w:hint="eastAsia" w:ascii="宋体" w:hAnsi="宋体" w:cs="宋体"/>
                <w:kern w:val="0"/>
                <w:sz w:val="15"/>
                <w:szCs w:val="15"/>
              </w:rPr>
              <w:t>③</w:t>
            </w:r>
            <w:r>
              <w:rPr>
                <w:kern w:val="0"/>
                <w:sz w:val="15"/>
                <w:szCs w:val="15"/>
              </w:rPr>
              <w:t>是否符合部门制定的中长期实施规划。（0.5分）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严格按照单位职责，设立目标、与年度工作相符</w:t>
            </w:r>
          </w:p>
        </w:tc>
      </w:tr>
      <w:tr>
        <w:tblPrEx>
          <w:tblCellMar>
            <w:top w:w="0" w:type="dxa"/>
            <w:left w:w="108" w:type="dxa"/>
            <w:bottom w:w="0" w:type="dxa"/>
            <w:right w:w="108" w:type="dxa"/>
          </w:tblCellMar>
        </w:tblPrEx>
        <w:trPr>
          <w:trHeight w:val="1698"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绩效指标明确性（3分）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部门（单位）依据整体绩效目标所设定的绩效指标是否清晰、细化、可衡量，用以反映和考核部门（单位）整体绩效目标的明细化情况。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是</w:t>
            </w:r>
            <w:r>
              <w:rPr>
                <w:spacing w:val="-16"/>
                <w:kern w:val="0"/>
                <w:sz w:val="15"/>
                <w:szCs w:val="15"/>
              </w:rPr>
              <w:t>否将部门整体的绩效目标细化分解为具体的工作任务；（1分）</w:t>
            </w:r>
            <w:r>
              <w:rPr>
                <w:kern w:val="0"/>
                <w:sz w:val="15"/>
                <w:szCs w:val="15"/>
              </w:rPr>
              <w:br w:type="textWrapping"/>
            </w:r>
            <w:r>
              <w:rPr>
                <w:rFonts w:hint="eastAsia" w:ascii="宋体" w:hAnsi="宋体" w:cs="宋体"/>
                <w:kern w:val="0"/>
                <w:sz w:val="15"/>
                <w:szCs w:val="15"/>
              </w:rPr>
              <w:t>②</w:t>
            </w:r>
            <w:r>
              <w:rPr>
                <w:kern w:val="0"/>
                <w:sz w:val="15"/>
                <w:szCs w:val="15"/>
              </w:rPr>
              <w:t xml:space="preserve">是否通过清晰、可衡量的指标值予以体现;(0.5分）    </w:t>
            </w:r>
            <w:r>
              <w:rPr>
                <w:rFonts w:hint="eastAsia" w:ascii="宋体" w:hAnsi="宋体" w:cs="宋体"/>
                <w:kern w:val="0"/>
                <w:sz w:val="15"/>
                <w:szCs w:val="15"/>
              </w:rPr>
              <w:t>③</w:t>
            </w:r>
            <w:r>
              <w:rPr>
                <w:kern w:val="0"/>
                <w:sz w:val="15"/>
                <w:szCs w:val="15"/>
              </w:rPr>
              <w:t>是否与部门年度的任务数或计划数相对应；（0.5分）</w:t>
            </w:r>
            <w:r>
              <w:rPr>
                <w:kern w:val="0"/>
                <w:sz w:val="15"/>
                <w:szCs w:val="15"/>
              </w:rPr>
              <w:br w:type="textWrapping"/>
            </w:r>
            <w:r>
              <w:rPr>
                <w:rFonts w:hint="eastAsia" w:ascii="宋体" w:hAnsi="宋体" w:cs="宋体"/>
                <w:kern w:val="0"/>
                <w:sz w:val="15"/>
                <w:szCs w:val="15"/>
              </w:rPr>
              <w:t>④</w:t>
            </w:r>
            <w:r>
              <w:rPr>
                <w:kern w:val="0"/>
                <w:sz w:val="15"/>
                <w:szCs w:val="15"/>
              </w:rPr>
              <w:t>是否与本年度部门预算资金相匹配。（1分）</w:t>
            </w:r>
          </w:p>
        </w:tc>
        <w:tc>
          <w:tcPr>
            <w:tcW w:w="795" w:type="dxa"/>
            <w:tcBorders>
              <w:top w:val="nil"/>
              <w:left w:val="nil"/>
              <w:bottom w:val="single" w:color="auto" w:sz="4" w:space="0"/>
              <w:right w:val="single" w:color="auto" w:sz="4" w:space="0"/>
            </w:tcBorders>
            <w:vAlign w:val="center"/>
          </w:tcPr>
          <w:p>
            <w:pPr>
              <w:widowControl/>
              <w:jc w:val="center"/>
              <w:rPr>
                <w:rFonts w:hint="eastAsia" w:eastAsia="宋体"/>
                <w:kern w:val="0"/>
                <w:sz w:val="15"/>
                <w:szCs w:val="15"/>
                <w:lang w:val="en-US" w:eastAsia="zh-CN"/>
              </w:rPr>
            </w:pPr>
            <w:r>
              <w:rPr>
                <w:rFonts w:hint="eastAsia"/>
                <w:kern w:val="0"/>
                <w:sz w:val="15"/>
                <w:szCs w:val="15"/>
                <w:lang w:val="en-US" w:eastAsia="zh-CN"/>
              </w:rPr>
              <w:t>3</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相符</w:t>
            </w:r>
          </w:p>
        </w:tc>
      </w:tr>
      <w:tr>
        <w:tblPrEx>
          <w:tblCellMar>
            <w:top w:w="0" w:type="dxa"/>
            <w:left w:w="108" w:type="dxa"/>
            <w:bottom w:w="0" w:type="dxa"/>
            <w:right w:w="108" w:type="dxa"/>
          </w:tblCellMar>
        </w:tblPrEx>
        <w:trPr>
          <w:trHeight w:val="1530"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15"/>
                <w:szCs w:val="15"/>
              </w:rPr>
            </w:pPr>
            <w:r>
              <w:rPr>
                <w:spacing w:val="-20"/>
                <w:kern w:val="0"/>
                <w:sz w:val="15"/>
                <w:szCs w:val="15"/>
              </w:rPr>
              <w:t>预算配置（15分）</w:t>
            </w: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在职人员控制率（5分）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部门（单位）本年度实际在职人员数与编制数的比率，用以反映和考核部门（单位）对人员成本的控制程度。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在职人员控制率=（在职人员数/编制数）×100%。（小于或等于1计5分，否则按比例计分）</w:t>
            </w:r>
            <w:r>
              <w:rPr>
                <w:kern w:val="0"/>
                <w:sz w:val="15"/>
                <w:szCs w:val="15"/>
              </w:rPr>
              <w:br w:type="textWrapping"/>
            </w:r>
            <w:r>
              <w:rPr>
                <w:kern w:val="0"/>
                <w:sz w:val="15"/>
                <w:szCs w:val="15"/>
              </w:rPr>
              <w:t>在职人员数：部门（单位）实际在职人数，以财政部确定的部门决算编制口径为准。</w:t>
            </w:r>
            <w:r>
              <w:rPr>
                <w:kern w:val="0"/>
                <w:sz w:val="15"/>
                <w:szCs w:val="15"/>
              </w:rPr>
              <w:br w:type="textWrapping"/>
            </w:r>
            <w:r>
              <w:rPr>
                <w:kern w:val="0"/>
                <w:sz w:val="15"/>
                <w:szCs w:val="15"/>
              </w:rPr>
              <w:t>编制数：机构编制部门核定批复的部门（单位）的人员编制数。</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5</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实有人数</w:t>
            </w:r>
            <w:r>
              <w:rPr>
                <w:rFonts w:hint="eastAsia" w:eastAsiaTheme="minorEastAsia"/>
                <w:sz w:val="15"/>
                <w:szCs w:val="15"/>
                <w:lang w:val="en-US" w:eastAsia="zh-CN"/>
              </w:rPr>
              <w:t>6</w:t>
            </w:r>
            <w:r>
              <w:rPr>
                <w:rFonts w:hint="eastAsia" w:eastAsiaTheme="minorEastAsia"/>
                <w:sz w:val="15"/>
                <w:szCs w:val="15"/>
              </w:rPr>
              <w:t>人，编制数</w:t>
            </w:r>
            <w:r>
              <w:rPr>
                <w:rFonts w:hint="eastAsia" w:eastAsiaTheme="minorEastAsia"/>
                <w:sz w:val="15"/>
                <w:szCs w:val="15"/>
                <w:lang w:val="en-US" w:eastAsia="zh-CN"/>
              </w:rPr>
              <w:t>7</w:t>
            </w:r>
            <w:r>
              <w:rPr>
                <w:rFonts w:hint="eastAsia" w:eastAsiaTheme="minorEastAsia"/>
                <w:sz w:val="15"/>
                <w:szCs w:val="15"/>
              </w:rPr>
              <w:t>人</w:t>
            </w:r>
          </w:p>
        </w:tc>
      </w:tr>
      <w:tr>
        <w:tblPrEx>
          <w:tblCellMar>
            <w:top w:w="0" w:type="dxa"/>
            <w:left w:w="108" w:type="dxa"/>
            <w:bottom w:w="0" w:type="dxa"/>
            <w:right w:w="108" w:type="dxa"/>
          </w:tblCellMar>
        </w:tblPrEx>
        <w:trPr>
          <w:trHeight w:val="1605"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“三公经费”变动率（5分）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部门（单位）本年度“三公经费”预算数与上年度“三公经费”预算数的变动比率，用以反映和考核部门（单位）对控制重点行政成本的努力程度。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“三公经费”变动率=[（本年度“三公经费”总额-上年度“三公经费”总额）/上年度“三公经费”总额]×100%。（下降的计5分，增加的按比例扣减）</w:t>
            </w:r>
            <w:r>
              <w:rPr>
                <w:kern w:val="0"/>
                <w:sz w:val="15"/>
                <w:szCs w:val="15"/>
              </w:rPr>
              <w:br w:type="textWrapping"/>
            </w:r>
            <w:r>
              <w:rPr>
                <w:kern w:val="0"/>
                <w:sz w:val="15"/>
                <w:szCs w:val="15"/>
              </w:rPr>
              <w:t>“三公经费”：年度预算安排的因公出国（境）费、公务车辆购置及运行费和公务招待费。</w:t>
            </w:r>
          </w:p>
        </w:tc>
        <w:tc>
          <w:tcPr>
            <w:tcW w:w="795" w:type="dxa"/>
            <w:tcBorders>
              <w:top w:val="nil"/>
              <w:left w:val="nil"/>
              <w:bottom w:val="single" w:color="auto" w:sz="4" w:space="0"/>
              <w:right w:val="single" w:color="auto" w:sz="4" w:space="0"/>
            </w:tcBorders>
            <w:vAlign w:val="center"/>
          </w:tcPr>
          <w:p>
            <w:pPr>
              <w:widowControl/>
              <w:jc w:val="center"/>
              <w:rPr>
                <w:rFonts w:hint="eastAsia" w:eastAsia="宋体"/>
                <w:kern w:val="0"/>
                <w:sz w:val="15"/>
                <w:szCs w:val="15"/>
                <w:lang w:val="en-US" w:eastAsia="zh-CN"/>
              </w:rPr>
            </w:pPr>
            <w:r>
              <w:rPr>
                <w:rFonts w:hint="eastAsia"/>
                <w:kern w:val="0"/>
                <w:sz w:val="15"/>
                <w:szCs w:val="15"/>
                <w:lang w:val="en-US" w:eastAsia="zh-CN"/>
              </w:rPr>
              <w:t>5</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三公经费比20</w:t>
            </w:r>
            <w:r>
              <w:rPr>
                <w:rFonts w:hint="eastAsia" w:eastAsiaTheme="minorEastAsia"/>
                <w:sz w:val="15"/>
                <w:szCs w:val="15"/>
                <w:lang w:val="en-US" w:eastAsia="zh-CN"/>
              </w:rPr>
              <w:t>21</w:t>
            </w:r>
            <w:r>
              <w:rPr>
                <w:rFonts w:hint="eastAsia" w:eastAsiaTheme="minorEastAsia"/>
                <w:sz w:val="15"/>
                <w:szCs w:val="15"/>
              </w:rPr>
              <w:t>年下降</w:t>
            </w:r>
            <w:r>
              <w:rPr>
                <w:rFonts w:hint="eastAsia" w:eastAsiaTheme="minorEastAsia"/>
                <w:sz w:val="15"/>
                <w:szCs w:val="15"/>
                <w:lang w:val="en-US" w:eastAsia="zh-CN"/>
              </w:rPr>
              <w:t>45</w:t>
            </w:r>
            <w:r>
              <w:rPr>
                <w:rFonts w:hint="eastAsia" w:eastAsiaTheme="minorEastAsia"/>
                <w:sz w:val="15"/>
                <w:szCs w:val="15"/>
              </w:rPr>
              <w:t>%</w:t>
            </w:r>
          </w:p>
        </w:tc>
      </w:tr>
      <w:tr>
        <w:tblPrEx>
          <w:tblCellMar>
            <w:top w:w="0" w:type="dxa"/>
            <w:left w:w="108" w:type="dxa"/>
            <w:bottom w:w="0" w:type="dxa"/>
            <w:right w:w="108" w:type="dxa"/>
          </w:tblCellMar>
        </w:tblPrEx>
        <w:trPr>
          <w:trHeight w:val="1956"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重点支出安排率（5分）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部门（单位）本年度预算安排的重点项目支出与部门项目总支出的比率，用以反映和考核部门（单位）对履行主要职责或完成重点任务的保障程度。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重点支出安排率=（重点项目支出/项目总支出）×100%。（实际得分=支出安排率*5分）</w:t>
            </w:r>
            <w:r>
              <w:rPr>
                <w:kern w:val="0"/>
                <w:sz w:val="15"/>
                <w:szCs w:val="15"/>
              </w:rPr>
              <w:br w:type="textWrapping"/>
            </w:r>
            <w:r>
              <w:rPr>
                <w:kern w:val="0"/>
                <w:sz w:val="15"/>
                <w:szCs w:val="15"/>
              </w:rPr>
              <w:t>重点项目支出：部门（单位）年度预算安排的，与本部门履职和发展密切相关、具有明显社会和经济影响、党委政府关心或社会比较关注的项目支出总额。</w:t>
            </w:r>
            <w:r>
              <w:rPr>
                <w:kern w:val="0"/>
                <w:sz w:val="15"/>
                <w:szCs w:val="15"/>
              </w:rPr>
              <w:br w:type="textWrapping"/>
            </w:r>
            <w:r>
              <w:rPr>
                <w:kern w:val="0"/>
                <w:sz w:val="15"/>
                <w:szCs w:val="15"/>
              </w:rPr>
              <w:t>项目总支出：部门（单位）年度预算安排的项目支出总额。</w:t>
            </w:r>
          </w:p>
        </w:tc>
        <w:tc>
          <w:tcPr>
            <w:tcW w:w="795" w:type="dxa"/>
            <w:tcBorders>
              <w:top w:val="nil"/>
              <w:left w:val="nil"/>
              <w:bottom w:val="single" w:color="auto" w:sz="4" w:space="0"/>
              <w:right w:val="single" w:color="auto" w:sz="4" w:space="0"/>
            </w:tcBorders>
            <w:vAlign w:val="center"/>
          </w:tcPr>
          <w:p>
            <w:pPr>
              <w:widowControl/>
              <w:jc w:val="center"/>
              <w:rPr>
                <w:rFonts w:hint="eastAsia" w:eastAsia="宋体"/>
                <w:kern w:val="0"/>
                <w:sz w:val="15"/>
                <w:szCs w:val="15"/>
                <w:lang w:eastAsia="zh-CN"/>
              </w:rPr>
            </w:pPr>
            <w:r>
              <w:rPr>
                <w:rFonts w:hint="eastAsia"/>
                <w:kern w:val="0"/>
                <w:sz w:val="15"/>
                <w:szCs w:val="15"/>
                <w:lang w:val="en-US" w:eastAsia="zh-CN"/>
              </w:rPr>
              <w:t>5</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重点项目安排占项目</w:t>
            </w:r>
            <w:r>
              <w:rPr>
                <w:rFonts w:hint="eastAsia" w:eastAsiaTheme="minorEastAsia"/>
                <w:sz w:val="15"/>
                <w:szCs w:val="15"/>
                <w:lang w:val="en-US" w:eastAsia="zh-CN"/>
              </w:rPr>
              <w:t>100</w:t>
            </w:r>
            <w:r>
              <w:rPr>
                <w:rFonts w:hint="eastAsia" w:eastAsiaTheme="minorEastAsia"/>
                <w:sz w:val="15"/>
                <w:szCs w:val="15"/>
              </w:rPr>
              <w:t>%</w:t>
            </w:r>
          </w:p>
        </w:tc>
      </w:tr>
      <w:tr>
        <w:tblPrEx>
          <w:tblCellMar>
            <w:top w:w="0" w:type="dxa"/>
            <w:left w:w="108" w:type="dxa"/>
            <w:bottom w:w="0" w:type="dxa"/>
            <w:right w:w="108" w:type="dxa"/>
          </w:tblCellMar>
        </w:tblPrEx>
        <w:trPr>
          <w:trHeight w:val="1695" w:hRule="atLeast"/>
        </w:trPr>
        <w:tc>
          <w:tcPr>
            <w:tcW w:w="592" w:type="dxa"/>
            <w:vMerge w:val="restart"/>
            <w:tcBorders>
              <w:top w:val="nil"/>
              <w:left w:val="single" w:color="auto" w:sz="4" w:space="0"/>
              <w:bottom w:val="single" w:color="000000" w:sz="4" w:space="0"/>
              <w:right w:val="single" w:color="auto" w:sz="4" w:space="0"/>
            </w:tcBorders>
            <w:textDirection w:val="tbRlV"/>
            <w:vAlign w:val="center"/>
          </w:tcPr>
          <w:p>
            <w:pPr>
              <w:widowControl/>
              <w:jc w:val="center"/>
              <w:rPr>
                <w:kern w:val="0"/>
                <w:sz w:val="15"/>
                <w:szCs w:val="15"/>
              </w:rPr>
            </w:pPr>
            <w:r>
              <w:rPr>
                <w:kern w:val="0"/>
                <w:sz w:val="15"/>
                <w:szCs w:val="15"/>
              </w:rPr>
              <w:t>过程（30分）</w:t>
            </w:r>
          </w:p>
        </w:tc>
        <w:tc>
          <w:tcPr>
            <w:tcW w:w="559" w:type="dxa"/>
            <w:vMerge w:val="restart"/>
            <w:tcBorders>
              <w:top w:val="nil"/>
              <w:left w:val="single" w:color="auto" w:sz="4" w:space="0"/>
              <w:bottom w:val="single" w:color="000000" w:sz="4" w:space="0"/>
              <w:right w:val="single" w:color="auto" w:sz="4" w:space="0"/>
            </w:tcBorders>
            <w:vAlign w:val="center"/>
          </w:tcPr>
          <w:p>
            <w:pPr>
              <w:widowControl/>
              <w:jc w:val="center"/>
              <w:rPr>
                <w:spacing w:val="-20"/>
                <w:kern w:val="0"/>
                <w:sz w:val="15"/>
                <w:szCs w:val="15"/>
              </w:rPr>
            </w:pPr>
            <w:r>
              <w:rPr>
                <w:spacing w:val="-20"/>
                <w:kern w:val="0"/>
                <w:sz w:val="15"/>
                <w:szCs w:val="15"/>
              </w:rPr>
              <w:t>预算执行（20分）</w:t>
            </w: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预算完成率（4分）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部门（单位）本年度预算完成数与预算数的比率，用以反映和考核部门（单位）预算完成程度。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预算完成率=（预算完成数/预算数）×100%。（完成年初预算计4分，未完成年初按比例扣减）</w:t>
            </w:r>
            <w:r>
              <w:rPr>
                <w:kern w:val="0"/>
                <w:sz w:val="15"/>
                <w:szCs w:val="15"/>
              </w:rPr>
              <w:br w:type="textWrapping"/>
            </w:r>
            <w:r>
              <w:rPr>
                <w:kern w:val="0"/>
                <w:sz w:val="15"/>
                <w:szCs w:val="15"/>
              </w:rPr>
              <w:t>预算完成数：部门（单位）本年度实际完成的预算数。</w:t>
            </w:r>
            <w:r>
              <w:rPr>
                <w:kern w:val="0"/>
                <w:sz w:val="15"/>
                <w:szCs w:val="15"/>
              </w:rPr>
              <w:br w:type="textWrapping"/>
            </w:r>
            <w:r>
              <w:rPr>
                <w:kern w:val="0"/>
                <w:sz w:val="15"/>
                <w:szCs w:val="15"/>
              </w:rPr>
              <w:t>预算数：财政部门批复的本年度部门（单位）预算数。</w:t>
            </w:r>
          </w:p>
        </w:tc>
        <w:tc>
          <w:tcPr>
            <w:tcW w:w="795" w:type="dxa"/>
            <w:tcBorders>
              <w:top w:val="nil"/>
              <w:left w:val="nil"/>
              <w:bottom w:val="single" w:color="auto" w:sz="4" w:space="0"/>
              <w:right w:val="single" w:color="auto" w:sz="4" w:space="0"/>
            </w:tcBorders>
            <w:vAlign w:val="center"/>
          </w:tcPr>
          <w:p>
            <w:pPr>
              <w:widowControl/>
              <w:jc w:val="center"/>
              <w:rPr>
                <w:rFonts w:hint="eastAsia" w:eastAsia="宋体"/>
                <w:kern w:val="0"/>
                <w:sz w:val="15"/>
                <w:szCs w:val="15"/>
                <w:lang w:eastAsia="zh-CN"/>
              </w:rPr>
            </w:pPr>
            <w:r>
              <w:rPr>
                <w:rFonts w:hint="eastAsia"/>
                <w:kern w:val="0"/>
                <w:sz w:val="15"/>
                <w:szCs w:val="15"/>
                <w:lang w:val="en-US" w:eastAsia="zh-CN"/>
              </w:rPr>
              <w:t>4</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预算完成100%</w:t>
            </w:r>
          </w:p>
        </w:tc>
      </w:tr>
      <w:tr>
        <w:tblPrEx>
          <w:tblCellMar>
            <w:top w:w="0" w:type="dxa"/>
            <w:left w:w="108" w:type="dxa"/>
            <w:bottom w:w="0" w:type="dxa"/>
            <w:right w:w="108" w:type="dxa"/>
          </w:tblCellMar>
        </w:tblPrEx>
        <w:trPr>
          <w:trHeight w:val="1860"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预算调整率（2分）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部门（单位）本年度预算调整数与预算数的比率，用以反映和考核部门（单位）预算的调整程度。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预算调整率=（预算调整数/预算数）×100%。（未调整的计2分，调整了的除特殊原因外按比例扣减）</w:t>
            </w:r>
            <w:r>
              <w:rPr>
                <w:kern w:val="0"/>
                <w:sz w:val="15"/>
                <w:szCs w:val="15"/>
              </w:rPr>
              <w:br w:type="textWrapping"/>
            </w:r>
            <w:r>
              <w:rPr>
                <w:kern w:val="0"/>
                <w:sz w:val="15"/>
                <w:szCs w:val="15"/>
              </w:rPr>
              <w:t>预算调整数：部门（单位）在本年度内涉及预算的追加、追减或结构调整的资金总和（因落实国家政策、发生不可抗力、上级部门或本级党委政府临时交办而产生的调整除外）。</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严格按照要求调整预算</w:t>
            </w:r>
          </w:p>
        </w:tc>
      </w:tr>
      <w:tr>
        <w:tblPrEx>
          <w:tblCellMar>
            <w:top w:w="0" w:type="dxa"/>
            <w:left w:w="108" w:type="dxa"/>
            <w:bottom w:w="0" w:type="dxa"/>
            <w:right w:w="108" w:type="dxa"/>
          </w:tblCellMar>
        </w:tblPrEx>
        <w:trPr>
          <w:trHeight w:val="2295"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支付进度率（2分）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部门（单位）实际支付进度与既定支付进度的比率，用以反映和考核部门（单位）预算执行的及时性和均衡性程度。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支付进度率=（实际支付进度/既定支付进度）×100%。完成年终进度的计1分，按季度完成预算进度的计1分。</w:t>
            </w:r>
            <w:r>
              <w:rPr>
                <w:kern w:val="0"/>
                <w:sz w:val="15"/>
                <w:szCs w:val="15"/>
              </w:rPr>
              <w:br w:type="textWrapping"/>
            </w:r>
            <w:r>
              <w:rPr>
                <w:kern w:val="0"/>
                <w:sz w:val="15"/>
                <w:szCs w:val="15"/>
              </w:rPr>
              <w:t>实际支付进度：部门（单位）在某一时点的支出预算执行总数与年度支出预算数的比率。</w:t>
            </w:r>
            <w:r>
              <w:rPr>
                <w:kern w:val="0"/>
                <w:sz w:val="15"/>
                <w:szCs w:val="15"/>
              </w:rPr>
              <w:br w:type="textWrapping"/>
            </w:r>
            <w:r>
              <w:rPr>
                <w:kern w:val="0"/>
                <w:sz w:val="15"/>
                <w:szCs w:val="15"/>
              </w:rPr>
              <w:t>既定支付进度：由部门（单位）在申报部门整体绩效目标时，参照序时支付进度、前三年支付进度、同级部门平均支付进度水平等确定的，在某一时点应达到的支付进度（比率）。</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按照政府进度支付</w:t>
            </w:r>
          </w:p>
        </w:tc>
      </w:tr>
      <w:tr>
        <w:tblPrEx>
          <w:tblCellMar>
            <w:top w:w="0" w:type="dxa"/>
            <w:left w:w="108" w:type="dxa"/>
            <w:bottom w:w="0" w:type="dxa"/>
            <w:right w:w="108" w:type="dxa"/>
          </w:tblCellMar>
        </w:tblPrEx>
        <w:trPr>
          <w:trHeight w:val="1320"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结转结余率（2分）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部门（单位）本年度结转结余总额与支出预算数的比率，用以反映和考核部门（单位）对本年度结转结余资金的实际控制程度。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结转结余率=结转结余总额/支出预算数×100%。低于5%的计1分，每超过5个百分点扣1分，扣完为止。</w:t>
            </w:r>
            <w:r>
              <w:rPr>
                <w:kern w:val="0"/>
                <w:sz w:val="15"/>
                <w:szCs w:val="15"/>
              </w:rPr>
              <w:br w:type="textWrapping"/>
            </w:r>
            <w:r>
              <w:rPr>
                <w:kern w:val="0"/>
                <w:sz w:val="15"/>
                <w:szCs w:val="15"/>
              </w:rPr>
              <w:t>结转结余总额：部门（单位）本年度的结转资金与结余资金之和（以决算数为准）。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无</w:t>
            </w:r>
          </w:p>
        </w:tc>
      </w:tr>
      <w:tr>
        <w:tblPrEx>
          <w:tblCellMar>
            <w:top w:w="0" w:type="dxa"/>
            <w:left w:w="108" w:type="dxa"/>
            <w:bottom w:w="0" w:type="dxa"/>
            <w:right w:w="108" w:type="dxa"/>
          </w:tblCellMar>
        </w:tblPrEx>
        <w:trPr>
          <w:trHeight w:val="1590"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结转结余变动率（2分）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部门（单位）本年度结转结余资金总额与上年度结转结余资金总额的变动比率，用以反映和考核部门（单位）对控制结转结余资金的努力程度。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结转结余变动率=[（本年度累计结转结余资金总额-上年度累计结转结余资金总额）/上年度累计结转结余资金总额]×100%。（低于15%的计2分，每超过5个百分点扣1分，扣完为止）</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lang w:val="en-US" w:eastAsia="zh-CN"/>
              </w:rPr>
              <w:t>2022年无</w:t>
            </w:r>
            <w:r>
              <w:rPr>
                <w:rFonts w:hint="eastAsia" w:eastAsiaTheme="minorEastAsia"/>
                <w:sz w:val="15"/>
                <w:szCs w:val="15"/>
              </w:rPr>
              <w:t>结转结余资金</w:t>
            </w:r>
          </w:p>
        </w:tc>
      </w:tr>
      <w:tr>
        <w:tblPrEx>
          <w:tblCellMar>
            <w:top w:w="0" w:type="dxa"/>
            <w:left w:w="108" w:type="dxa"/>
            <w:bottom w:w="0" w:type="dxa"/>
            <w:right w:w="108" w:type="dxa"/>
          </w:tblCellMar>
        </w:tblPrEx>
        <w:trPr>
          <w:trHeight w:val="1470"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公用经费控制率（2分）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部门（单位）本年度实际支出的公用经费总额与预算安排的公用经费总额的比率，用以反映和考核部门（单位）对机构运转成本的实际控制程度。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公用经费控制率=（实际支出公用经费总额/预算安排公用经费总额）×100%。（为100%的计2分，每超过1个百分点扣0.1分，扣完为止）</w:t>
            </w:r>
          </w:p>
        </w:tc>
        <w:tc>
          <w:tcPr>
            <w:tcW w:w="795" w:type="dxa"/>
            <w:tcBorders>
              <w:top w:val="nil"/>
              <w:left w:val="nil"/>
              <w:bottom w:val="single" w:color="auto" w:sz="4" w:space="0"/>
              <w:right w:val="single" w:color="auto" w:sz="4" w:space="0"/>
            </w:tcBorders>
            <w:vAlign w:val="center"/>
          </w:tcPr>
          <w:p>
            <w:pPr>
              <w:widowControl/>
              <w:jc w:val="center"/>
              <w:rPr>
                <w:rFonts w:hint="default" w:eastAsia="宋体"/>
                <w:kern w:val="0"/>
                <w:sz w:val="15"/>
                <w:szCs w:val="15"/>
                <w:lang w:val="en-US" w:eastAsia="zh-CN"/>
              </w:rPr>
            </w:pPr>
            <w:r>
              <w:rPr>
                <w:rFonts w:hint="eastAsia"/>
                <w:kern w:val="0"/>
                <w:sz w:val="15"/>
                <w:szCs w:val="15"/>
                <w:lang w:val="en-US" w:eastAsia="zh-CN"/>
              </w:rPr>
              <w:t>1.8</w:t>
            </w:r>
          </w:p>
        </w:tc>
        <w:tc>
          <w:tcPr>
            <w:tcW w:w="1195" w:type="dxa"/>
            <w:tcBorders>
              <w:top w:val="nil"/>
              <w:left w:val="nil"/>
              <w:bottom w:val="single" w:color="auto" w:sz="4" w:space="0"/>
              <w:right w:val="single" w:color="auto" w:sz="4" w:space="0"/>
            </w:tcBorders>
            <w:vAlign w:val="center"/>
          </w:tcPr>
          <w:p>
            <w:pPr>
              <w:jc w:val="center"/>
              <w:rPr>
                <w:rFonts w:eastAsiaTheme="minorEastAsia"/>
                <w:sz w:val="15"/>
                <w:szCs w:val="15"/>
              </w:rPr>
            </w:pPr>
            <w:r>
              <w:rPr>
                <w:rFonts w:hint="eastAsia" w:eastAsiaTheme="minorEastAsia"/>
                <w:sz w:val="15"/>
                <w:szCs w:val="15"/>
              </w:rPr>
              <w:t>实际公用支出比预算数</w:t>
            </w:r>
            <w:r>
              <w:rPr>
                <w:rFonts w:hint="eastAsia" w:eastAsiaTheme="minorEastAsia"/>
                <w:sz w:val="15"/>
                <w:szCs w:val="15"/>
                <w:lang w:eastAsia="zh-CN"/>
              </w:rPr>
              <w:t>增加</w:t>
            </w:r>
            <w:r>
              <w:rPr>
                <w:rFonts w:hint="eastAsia" w:eastAsiaTheme="minorEastAsia"/>
                <w:sz w:val="15"/>
                <w:szCs w:val="15"/>
                <w:lang w:val="en-US" w:eastAsia="zh-CN"/>
              </w:rPr>
              <w:t>2</w:t>
            </w:r>
            <w:r>
              <w:rPr>
                <w:rFonts w:hint="eastAsia" w:eastAsiaTheme="minorEastAsia"/>
                <w:sz w:val="15"/>
                <w:szCs w:val="15"/>
              </w:rPr>
              <w:t>%，</w:t>
            </w:r>
            <w:r>
              <w:rPr>
                <w:rFonts w:hint="eastAsia" w:eastAsiaTheme="minorEastAsia"/>
                <w:sz w:val="15"/>
                <w:szCs w:val="15"/>
                <w:lang w:eastAsia="zh-CN"/>
              </w:rPr>
              <w:t>扣减</w:t>
            </w:r>
            <w:r>
              <w:rPr>
                <w:rFonts w:hint="eastAsia" w:eastAsiaTheme="minorEastAsia"/>
                <w:sz w:val="15"/>
                <w:szCs w:val="15"/>
                <w:lang w:val="en-US" w:eastAsia="zh-CN"/>
              </w:rPr>
              <w:t>0.2分</w:t>
            </w:r>
            <w:r>
              <w:rPr>
                <w:rFonts w:hint="eastAsia" w:eastAsiaTheme="minorEastAsia"/>
                <w:sz w:val="15"/>
                <w:szCs w:val="15"/>
              </w:rPr>
              <w:t>。</w:t>
            </w:r>
          </w:p>
        </w:tc>
      </w:tr>
      <w:tr>
        <w:tblPrEx>
          <w:tblCellMar>
            <w:top w:w="0" w:type="dxa"/>
            <w:left w:w="108" w:type="dxa"/>
            <w:bottom w:w="0" w:type="dxa"/>
            <w:right w:w="108" w:type="dxa"/>
          </w:tblCellMar>
        </w:tblPrEx>
        <w:trPr>
          <w:trHeight w:val="1494"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“三公经费”控制率（2分）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部门（单位）本年度“三公经费”实际支出数与预算安排数的比率，用以反映和考核部门（单位）对“三公经费”的实际控制程度。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“三公经费”控制率=（“三公经费”实际支出数/“三公经费”预算安排数）×100%。（为100%的计2分，每超过1个百分点扣0.5分，扣完为止）</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三公经费占三公预算数</w:t>
            </w:r>
            <w:r>
              <w:rPr>
                <w:rFonts w:hint="eastAsia" w:asciiTheme="minorEastAsia" w:hAnsiTheme="minorEastAsia" w:eastAsiaTheme="minorEastAsia"/>
                <w:sz w:val="15"/>
                <w:szCs w:val="15"/>
                <w:lang w:val="en-US" w:eastAsia="zh-CN"/>
              </w:rPr>
              <w:t>84</w:t>
            </w:r>
            <w:r>
              <w:rPr>
                <w:rFonts w:hint="eastAsia" w:asciiTheme="minorEastAsia" w:hAnsiTheme="minorEastAsia" w:eastAsiaTheme="minorEastAsia"/>
                <w:sz w:val="15"/>
                <w:szCs w:val="15"/>
              </w:rPr>
              <w:t>%</w:t>
            </w:r>
          </w:p>
        </w:tc>
      </w:tr>
      <w:tr>
        <w:tblPrEx>
          <w:tblCellMar>
            <w:top w:w="0" w:type="dxa"/>
            <w:left w:w="108" w:type="dxa"/>
            <w:bottom w:w="0" w:type="dxa"/>
            <w:right w:w="108" w:type="dxa"/>
          </w:tblCellMar>
        </w:tblPrEx>
        <w:trPr>
          <w:trHeight w:val="2281"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政府采购执行率（4分）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部门（单位）本年度实际政府采购金额与年初政府采购预算的比率，用以反映和考核部门（单位）政府采购预算执行情况。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政府采购执行率=（实际政府采购金额/政府采购预算数）×100%。（为100%的计2分，每低于1个百分点扣0.5分，扣完为止）</w:t>
            </w:r>
            <w:r>
              <w:rPr>
                <w:kern w:val="0"/>
                <w:sz w:val="15"/>
                <w:szCs w:val="15"/>
              </w:rPr>
              <w:br w:type="textWrapping"/>
            </w:r>
            <w:r>
              <w:rPr>
                <w:kern w:val="0"/>
                <w:sz w:val="15"/>
                <w:szCs w:val="15"/>
              </w:rPr>
              <w:t>政府采购预算：采购机关根据事业发展计划和行政任务编制的、并经过规定程序批准的年度政府采购计划。</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4</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w:t>
            </w:r>
            <w:r>
              <w:rPr>
                <w:rFonts w:hint="eastAsia" w:asciiTheme="minorEastAsia" w:hAnsiTheme="minorEastAsia" w:eastAsiaTheme="minorEastAsia"/>
                <w:sz w:val="15"/>
                <w:szCs w:val="15"/>
                <w:lang w:val="en-US" w:eastAsia="zh-CN"/>
              </w:rPr>
              <w:t>22</w:t>
            </w:r>
            <w:r>
              <w:rPr>
                <w:rFonts w:hint="eastAsia" w:asciiTheme="minorEastAsia" w:hAnsiTheme="minorEastAsia" w:eastAsiaTheme="minorEastAsia"/>
                <w:sz w:val="15"/>
                <w:szCs w:val="15"/>
              </w:rPr>
              <w:t>年未进行政府采购</w:t>
            </w:r>
          </w:p>
        </w:tc>
      </w:tr>
      <w:tr>
        <w:tblPrEx>
          <w:tblCellMar>
            <w:top w:w="0" w:type="dxa"/>
            <w:left w:w="108" w:type="dxa"/>
            <w:bottom w:w="0" w:type="dxa"/>
            <w:right w:w="108" w:type="dxa"/>
          </w:tblCellMar>
        </w:tblPrEx>
        <w:trPr>
          <w:trHeight w:val="1746"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15"/>
                <w:szCs w:val="15"/>
              </w:rPr>
            </w:pPr>
            <w:r>
              <w:rPr>
                <w:spacing w:val="-20"/>
                <w:kern w:val="0"/>
                <w:sz w:val="15"/>
                <w:szCs w:val="15"/>
              </w:rPr>
              <w:t>预算管理（5分）</w:t>
            </w: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管理制度健全性（2分）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部门（单位）为加强预算管理、规范财务行为而制定的管理制度是否健全完整，用以反映和考核部门（单位）预算管理制度对完成主要职责或促进事业发展的保障情况。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是否已制定或具有预算资金管理办法、内部财务管理制度、会计核算制度等管理制度；（1分）</w:t>
            </w:r>
            <w:r>
              <w:rPr>
                <w:kern w:val="0"/>
                <w:sz w:val="15"/>
                <w:szCs w:val="15"/>
              </w:rPr>
              <w:br w:type="textWrapping"/>
            </w:r>
            <w:r>
              <w:rPr>
                <w:rFonts w:hint="eastAsia" w:ascii="宋体" w:hAnsi="宋体" w:cs="宋体"/>
                <w:kern w:val="0"/>
                <w:sz w:val="15"/>
                <w:szCs w:val="15"/>
              </w:rPr>
              <w:t>②</w:t>
            </w:r>
            <w:r>
              <w:rPr>
                <w:kern w:val="0"/>
                <w:sz w:val="15"/>
                <w:szCs w:val="15"/>
              </w:rPr>
              <w:t>相关管理制度是否合法、合规、完整；（0.5分）</w:t>
            </w:r>
            <w:r>
              <w:rPr>
                <w:kern w:val="0"/>
                <w:sz w:val="15"/>
                <w:szCs w:val="15"/>
              </w:rPr>
              <w:br w:type="textWrapping"/>
            </w:r>
            <w:r>
              <w:rPr>
                <w:rFonts w:hint="eastAsia" w:ascii="宋体" w:hAnsi="宋体" w:cs="宋体"/>
                <w:kern w:val="0"/>
                <w:sz w:val="15"/>
                <w:szCs w:val="15"/>
              </w:rPr>
              <w:t>③</w:t>
            </w:r>
            <w:r>
              <w:rPr>
                <w:kern w:val="0"/>
                <w:sz w:val="15"/>
                <w:szCs w:val="15"/>
              </w:rPr>
              <w:t>相关管理制度是否得到有效执行。（0.5分）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建立建全各项制度</w:t>
            </w:r>
          </w:p>
        </w:tc>
      </w:tr>
      <w:tr>
        <w:tblPrEx>
          <w:tblCellMar>
            <w:top w:w="0" w:type="dxa"/>
            <w:left w:w="108" w:type="dxa"/>
            <w:bottom w:w="0" w:type="dxa"/>
            <w:right w:w="108" w:type="dxa"/>
          </w:tblCellMar>
        </w:tblPrEx>
        <w:trPr>
          <w:trHeight w:val="2667"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资金使用合规性（1分）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部门（单位）使用预算资金是否符合相关的预算财务管理制度的规定，用以反映和考核部门（单位）预算资金的规范运行情况。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是否符合国家财经法规和财务管理制度规定以及有关专项资金管理办法的规定；（0.2分）</w:t>
            </w:r>
            <w:r>
              <w:rPr>
                <w:kern w:val="0"/>
                <w:sz w:val="15"/>
                <w:szCs w:val="15"/>
              </w:rPr>
              <w:br w:type="textWrapping"/>
            </w:r>
            <w:r>
              <w:rPr>
                <w:rFonts w:hint="eastAsia" w:ascii="宋体" w:hAnsi="宋体" w:cs="宋体"/>
                <w:kern w:val="0"/>
                <w:sz w:val="15"/>
                <w:szCs w:val="15"/>
              </w:rPr>
              <w:t>②</w:t>
            </w:r>
            <w:r>
              <w:rPr>
                <w:kern w:val="0"/>
                <w:sz w:val="15"/>
                <w:szCs w:val="15"/>
              </w:rPr>
              <w:t>资金的拨付是否有完整的审批程序和手续；（0.2分）</w:t>
            </w:r>
            <w:r>
              <w:rPr>
                <w:kern w:val="0"/>
                <w:sz w:val="15"/>
                <w:szCs w:val="15"/>
              </w:rPr>
              <w:br w:type="textWrapping"/>
            </w:r>
            <w:r>
              <w:rPr>
                <w:rFonts w:hint="eastAsia" w:ascii="宋体" w:hAnsi="宋体" w:cs="宋体"/>
                <w:kern w:val="0"/>
                <w:sz w:val="15"/>
                <w:szCs w:val="15"/>
              </w:rPr>
              <w:t>③</w:t>
            </w:r>
            <w:r>
              <w:rPr>
                <w:kern w:val="0"/>
                <w:sz w:val="15"/>
                <w:szCs w:val="15"/>
              </w:rPr>
              <w:t>项目的重大开支是否经过评估论证；（0.2分）</w:t>
            </w:r>
            <w:r>
              <w:rPr>
                <w:kern w:val="0"/>
                <w:sz w:val="15"/>
                <w:szCs w:val="15"/>
              </w:rPr>
              <w:br w:type="textWrapping"/>
            </w:r>
            <w:r>
              <w:rPr>
                <w:rFonts w:hint="eastAsia" w:ascii="宋体" w:hAnsi="宋体" w:cs="宋体"/>
                <w:kern w:val="0"/>
                <w:sz w:val="15"/>
                <w:szCs w:val="15"/>
              </w:rPr>
              <w:t>④</w:t>
            </w:r>
            <w:r>
              <w:rPr>
                <w:kern w:val="0"/>
                <w:sz w:val="15"/>
                <w:szCs w:val="15"/>
              </w:rPr>
              <w:t>是否符合部门预算批复的用途；（0.2分）</w:t>
            </w:r>
            <w:r>
              <w:rPr>
                <w:kern w:val="0"/>
                <w:sz w:val="15"/>
                <w:szCs w:val="15"/>
              </w:rPr>
              <w:br w:type="textWrapping"/>
            </w:r>
            <w:r>
              <w:rPr>
                <w:rFonts w:hint="eastAsia" w:ascii="宋体" w:hAnsi="宋体" w:cs="宋体"/>
                <w:kern w:val="0"/>
                <w:sz w:val="15"/>
                <w:szCs w:val="15"/>
              </w:rPr>
              <w:t>⑤</w:t>
            </w:r>
            <w:r>
              <w:rPr>
                <w:kern w:val="0"/>
                <w:sz w:val="15"/>
                <w:szCs w:val="15"/>
              </w:rPr>
              <w:t>是否存在截留、挤占、挪用、虚列支出等情况。（0.2分）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1</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严格按照要求支付</w:t>
            </w:r>
          </w:p>
        </w:tc>
      </w:tr>
      <w:tr>
        <w:tblPrEx>
          <w:tblCellMar>
            <w:top w:w="0" w:type="dxa"/>
            <w:left w:w="108" w:type="dxa"/>
            <w:bottom w:w="0" w:type="dxa"/>
            <w:right w:w="108" w:type="dxa"/>
          </w:tblCellMar>
        </w:tblPrEx>
        <w:trPr>
          <w:trHeight w:val="1699"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预决算信息公开性（1分）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部门（单位）是否按照政府信息公开有关规定公开相关预决算信息，用以反映和考核部门（单位）预决算管理的公开透明情况。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是否按规定内容公开预决算信息；（0.5分）</w:t>
            </w:r>
            <w:r>
              <w:rPr>
                <w:kern w:val="0"/>
                <w:sz w:val="15"/>
                <w:szCs w:val="15"/>
              </w:rPr>
              <w:br w:type="textWrapping"/>
            </w:r>
            <w:r>
              <w:rPr>
                <w:rFonts w:hint="eastAsia" w:ascii="宋体" w:hAnsi="宋体" w:cs="宋体"/>
                <w:kern w:val="0"/>
                <w:sz w:val="15"/>
                <w:szCs w:val="15"/>
              </w:rPr>
              <w:t>②</w:t>
            </w:r>
            <w:r>
              <w:rPr>
                <w:kern w:val="0"/>
                <w:sz w:val="15"/>
                <w:szCs w:val="15"/>
              </w:rPr>
              <w:t>是否按规定时限公开预决算信息。（0.5分）</w:t>
            </w:r>
            <w:r>
              <w:rPr>
                <w:kern w:val="0"/>
                <w:sz w:val="15"/>
                <w:szCs w:val="15"/>
              </w:rPr>
              <w:br w:type="textWrapping"/>
            </w:r>
            <w:r>
              <w:rPr>
                <w:kern w:val="0"/>
                <w:sz w:val="15"/>
                <w:szCs w:val="15"/>
              </w:rPr>
              <w:t>预决算信息是指与部门预算、执行、决算、监督、绩效等管理相关的信息。</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1</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按照要求公开预决算信息</w:t>
            </w:r>
          </w:p>
        </w:tc>
      </w:tr>
      <w:tr>
        <w:tblPrEx>
          <w:tblCellMar>
            <w:top w:w="0" w:type="dxa"/>
            <w:left w:w="108" w:type="dxa"/>
            <w:bottom w:w="0" w:type="dxa"/>
            <w:right w:w="108" w:type="dxa"/>
          </w:tblCellMar>
        </w:tblPrEx>
        <w:trPr>
          <w:trHeight w:val="1527"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基础信息完善性（1分）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部门（单位）基础信息是否完善，用以反映和考核基础信息对预算管理工作的支撑情况。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基础数据信息和会计信息资料是否真实；（0.4分）</w:t>
            </w:r>
            <w:r>
              <w:rPr>
                <w:kern w:val="0"/>
                <w:sz w:val="15"/>
                <w:szCs w:val="15"/>
              </w:rPr>
              <w:br w:type="textWrapping"/>
            </w:r>
            <w:r>
              <w:rPr>
                <w:rFonts w:hint="eastAsia" w:ascii="宋体" w:hAnsi="宋体" w:cs="宋体"/>
                <w:kern w:val="0"/>
                <w:sz w:val="15"/>
                <w:szCs w:val="15"/>
              </w:rPr>
              <w:t>②</w:t>
            </w:r>
            <w:r>
              <w:rPr>
                <w:kern w:val="0"/>
                <w:sz w:val="15"/>
                <w:szCs w:val="15"/>
              </w:rPr>
              <w:t>基础数据信息和会计信息资料是否完整；（0.3分）</w:t>
            </w:r>
            <w:r>
              <w:rPr>
                <w:kern w:val="0"/>
                <w:sz w:val="15"/>
                <w:szCs w:val="15"/>
              </w:rPr>
              <w:br w:type="textWrapping"/>
            </w:r>
            <w:r>
              <w:rPr>
                <w:rFonts w:hint="eastAsia" w:ascii="宋体" w:hAnsi="宋体" w:cs="宋体"/>
                <w:kern w:val="0"/>
                <w:sz w:val="15"/>
                <w:szCs w:val="15"/>
              </w:rPr>
              <w:t>③</w:t>
            </w:r>
            <w:r>
              <w:rPr>
                <w:kern w:val="0"/>
                <w:sz w:val="15"/>
                <w:szCs w:val="15"/>
              </w:rPr>
              <w:t>基础数据信息和会计信息资料是否准确。（0.3分）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1</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准确完整</w:t>
            </w:r>
          </w:p>
        </w:tc>
      </w:tr>
      <w:tr>
        <w:tblPrEx>
          <w:tblCellMar>
            <w:top w:w="0" w:type="dxa"/>
            <w:left w:w="108" w:type="dxa"/>
            <w:bottom w:w="0" w:type="dxa"/>
            <w:right w:w="108" w:type="dxa"/>
          </w:tblCellMar>
        </w:tblPrEx>
        <w:trPr>
          <w:trHeight w:val="1290"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15"/>
                <w:szCs w:val="15"/>
              </w:rPr>
            </w:pPr>
            <w:r>
              <w:rPr>
                <w:spacing w:val="-20"/>
                <w:kern w:val="0"/>
                <w:sz w:val="15"/>
                <w:szCs w:val="15"/>
              </w:rPr>
              <w:t>资产管理（5分）</w:t>
            </w: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管理制度健全性（2分）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部门（单位）为加强资产管理、规范资产管理行为而制定的管理制度是否健全完整，用以反映和考核部门（单位）资产管理制度对完成主要职责或促进社会发展的保障情况。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是否已制定或具有资产管理制度；（1分）</w:t>
            </w:r>
          </w:p>
          <w:p>
            <w:pPr>
              <w:widowControl/>
              <w:jc w:val="center"/>
              <w:rPr>
                <w:kern w:val="0"/>
                <w:sz w:val="15"/>
                <w:szCs w:val="15"/>
              </w:rPr>
            </w:pPr>
            <w:r>
              <w:rPr>
                <w:rFonts w:hint="eastAsia" w:ascii="宋体" w:hAnsi="宋体" w:cs="宋体"/>
                <w:kern w:val="0"/>
                <w:sz w:val="15"/>
                <w:szCs w:val="15"/>
              </w:rPr>
              <w:t>②</w:t>
            </w:r>
            <w:r>
              <w:rPr>
                <w:kern w:val="0"/>
                <w:sz w:val="15"/>
                <w:szCs w:val="15"/>
              </w:rPr>
              <w:t>相关资金管理制度是否合法、合规、完整；（0.5分）</w:t>
            </w:r>
          </w:p>
          <w:p>
            <w:pPr>
              <w:widowControl/>
              <w:jc w:val="center"/>
              <w:rPr>
                <w:kern w:val="0"/>
                <w:sz w:val="15"/>
                <w:szCs w:val="15"/>
              </w:rPr>
            </w:pPr>
            <w:r>
              <w:rPr>
                <w:rFonts w:hint="eastAsia" w:ascii="宋体" w:hAnsi="宋体" w:cs="宋体"/>
                <w:kern w:val="0"/>
                <w:sz w:val="15"/>
                <w:szCs w:val="15"/>
              </w:rPr>
              <w:t>③</w:t>
            </w:r>
            <w:r>
              <w:rPr>
                <w:kern w:val="0"/>
                <w:sz w:val="15"/>
                <w:szCs w:val="15"/>
              </w:rPr>
              <w:t>相关资产管理制度是否得到有效执行。（0.5分）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建立了资产管理制度</w:t>
            </w:r>
          </w:p>
        </w:tc>
      </w:tr>
      <w:tr>
        <w:tblPrEx>
          <w:tblCellMar>
            <w:top w:w="0" w:type="dxa"/>
            <w:left w:w="108" w:type="dxa"/>
            <w:bottom w:w="0" w:type="dxa"/>
            <w:right w:w="108" w:type="dxa"/>
          </w:tblCellMar>
        </w:tblPrEx>
        <w:trPr>
          <w:trHeight w:val="1743"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资产管理安全性（2分）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部门（单位）的资产是否保存完整、使用合规、配置合理、处置规范、收入及时足额上缴，用以反映和考核部门（单位）资产安全运行情况。</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ascii="宋体" w:hAnsi="宋体" w:cs="宋体"/>
                <w:kern w:val="0"/>
                <w:sz w:val="15"/>
                <w:szCs w:val="15"/>
              </w:rPr>
              <w:t>①</w:t>
            </w:r>
            <w:r>
              <w:rPr>
                <w:kern w:val="0"/>
                <w:sz w:val="15"/>
                <w:szCs w:val="15"/>
              </w:rPr>
              <w:t>资产保存是否完整；（0.4分）</w:t>
            </w:r>
            <w:r>
              <w:rPr>
                <w:kern w:val="0"/>
                <w:sz w:val="15"/>
                <w:szCs w:val="15"/>
              </w:rPr>
              <w:br w:type="textWrapping"/>
            </w:r>
            <w:r>
              <w:rPr>
                <w:rFonts w:hint="eastAsia" w:ascii="宋体" w:hAnsi="宋体" w:cs="宋体"/>
                <w:kern w:val="0"/>
                <w:sz w:val="15"/>
                <w:szCs w:val="15"/>
              </w:rPr>
              <w:t>②</w:t>
            </w:r>
            <w:r>
              <w:rPr>
                <w:kern w:val="0"/>
                <w:sz w:val="15"/>
                <w:szCs w:val="15"/>
              </w:rPr>
              <w:t>资产配置是否合理；（0.4分）</w:t>
            </w:r>
            <w:r>
              <w:rPr>
                <w:kern w:val="0"/>
                <w:sz w:val="15"/>
                <w:szCs w:val="15"/>
              </w:rPr>
              <w:br w:type="textWrapping"/>
            </w:r>
            <w:r>
              <w:rPr>
                <w:rFonts w:hint="eastAsia" w:ascii="宋体" w:hAnsi="宋体" w:cs="宋体"/>
                <w:kern w:val="0"/>
                <w:sz w:val="15"/>
                <w:szCs w:val="15"/>
              </w:rPr>
              <w:t>③</w:t>
            </w:r>
            <w:r>
              <w:rPr>
                <w:kern w:val="0"/>
                <w:sz w:val="15"/>
                <w:szCs w:val="15"/>
              </w:rPr>
              <w:t>资产处置是否规范；（0.4分）</w:t>
            </w:r>
            <w:r>
              <w:rPr>
                <w:kern w:val="0"/>
                <w:sz w:val="15"/>
                <w:szCs w:val="15"/>
              </w:rPr>
              <w:br w:type="textWrapping"/>
            </w:r>
            <w:r>
              <w:rPr>
                <w:rFonts w:hint="eastAsia" w:ascii="宋体" w:hAnsi="宋体" w:cs="宋体"/>
                <w:kern w:val="0"/>
                <w:sz w:val="15"/>
                <w:szCs w:val="15"/>
              </w:rPr>
              <w:t>④</w:t>
            </w:r>
            <w:r>
              <w:rPr>
                <w:kern w:val="0"/>
                <w:sz w:val="15"/>
                <w:szCs w:val="15"/>
              </w:rPr>
              <w:t>资产账务管理是否合规，是否帐实相符；（0.4分）</w:t>
            </w:r>
            <w:r>
              <w:rPr>
                <w:kern w:val="0"/>
                <w:sz w:val="15"/>
                <w:szCs w:val="15"/>
              </w:rPr>
              <w:br w:type="textWrapping"/>
            </w:r>
            <w:r>
              <w:rPr>
                <w:rFonts w:hint="eastAsia" w:ascii="宋体" w:hAnsi="宋体" w:cs="宋体"/>
                <w:kern w:val="0"/>
                <w:sz w:val="15"/>
                <w:szCs w:val="15"/>
              </w:rPr>
              <w:t>⑤</w:t>
            </w:r>
            <w:r>
              <w:rPr>
                <w:kern w:val="0"/>
                <w:sz w:val="15"/>
                <w:szCs w:val="15"/>
              </w:rPr>
              <w:t>资产是否有偿使用及处置收入及时足额上缴。（0.4分）</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2</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资产保存完整合理合规</w:t>
            </w:r>
          </w:p>
        </w:tc>
      </w:tr>
      <w:tr>
        <w:tblPrEx>
          <w:tblCellMar>
            <w:top w:w="0" w:type="dxa"/>
            <w:left w:w="108" w:type="dxa"/>
            <w:bottom w:w="0" w:type="dxa"/>
            <w:right w:w="108" w:type="dxa"/>
          </w:tblCellMar>
        </w:tblPrEx>
        <w:trPr>
          <w:trHeight w:val="1206" w:hRule="atLeast"/>
        </w:trPr>
        <w:tc>
          <w:tcPr>
            <w:tcW w:w="5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固定资产利用率（1分）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部门（单位）实际在用固定资产总额与所有固定资产总额的比率，用以反映和考核部门（单位）固定资产使用效率程度。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固定资产利用率=（实际在用固定资产总额/所有固定资产总额）×100%。（利用率为100%的计1分，每降1个百分点扣0.1分，扣完为止）</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1</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资产利用率100%</w:t>
            </w:r>
          </w:p>
        </w:tc>
      </w:tr>
      <w:tr>
        <w:tblPrEx>
          <w:tblCellMar>
            <w:top w:w="0" w:type="dxa"/>
            <w:left w:w="108" w:type="dxa"/>
            <w:bottom w:w="0" w:type="dxa"/>
            <w:right w:w="108" w:type="dxa"/>
          </w:tblCellMar>
        </w:tblPrEx>
        <w:trPr>
          <w:trHeight w:val="2174" w:hRule="atLeast"/>
        </w:trPr>
        <w:tc>
          <w:tcPr>
            <w:tcW w:w="592"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kern w:val="0"/>
                <w:sz w:val="15"/>
                <w:szCs w:val="15"/>
              </w:rPr>
            </w:pPr>
            <w:r>
              <w:rPr>
                <w:kern w:val="0"/>
                <w:sz w:val="15"/>
                <w:szCs w:val="15"/>
              </w:rPr>
              <w:t>产 出（30分）</w:t>
            </w:r>
          </w:p>
        </w:tc>
        <w:tc>
          <w:tcPr>
            <w:tcW w:w="559" w:type="dxa"/>
            <w:vMerge w:val="restart"/>
            <w:tcBorders>
              <w:top w:val="nil"/>
              <w:left w:val="single" w:color="auto" w:sz="4" w:space="0"/>
              <w:bottom w:val="single" w:color="auto" w:sz="4" w:space="0"/>
              <w:right w:val="single" w:color="auto" w:sz="4" w:space="0"/>
            </w:tcBorders>
            <w:vAlign w:val="center"/>
          </w:tcPr>
          <w:p>
            <w:pPr>
              <w:widowControl/>
              <w:jc w:val="center"/>
              <w:rPr>
                <w:spacing w:val="-20"/>
                <w:kern w:val="0"/>
                <w:sz w:val="15"/>
                <w:szCs w:val="15"/>
              </w:rPr>
            </w:pPr>
            <w:r>
              <w:rPr>
                <w:spacing w:val="-20"/>
                <w:kern w:val="0"/>
                <w:sz w:val="15"/>
                <w:szCs w:val="15"/>
              </w:rPr>
              <w:t>职责履行（30分）</w:t>
            </w: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实际完成率（8分）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部门（单位）履行职责而实际完成工作数与计划工作数的比率，用以反映和考核部门（单位）履职工作任务目标的实现程度。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实际完成率=（实际完成工作数/计划工作数）×100%。（实际得分=实际工作完成率*8分）</w:t>
            </w:r>
            <w:r>
              <w:rPr>
                <w:kern w:val="0"/>
                <w:sz w:val="15"/>
                <w:szCs w:val="15"/>
              </w:rPr>
              <w:br w:type="textWrapping"/>
            </w:r>
            <w:r>
              <w:rPr>
                <w:kern w:val="0"/>
                <w:sz w:val="15"/>
                <w:szCs w:val="15"/>
              </w:rPr>
              <w:t>实际完成工作数：一定时期（年度或规划期）内部门（单位）实际完成工作任务的数量。</w:t>
            </w:r>
            <w:r>
              <w:rPr>
                <w:kern w:val="0"/>
                <w:sz w:val="15"/>
                <w:szCs w:val="15"/>
              </w:rPr>
              <w:br w:type="textWrapping"/>
            </w:r>
            <w:r>
              <w:rPr>
                <w:kern w:val="0"/>
                <w:sz w:val="15"/>
                <w:szCs w:val="15"/>
              </w:rPr>
              <w:t>计划工作数：部门（单位）整体绩效目标确定的一定时期（年度或规划期）内预计完成工作任务的数量。</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8</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年初下达的工作目标全部完成</w:t>
            </w:r>
          </w:p>
        </w:tc>
      </w:tr>
      <w:tr>
        <w:tblPrEx>
          <w:tblCellMar>
            <w:top w:w="0" w:type="dxa"/>
            <w:left w:w="108" w:type="dxa"/>
            <w:bottom w:w="0" w:type="dxa"/>
            <w:right w:w="108" w:type="dxa"/>
          </w:tblCellMar>
        </w:tblPrEx>
        <w:trPr>
          <w:trHeight w:val="1570" w:hRule="atLeast"/>
        </w:trPr>
        <w:tc>
          <w:tcPr>
            <w:tcW w:w="592" w:type="dxa"/>
            <w:vMerge w:val="continue"/>
            <w:tcBorders>
              <w:top w:val="nil"/>
              <w:left w:val="single" w:color="auto" w:sz="4" w:space="0"/>
              <w:bottom w:val="single" w:color="auto"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完成及时率（4分）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部门（单位）在规定时限内及时完成的实际工作数与计划工作数的比率,用以反映和考核部门履职时效目标的实现程度。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完成及时率=（及时完成实际工作数/计划工作数）×100%。（1--4季度各得1分）</w:t>
            </w:r>
            <w:r>
              <w:rPr>
                <w:kern w:val="0"/>
                <w:sz w:val="15"/>
                <w:szCs w:val="15"/>
              </w:rPr>
              <w:br w:type="textWrapping"/>
            </w:r>
            <w:r>
              <w:rPr>
                <w:kern w:val="0"/>
                <w:sz w:val="15"/>
                <w:szCs w:val="15"/>
              </w:rPr>
              <w:t>及时完成实际工作数：部门（单位）按照整体绩效目标确定的时限实际完成的工作任务数量。</w:t>
            </w:r>
          </w:p>
        </w:tc>
        <w:tc>
          <w:tcPr>
            <w:tcW w:w="795" w:type="dxa"/>
            <w:tcBorders>
              <w:top w:val="nil"/>
              <w:left w:val="nil"/>
              <w:bottom w:val="single" w:color="auto" w:sz="4" w:space="0"/>
              <w:right w:val="single" w:color="auto" w:sz="4" w:space="0"/>
            </w:tcBorders>
            <w:vAlign w:val="center"/>
          </w:tcPr>
          <w:p>
            <w:pPr>
              <w:widowControl/>
              <w:jc w:val="center"/>
              <w:rPr>
                <w:rFonts w:hint="eastAsia" w:eastAsia="宋体"/>
                <w:kern w:val="0"/>
                <w:sz w:val="15"/>
                <w:szCs w:val="15"/>
                <w:lang w:val="en-US" w:eastAsia="zh-CN"/>
              </w:rPr>
            </w:pPr>
            <w:r>
              <w:rPr>
                <w:rFonts w:hint="eastAsia"/>
                <w:kern w:val="0"/>
                <w:sz w:val="15"/>
                <w:szCs w:val="15"/>
                <w:lang w:val="en-US" w:eastAsia="zh-CN"/>
              </w:rPr>
              <w:t>3</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工作完成及时性有待加强</w:t>
            </w:r>
          </w:p>
        </w:tc>
      </w:tr>
      <w:tr>
        <w:tblPrEx>
          <w:tblCellMar>
            <w:top w:w="0" w:type="dxa"/>
            <w:left w:w="108" w:type="dxa"/>
            <w:bottom w:w="0" w:type="dxa"/>
            <w:right w:w="108" w:type="dxa"/>
          </w:tblCellMar>
        </w:tblPrEx>
        <w:trPr>
          <w:trHeight w:val="1649" w:hRule="atLeast"/>
        </w:trPr>
        <w:tc>
          <w:tcPr>
            <w:tcW w:w="592" w:type="dxa"/>
            <w:vMerge w:val="continue"/>
            <w:tcBorders>
              <w:top w:val="nil"/>
              <w:left w:val="single" w:color="auto" w:sz="4" w:space="0"/>
              <w:bottom w:val="single" w:color="auto"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质量达标率（8分）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达到质量标准（绩效标准值）的实际工作数与计划工作数的比率,用以反映和考核部门履职质量目标的实现程度。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质量达标率=（质量达标实际工作数/计划工作数）×100%。（实际得分=达标率*8分）</w:t>
            </w:r>
            <w:r>
              <w:rPr>
                <w:kern w:val="0"/>
                <w:sz w:val="15"/>
                <w:szCs w:val="15"/>
              </w:rPr>
              <w:br w:type="textWrapping"/>
            </w:r>
            <w:r>
              <w:rPr>
                <w:kern w:val="0"/>
                <w:sz w:val="15"/>
                <w:szCs w:val="15"/>
              </w:rPr>
              <w:t>质量达标实际工作数：一定时期（年度或规划期）内部门（单位）实际完成工作数中达到部门绩效目标要求（绩效标准值）的工作任务数量。</w:t>
            </w:r>
          </w:p>
        </w:tc>
        <w:tc>
          <w:tcPr>
            <w:tcW w:w="7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7</w:t>
            </w:r>
          </w:p>
        </w:tc>
        <w:tc>
          <w:tcPr>
            <w:tcW w:w="119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工作完成，质量达标</w:t>
            </w:r>
          </w:p>
        </w:tc>
      </w:tr>
      <w:tr>
        <w:tblPrEx>
          <w:tblCellMar>
            <w:top w:w="0" w:type="dxa"/>
            <w:left w:w="108" w:type="dxa"/>
            <w:bottom w:w="0" w:type="dxa"/>
            <w:right w:w="108" w:type="dxa"/>
          </w:tblCellMar>
        </w:tblPrEx>
        <w:trPr>
          <w:trHeight w:val="1411" w:hRule="atLeast"/>
        </w:trPr>
        <w:tc>
          <w:tcPr>
            <w:tcW w:w="592" w:type="dxa"/>
            <w:vMerge w:val="continue"/>
            <w:tcBorders>
              <w:top w:val="nil"/>
              <w:left w:val="single" w:color="auto" w:sz="4" w:space="0"/>
              <w:bottom w:val="single" w:color="auto" w:sz="4" w:space="0"/>
              <w:right w:val="single" w:color="auto" w:sz="4" w:space="0"/>
            </w:tcBorders>
            <w:vAlign w:val="center"/>
          </w:tcPr>
          <w:p>
            <w:pPr>
              <w:widowControl/>
              <w:jc w:val="left"/>
              <w:rPr>
                <w:kern w:val="0"/>
                <w:sz w:val="15"/>
                <w:szCs w:val="15"/>
              </w:rPr>
            </w:pPr>
          </w:p>
        </w:tc>
        <w:tc>
          <w:tcPr>
            <w:tcW w:w="559" w:type="dxa"/>
            <w:vMerge w:val="continue"/>
            <w:tcBorders>
              <w:top w:val="nil"/>
              <w:left w:val="single" w:color="auto" w:sz="4" w:space="0"/>
              <w:bottom w:val="single" w:color="auto" w:sz="4" w:space="0"/>
              <w:right w:val="single" w:color="auto" w:sz="4" w:space="0"/>
            </w:tcBorders>
            <w:vAlign w:val="center"/>
          </w:tcPr>
          <w:p>
            <w:pPr>
              <w:widowControl/>
              <w:jc w:val="left"/>
              <w:rPr>
                <w:spacing w:val="-20"/>
                <w:kern w:val="0"/>
                <w:sz w:val="15"/>
                <w:szCs w:val="15"/>
              </w:rPr>
            </w:pPr>
          </w:p>
        </w:tc>
        <w:tc>
          <w:tcPr>
            <w:tcW w:w="1059"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重点工作办结率（10分）</w:t>
            </w:r>
          </w:p>
        </w:tc>
        <w:tc>
          <w:tcPr>
            <w:tcW w:w="2206"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部门（单位）年度重点工作实际完成数与交办或下达数的比率，用以反映部门（单位）对重点工作的办理落实程度。</w:t>
            </w:r>
          </w:p>
        </w:tc>
        <w:tc>
          <w:tcPr>
            <w:tcW w:w="2808" w:type="dxa"/>
            <w:tcBorders>
              <w:top w:val="nil"/>
              <w:left w:val="nil"/>
              <w:bottom w:val="single" w:color="auto" w:sz="4" w:space="0"/>
              <w:right w:val="single" w:color="auto" w:sz="4" w:space="0"/>
            </w:tcBorders>
            <w:vAlign w:val="center"/>
          </w:tcPr>
          <w:p>
            <w:pPr>
              <w:widowControl/>
              <w:jc w:val="center"/>
              <w:rPr>
                <w:kern w:val="0"/>
                <w:sz w:val="15"/>
                <w:szCs w:val="15"/>
              </w:rPr>
            </w:pPr>
            <w:r>
              <w:rPr>
                <w:kern w:val="0"/>
                <w:sz w:val="15"/>
                <w:szCs w:val="15"/>
              </w:rPr>
              <w:t>重点工作办结率=（重点工作实际完成数/交办或下达数）×100%。（实际得分=办结率*10分）</w:t>
            </w:r>
            <w:r>
              <w:rPr>
                <w:kern w:val="0"/>
                <w:sz w:val="15"/>
                <w:szCs w:val="15"/>
              </w:rPr>
              <w:br w:type="textWrapping"/>
            </w:r>
            <w:r>
              <w:rPr>
                <w:kern w:val="0"/>
                <w:sz w:val="15"/>
                <w:szCs w:val="15"/>
              </w:rPr>
              <w:t>重点工作是指党委、政府、人大、相关部门交办或下达的工作任务。</w:t>
            </w:r>
          </w:p>
        </w:tc>
        <w:tc>
          <w:tcPr>
            <w:tcW w:w="795" w:type="dxa"/>
            <w:tcBorders>
              <w:top w:val="nil"/>
              <w:left w:val="nil"/>
              <w:bottom w:val="single" w:color="auto" w:sz="4" w:space="0"/>
              <w:right w:val="single" w:color="auto" w:sz="4" w:space="0"/>
            </w:tcBorders>
            <w:vAlign w:val="center"/>
          </w:tcPr>
          <w:p>
            <w:pPr>
              <w:widowControl/>
              <w:jc w:val="center"/>
              <w:rPr>
                <w:rFonts w:hint="eastAsia" w:eastAsia="宋体"/>
                <w:kern w:val="0"/>
                <w:sz w:val="15"/>
                <w:szCs w:val="15"/>
                <w:lang w:val="en-US" w:eastAsia="zh-CN"/>
              </w:rPr>
            </w:pPr>
            <w:r>
              <w:rPr>
                <w:rFonts w:hint="eastAsia"/>
                <w:kern w:val="0"/>
                <w:sz w:val="15"/>
                <w:szCs w:val="15"/>
                <w:lang w:val="en-US" w:eastAsia="zh-CN"/>
              </w:rPr>
              <w:t>8</w:t>
            </w:r>
          </w:p>
        </w:tc>
        <w:tc>
          <w:tcPr>
            <w:tcW w:w="1195" w:type="dxa"/>
            <w:tcBorders>
              <w:top w:val="nil"/>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全部完成</w:t>
            </w:r>
          </w:p>
        </w:tc>
      </w:tr>
      <w:tr>
        <w:tblPrEx>
          <w:tblCellMar>
            <w:top w:w="0" w:type="dxa"/>
            <w:left w:w="108" w:type="dxa"/>
            <w:bottom w:w="0" w:type="dxa"/>
            <w:right w:w="108" w:type="dxa"/>
          </w:tblCellMar>
        </w:tblPrEx>
        <w:trPr>
          <w:trHeight w:val="714" w:hRule="atLeast"/>
        </w:trPr>
        <w:tc>
          <w:tcPr>
            <w:tcW w:w="592"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kern w:val="0"/>
                <w:sz w:val="15"/>
                <w:szCs w:val="15"/>
              </w:rPr>
            </w:pPr>
            <w:r>
              <w:rPr>
                <w:kern w:val="0"/>
                <w:sz w:val="15"/>
                <w:szCs w:val="15"/>
              </w:rPr>
              <w:t>效 果（20分）</w:t>
            </w:r>
          </w:p>
        </w:tc>
        <w:tc>
          <w:tcPr>
            <w:tcW w:w="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spacing w:val="-20"/>
                <w:kern w:val="0"/>
                <w:sz w:val="15"/>
                <w:szCs w:val="15"/>
              </w:rPr>
            </w:pPr>
            <w:r>
              <w:rPr>
                <w:spacing w:val="-20"/>
                <w:kern w:val="0"/>
                <w:sz w:val="15"/>
                <w:szCs w:val="15"/>
              </w:rPr>
              <w:t>履职效益（20分）</w:t>
            </w:r>
          </w:p>
        </w:tc>
        <w:tc>
          <w:tcPr>
            <w:tcW w:w="1059"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经济效益（5分）</w:t>
            </w:r>
          </w:p>
        </w:tc>
        <w:tc>
          <w:tcPr>
            <w:tcW w:w="2206"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部门（单位）履行职责对经济发展所带来的直接或间接影响。</w:t>
            </w:r>
          </w:p>
        </w:tc>
        <w:tc>
          <w:tcPr>
            <w:tcW w:w="28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kern w:val="0"/>
                <w:sz w:val="15"/>
                <w:szCs w:val="15"/>
              </w:rPr>
              <w:t>此三项指标为部门整体支出绩效评价指标的共性要素，各单位按照部门整体支出绩效目标实现程度为依据。（按经济效益实现程度*5、社会效益实现程度*5、生态效益实现程度*5计算实际得分）</w:t>
            </w:r>
          </w:p>
        </w:tc>
        <w:tc>
          <w:tcPr>
            <w:tcW w:w="795"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5</w:t>
            </w:r>
          </w:p>
        </w:tc>
        <w:tc>
          <w:tcPr>
            <w:tcW w:w="119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保护了公路路产路权。</w:t>
            </w:r>
          </w:p>
        </w:tc>
      </w:tr>
      <w:tr>
        <w:tblPrEx>
          <w:tblCellMar>
            <w:top w:w="0" w:type="dxa"/>
            <w:left w:w="108" w:type="dxa"/>
            <w:bottom w:w="0" w:type="dxa"/>
            <w:right w:w="108" w:type="dxa"/>
          </w:tblCellMar>
        </w:tblPrEx>
        <w:trPr>
          <w:trHeight w:val="817" w:hRule="atLeast"/>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5"/>
                <w:szCs w:val="15"/>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5"/>
                <w:szCs w:val="15"/>
              </w:rPr>
            </w:pPr>
          </w:p>
        </w:tc>
        <w:tc>
          <w:tcPr>
            <w:tcW w:w="1059"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社会效益（5分）</w:t>
            </w:r>
          </w:p>
        </w:tc>
        <w:tc>
          <w:tcPr>
            <w:tcW w:w="2206"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部门（单位）履行职责对社会发展所带来的直接或间接影响。</w:t>
            </w:r>
          </w:p>
        </w:tc>
        <w:tc>
          <w:tcPr>
            <w:tcW w:w="28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p>
        </w:tc>
        <w:tc>
          <w:tcPr>
            <w:tcW w:w="795"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5</w:t>
            </w:r>
          </w:p>
        </w:tc>
        <w:tc>
          <w:tcPr>
            <w:tcW w:w="119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公路管理的提高，车辆行驶安全高效</w:t>
            </w:r>
          </w:p>
        </w:tc>
      </w:tr>
      <w:tr>
        <w:tblPrEx>
          <w:tblCellMar>
            <w:top w:w="0" w:type="dxa"/>
            <w:left w:w="108" w:type="dxa"/>
            <w:bottom w:w="0" w:type="dxa"/>
            <w:right w:w="108" w:type="dxa"/>
          </w:tblCellMar>
        </w:tblPrEx>
        <w:trPr>
          <w:trHeight w:val="991" w:hRule="atLeast"/>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5"/>
                <w:szCs w:val="15"/>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5"/>
                <w:szCs w:val="15"/>
              </w:rPr>
            </w:pPr>
          </w:p>
        </w:tc>
        <w:tc>
          <w:tcPr>
            <w:tcW w:w="1059"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生态效益（5分）</w:t>
            </w:r>
          </w:p>
        </w:tc>
        <w:tc>
          <w:tcPr>
            <w:tcW w:w="2206"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部门（单位）履行职责对生态环境所带来的直接或间接影响。</w:t>
            </w:r>
          </w:p>
        </w:tc>
        <w:tc>
          <w:tcPr>
            <w:tcW w:w="28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p>
        </w:tc>
        <w:tc>
          <w:tcPr>
            <w:tcW w:w="795"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5</w:t>
            </w:r>
          </w:p>
        </w:tc>
        <w:tc>
          <w:tcPr>
            <w:tcW w:w="119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eastAsia="宋体"/>
                <w:kern w:val="0"/>
                <w:sz w:val="15"/>
                <w:szCs w:val="15"/>
              </w:rPr>
              <w:t>落实行政执法“三项制度”，确保社会监督更加有治公</w:t>
            </w:r>
          </w:p>
        </w:tc>
      </w:tr>
      <w:tr>
        <w:tblPrEx>
          <w:tblCellMar>
            <w:top w:w="0" w:type="dxa"/>
            <w:left w:w="108" w:type="dxa"/>
            <w:bottom w:w="0" w:type="dxa"/>
            <w:right w:w="108" w:type="dxa"/>
          </w:tblCellMar>
        </w:tblPrEx>
        <w:trPr>
          <w:trHeight w:val="1687" w:hRule="atLeast"/>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5"/>
                <w:szCs w:val="15"/>
              </w:rPr>
            </w:pPr>
          </w:p>
        </w:tc>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15"/>
                <w:szCs w:val="15"/>
              </w:rPr>
            </w:pPr>
          </w:p>
        </w:tc>
        <w:tc>
          <w:tcPr>
            <w:tcW w:w="1059"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社会公众或服务对象满意度（5分）</w:t>
            </w:r>
          </w:p>
        </w:tc>
        <w:tc>
          <w:tcPr>
            <w:tcW w:w="2206"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社会公众或部门（单位）的服务对象对部门履职效果的满意程度。</w:t>
            </w:r>
          </w:p>
        </w:tc>
        <w:tc>
          <w:tcPr>
            <w:tcW w:w="2808"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kern w:val="0"/>
                <w:sz w:val="15"/>
                <w:szCs w:val="15"/>
              </w:rPr>
              <w:t>社会公众或服务对象是指部门（单位）履行职责而影响到的部门、群体或个人。一般采取社会调查的方式。（按收到的服务对象的满意率计算得分）</w:t>
            </w:r>
          </w:p>
        </w:tc>
        <w:tc>
          <w:tcPr>
            <w:tcW w:w="795"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5</w:t>
            </w:r>
          </w:p>
        </w:tc>
        <w:tc>
          <w:tcPr>
            <w:tcW w:w="119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加强政务信息公开，推动网上行政审批。群众办事满意度高</w:t>
            </w:r>
          </w:p>
        </w:tc>
      </w:tr>
      <w:tr>
        <w:tblPrEx>
          <w:tblCellMar>
            <w:top w:w="0" w:type="dxa"/>
            <w:left w:w="108" w:type="dxa"/>
            <w:bottom w:w="0" w:type="dxa"/>
            <w:right w:w="108" w:type="dxa"/>
          </w:tblCellMar>
        </w:tblPrEx>
        <w:trPr>
          <w:trHeight w:val="744" w:hRule="atLeast"/>
        </w:trPr>
        <w:tc>
          <w:tcPr>
            <w:tcW w:w="722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sz w:val="15"/>
                <w:szCs w:val="15"/>
              </w:rPr>
              <w:t>合      计</w:t>
            </w:r>
          </w:p>
        </w:tc>
        <w:tc>
          <w:tcPr>
            <w:tcW w:w="795" w:type="dxa"/>
            <w:tcBorders>
              <w:top w:val="single" w:color="auto" w:sz="4" w:space="0"/>
              <w:left w:val="nil"/>
              <w:bottom w:val="single" w:color="auto" w:sz="4" w:space="0"/>
              <w:right w:val="single" w:color="auto" w:sz="4" w:space="0"/>
            </w:tcBorders>
            <w:vAlign w:val="center"/>
          </w:tcPr>
          <w:p>
            <w:pPr>
              <w:widowControl/>
              <w:jc w:val="center"/>
              <w:rPr>
                <w:rFonts w:hint="default" w:eastAsia="宋体"/>
                <w:kern w:val="0"/>
                <w:sz w:val="15"/>
                <w:szCs w:val="15"/>
                <w:lang w:val="en-US" w:eastAsia="zh-CN"/>
              </w:rPr>
            </w:pPr>
            <w:r>
              <w:rPr>
                <w:rFonts w:hint="eastAsia"/>
                <w:kern w:val="0"/>
                <w:sz w:val="15"/>
                <w:szCs w:val="15"/>
              </w:rPr>
              <w:t>9</w:t>
            </w:r>
            <w:r>
              <w:rPr>
                <w:rFonts w:hint="eastAsia"/>
                <w:kern w:val="0"/>
                <w:sz w:val="15"/>
                <w:szCs w:val="15"/>
                <w:lang w:val="en-US" w:eastAsia="zh-CN"/>
              </w:rPr>
              <w:t>6.8</w:t>
            </w:r>
          </w:p>
        </w:tc>
        <w:tc>
          <w:tcPr>
            <w:tcW w:w="1195" w:type="dxa"/>
            <w:tcBorders>
              <w:top w:val="single" w:color="auto" w:sz="4" w:space="0"/>
              <w:left w:val="nil"/>
              <w:bottom w:val="single" w:color="auto" w:sz="4" w:space="0"/>
              <w:right w:val="single" w:color="auto" w:sz="4" w:space="0"/>
            </w:tcBorders>
            <w:vAlign w:val="center"/>
          </w:tcPr>
          <w:p>
            <w:pPr>
              <w:widowControl/>
              <w:jc w:val="center"/>
              <w:rPr>
                <w:kern w:val="0"/>
                <w:sz w:val="15"/>
                <w:szCs w:val="15"/>
              </w:rPr>
            </w:pPr>
          </w:p>
        </w:tc>
      </w:tr>
    </w:tbl>
    <w:p>
      <w:pPr>
        <w:pStyle w:val="2"/>
        <w:rPr>
          <w:sz w:val="15"/>
          <w:szCs w:val="15"/>
        </w:rPr>
      </w:pPr>
    </w:p>
    <w:p>
      <w:pPr>
        <w:rPr>
          <w:rFonts w:eastAsiaTheme="minorEastAsia"/>
          <w:sz w:val="15"/>
          <w:szCs w:val="15"/>
        </w:rPr>
      </w:pPr>
    </w:p>
    <w:p>
      <w:pPr>
        <w:sectPr>
          <w:footerReference r:id="rId5" w:type="first"/>
          <w:footerReference r:id="rId3" w:type="default"/>
          <w:footerReference r:id="rId4" w:type="even"/>
          <w:pgSz w:w="11900" w:h="16840"/>
          <w:pgMar w:top="2098" w:right="1474" w:bottom="1984" w:left="1587" w:header="0" w:footer="1531" w:gutter="0"/>
          <w:paperSrc/>
          <w:pgNumType w:fmt="decimal"/>
          <w:cols w:space="0" w:num="1"/>
          <w:titlePg/>
          <w:rtlGutter w:val="0"/>
          <w:docGrid w:linePitch="360" w:charSpace="0"/>
        </w:sectPr>
      </w:pPr>
    </w:p>
    <w:p>
      <w:pPr>
        <w:spacing w:line="620" w:lineRule="exact"/>
        <w:jc w:val="left"/>
        <w:rPr>
          <w:rFonts w:hint="eastAsia" w:eastAsia="方正黑体简体"/>
          <w:color w:val="000000"/>
          <w:kern w:val="0"/>
          <w:sz w:val="32"/>
          <w:szCs w:val="32"/>
          <w:lang w:val="en-US" w:eastAsia="zh-CN"/>
        </w:rPr>
      </w:pPr>
      <w:r>
        <w:rPr>
          <w:rFonts w:eastAsia="方正黑体简体"/>
          <w:color w:val="000000"/>
          <w:kern w:val="0"/>
          <w:sz w:val="32"/>
          <w:szCs w:val="32"/>
        </w:rPr>
        <w:t>附件</w:t>
      </w:r>
      <w:r>
        <w:rPr>
          <w:rFonts w:hint="eastAsia" w:eastAsia="方正黑体简体"/>
          <w:color w:val="000000"/>
          <w:kern w:val="0"/>
          <w:sz w:val="32"/>
          <w:szCs w:val="32"/>
          <w:lang w:val="en-US" w:eastAsia="zh-CN"/>
        </w:rPr>
        <w:t>2</w:t>
      </w:r>
    </w:p>
    <w:p>
      <w:pPr>
        <w:spacing w:line="620" w:lineRule="exact"/>
        <w:jc w:val="center"/>
        <w:rPr>
          <w:rFonts w:eastAsia="方正小标宋简体"/>
          <w:color w:val="000000"/>
          <w:kern w:val="0"/>
          <w:sz w:val="36"/>
          <w:szCs w:val="36"/>
        </w:rPr>
      </w:pPr>
      <w:r>
        <w:rPr>
          <w:rFonts w:eastAsia="方正小标宋简体"/>
          <w:color w:val="000000"/>
          <w:kern w:val="0"/>
          <w:sz w:val="36"/>
          <w:szCs w:val="36"/>
        </w:rPr>
        <w:t>20</w:t>
      </w:r>
      <w:r>
        <w:rPr>
          <w:rFonts w:hint="eastAsia" w:eastAsia="方正小标宋简体"/>
          <w:color w:val="000000"/>
          <w:kern w:val="0"/>
          <w:sz w:val="36"/>
          <w:szCs w:val="36"/>
        </w:rPr>
        <w:t>2</w:t>
      </w:r>
      <w:r>
        <w:rPr>
          <w:rFonts w:hint="eastAsia" w:eastAsia="方正小标宋简体"/>
          <w:color w:val="000000"/>
          <w:kern w:val="0"/>
          <w:sz w:val="36"/>
          <w:szCs w:val="36"/>
          <w:lang w:val="en-US" w:eastAsia="zh-CN"/>
        </w:rPr>
        <w:t>2</w:t>
      </w:r>
      <w:r>
        <w:rPr>
          <w:rFonts w:eastAsia="方正小标宋简体"/>
          <w:color w:val="000000"/>
          <w:kern w:val="0"/>
          <w:sz w:val="36"/>
          <w:szCs w:val="36"/>
        </w:rPr>
        <w:t>年度市本级部门整体支出绩效目标完成情况表</w:t>
      </w:r>
    </w:p>
    <w:p>
      <w:pPr>
        <w:pStyle w:val="2"/>
      </w:pPr>
    </w:p>
    <w:tbl>
      <w:tblPr>
        <w:tblStyle w:val="5"/>
        <w:tblW w:w="506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83"/>
        <w:gridCol w:w="752"/>
        <w:gridCol w:w="829"/>
        <w:gridCol w:w="89"/>
        <w:gridCol w:w="1285"/>
        <w:gridCol w:w="247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42"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部门（单位）名称</w:t>
            </w:r>
          </w:p>
        </w:tc>
        <w:tc>
          <w:tcPr>
            <w:tcW w:w="2281" w:type="pct"/>
            <w:gridSpan w:val="5"/>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资阳市交通运行监测与应急保障中心</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预算单位编码</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140007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42"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预算执行情况</w:t>
            </w: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预算额(百元)</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执行额(百元)</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当年结转结余额(百元)</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结转结余率%</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合计</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19761</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19761</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基本支出</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17101</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17101</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政策和项目支出</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26601</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26601</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42"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结构</w:t>
            </w: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项目</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合计</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一般公共预算安排</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政府性基金预算安排</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国有资本经营预算安排</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预算额(百元)</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19761</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19761</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执行额(百元)</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19761</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19.61</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spacing w:val="-20"/>
                <w:kern w:val="0"/>
                <w:sz w:val="18"/>
                <w:szCs w:val="18"/>
              </w:rPr>
            </w:pPr>
            <w:r>
              <w:rPr>
                <w:rFonts w:hint="default" w:ascii="Times New Roman" w:hAnsi="Times New Roman" w:eastAsia="方正仿宋_GBK" w:cs="Times New Roman"/>
                <w:color w:val="000000"/>
                <w:spacing w:val="-20"/>
                <w:kern w:val="0"/>
                <w:sz w:val="18"/>
                <w:szCs w:val="18"/>
              </w:rPr>
              <w:t>当年结转结余额(百元)</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0</w:t>
            </w: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0</w:t>
            </w: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结转结余率%</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结转结余变动率%</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31"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44"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42"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年度总体目标</w:t>
            </w:r>
          </w:p>
        </w:tc>
        <w:tc>
          <w:tcPr>
            <w:tcW w:w="100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预算总体目标</w:t>
            </w:r>
          </w:p>
        </w:tc>
        <w:tc>
          <w:tcPr>
            <w:tcW w:w="1276" w:type="pct"/>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预算总体目标执行结果</w:t>
            </w:r>
          </w:p>
        </w:tc>
        <w:tc>
          <w:tcPr>
            <w:tcW w:w="217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预算总体目标与预算总体目标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00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保证交通疫情防控工作正常开展.及时发布防控信息.</w:t>
            </w:r>
          </w:p>
        </w:tc>
        <w:tc>
          <w:tcPr>
            <w:tcW w:w="1276" w:type="pct"/>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全面完成</w:t>
            </w:r>
          </w:p>
        </w:tc>
        <w:tc>
          <w:tcPr>
            <w:tcW w:w="217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00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保证应急二期场内主机房及视频会商系统正常使用，全年不断电。保证整个运行监督执行的中枢正常运行和省.市.县的视频会议联调和使用.</w:t>
            </w:r>
          </w:p>
        </w:tc>
        <w:tc>
          <w:tcPr>
            <w:tcW w:w="1276" w:type="pct"/>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全面完成</w:t>
            </w:r>
          </w:p>
        </w:tc>
        <w:tc>
          <w:tcPr>
            <w:tcW w:w="217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00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保证全市交通量调查站正常运行,确保交通量数据稳定准确.</w:t>
            </w:r>
          </w:p>
        </w:tc>
        <w:tc>
          <w:tcPr>
            <w:tcW w:w="1276" w:type="pct"/>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全面完成</w:t>
            </w:r>
          </w:p>
        </w:tc>
        <w:tc>
          <w:tcPr>
            <w:tcW w:w="217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00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保证应急二期场外56个监测摄像头及17个可变情报板硬件及软件维护，实现对全市重要国省干线公路的全方位监测。</w:t>
            </w:r>
          </w:p>
        </w:tc>
        <w:tc>
          <w:tcPr>
            <w:tcW w:w="1276" w:type="pct"/>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全面完成</w:t>
            </w:r>
          </w:p>
        </w:tc>
        <w:tc>
          <w:tcPr>
            <w:tcW w:w="217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00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1276" w:type="pct"/>
            <w:gridSpan w:val="3"/>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217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42"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年度绩效指标</w:t>
            </w:r>
          </w:p>
        </w:tc>
        <w:tc>
          <w:tcPr>
            <w:tcW w:w="56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一级指标</w:t>
            </w: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二级指标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三级指标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预算指标值(包含数字及文字描述)</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预算指标值执行结果(包含数字及文字描述)</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完成</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指标</w:t>
            </w:r>
          </w:p>
        </w:tc>
        <w:tc>
          <w:tcPr>
            <w:tcW w:w="435"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数量</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控制数</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三公经费控制</w:t>
            </w:r>
            <w:r>
              <w:rPr>
                <w:rFonts w:hint="default" w:ascii="Times New Roman" w:hAnsi="Times New Roman" w:eastAsia="方正仿宋_GBK" w:cs="Times New Roman"/>
                <w:color w:val="000000"/>
                <w:kern w:val="0"/>
                <w:sz w:val="18"/>
                <w:szCs w:val="18"/>
                <w:lang w:val="en-US" w:eastAsia="zh-CN"/>
              </w:rPr>
              <w:t>100%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保障单位日常运转，提高预算编制质量，严格执行预算</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sz w:val="18"/>
                <w:szCs w:val="18"/>
              </w:rPr>
              <w:t>监测率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路网监测全面覆盖</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全市路网监测达</w:t>
            </w:r>
            <w:r>
              <w:rPr>
                <w:rFonts w:hint="default" w:ascii="Times New Roman" w:hAnsi="Times New Roman" w:eastAsia="方正仿宋_GBK" w:cs="Times New Roman"/>
                <w:color w:val="000000"/>
                <w:kern w:val="0"/>
                <w:sz w:val="18"/>
                <w:szCs w:val="18"/>
                <w:lang w:val="en-US" w:eastAsia="zh-CN"/>
              </w:rPr>
              <w:t>100%</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完成率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重点工作全面完成</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路网信息发布准确及时，重点工作全面完成</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质量</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重大任务视频会议保障正常率: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大于</w:t>
            </w:r>
            <w:r>
              <w:rPr>
                <w:rFonts w:hint="default" w:ascii="Times New Roman" w:hAnsi="Times New Roman" w:eastAsia="方正仿宋_GBK" w:cs="Times New Roman"/>
                <w:color w:val="000000"/>
                <w:kern w:val="0"/>
                <w:sz w:val="18"/>
                <w:szCs w:val="18"/>
                <w:lang w:val="en-US" w:eastAsia="zh-CN"/>
              </w:rPr>
              <w:t>90%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交通重大视频会议保障率</w:t>
            </w:r>
            <w:r>
              <w:rPr>
                <w:rFonts w:hint="default" w:ascii="Times New Roman" w:hAnsi="Times New Roman" w:eastAsia="方正仿宋_GBK" w:cs="Times New Roman"/>
                <w:color w:val="000000"/>
                <w:kern w:val="0"/>
                <w:sz w:val="18"/>
                <w:szCs w:val="18"/>
                <w:lang w:val="en-US" w:eastAsia="zh-CN"/>
              </w:rPr>
              <w:t>100%</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sz w:val="18"/>
                <w:szCs w:val="18"/>
              </w:rPr>
              <w:t>设备故障率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小于等于</w:t>
            </w:r>
            <w:r>
              <w:rPr>
                <w:rFonts w:hint="default" w:ascii="Times New Roman" w:hAnsi="Times New Roman" w:eastAsia="方正仿宋_GBK" w:cs="Times New Roman"/>
                <w:color w:val="000000"/>
                <w:kern w:val="0"/>
                <w:sz w:val="18"/>
                <w:szCs w:val="18"/>
                <w:lang w:val="en-US" w:eastAsia="zh-CN"/>
              </w:rPr>
              <w:t>10%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全年设备故障为</w:t>
            </w:r>
            <w:r>
              <w:rPr>
                <w:rFonts w:hint="default" w:ascii="Times New Roman" w:hAnsi="Times New Roman" w:eastAsia="方正仿宋_GBK" w:cs="Times New Roman"/>
                <w:color w:val="000000"/>
                <w:kern w:val="0"/>
                <w:sz w:val="18"/>
                <w:szCs w:val="18"/>
                <w:lang w:val="en-US" w:eastAsia="zh-CN"/>
              </w:rPr>
              <w:t>0</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预算编制准确率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100%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全年预算编制及时，准确，无调整</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时效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覆盖率: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大于80%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交通流量监测</w:t>
            </w:r>
            <w:r>
              <w:rPr>
                <w:rFonts w:hint="default" w:ascii="Times New Roman" w:hAnsi="Times New Roman" w:eastAsia="方正仿宋_GBK" w:cs="Times New Roman"/>
                <w:color w:val="000000"/>
                <w:kern w:val="0"/>
                <w:sz w:val="18"/>
                <w:szCs w:val="18"/>
                <w:lang w:val="en-US" w:eastAsia="zh-CN"/>
              </w:rPr>
              <w:t>100%</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准确率</w:t>
            </w:r>
            <w:r>
              <w:rPr>
                <w:rFonts w:hint="default" w:ascii="Times New Roman" w:hAnsi="Times New Roman" w:eastAsia="方正仿宋_GBK" w:cs="Times New Roman"/>
                <w:color w:val="000000"/>
                <w:kern w:val="0"/>
                <w:sz w:val="18"/>
                <w:szCs w:val="18"/>
              </w:rPr>
              <w:t>:</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val="en-US" w:eastAsia="zh-CN"/>
              </w:rPr>
              <w:t>大于80%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b w:val="0"/>
                <w:bCs w:val="0"/>
                <w:color w:val="000000" w:themeColor="text1"/>
                <w:sz w:val="18"/>
                <w:szCs w:val="18"/>
                <w:lang w:val="en-US" w:eastAsia="zh-CN"/>
                <w14:textFill>
                  <w14:solidFill>
                    <w14:schemeClr w14:val="tx1"/>
                  </w14:solidFill>
                </w14:textFill>
              </w:rPr>
              <w:t>发布路况信息提示、灾害信息预警和交通行业信息宣传及时准确</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成本</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信息发布量:</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大于等于</w:t>
            </w:r>
            <w:r>
              <w:rPr>
                <w:rFonts w:hint="default" w:ascii="Times New Roman" w:hAnsi="Times New Roman" w:eastAsia="方正仿宋_GBK" w:cs="Times New Roman"/>
                <w:color w:val="000000"/>
                <w:kern w:val="0"/>
                <w:sz w:val="18"/>
                <w:szCs w:val="18"/>
                <w:lang w:val="en-US" w:eastAsia="zh-CN"/>
              </w:rPr>
              <w:t>12条</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b w:val="0"/>
                <w:bCs w:val="0"/>
                <w:sz w:val="18"/>
                <w:szCs w:val="18"/>
                <w:lang w:val="en-US" w:eastAsia="zh-CN"/>
              </w:rPr>
              <w:t>发布交通预警信息85条，安全宣传信息34条</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控制额度</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专项资金控制</w:t>
            </w:r>
            <w:r>
              <w:rPr>
                <w:rFonts w:hint="default" w:ascii="Times New Roman" w:hAnsi="Times New Roman" w:eastAsia="方正仿宋_GBK" w:cs="Times New Roman"/>
                <w:color w:val="000000"/>
                <w:kern w:val="0"/>
                <w:sz w:val="18"/>
                <w:szCs w:val="18"/>
                <w:lang w:val="en-US" w:eastAsia="zh-CN"/>
              </w:rPr>
              <w:t>26.6万元</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全年项目资金完成</w:t>
            </w:r>
            <w:r>
              <w:rPr>
                <w:rFonts w:hint="default" w:ascii="Times New Roman" w:hAnsi="Times New Roman" w:eastAsia="方正仿宋_GBK" w:cs="Times New Roman"/>
                <w:color w:val="000000"/>
                <w:kern w:val="0"/>
                <w:sz w:val="18"/>
                <w:szCs w:val="18"/>
                <w:lang w:val="en-US" w:eastAsia="zh-CN"/>
              </w:rPr>
              <w:t>26.6万元</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效益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指标</w:t>
            </w:r>
          </w:p>
        </w:tc>
        <w:tc>
          <w:tcPr>
            <w:tcW w:w="435"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经济效益指标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完成率: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等于</w:t>
            </w:r>
            <w:r>
              <w:rPr>
                <w:rFonts w:hint="default" w:ascii="Times New Roman" w:hAnsi="Times New Roman" w:eastAsia="方正仿宋_GBK" w:cs="Times New Roman"/>
                <w:color w:val="000000"/>
                <w:kern w:val="0"/>
                <w:sz w:val="18"/>
                <w:szCs w:val="18"/>
                <w:lang w:val="en-US" w:eastAsia="zh-CN"/>
              </w:rPr>
              <w:t>100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交通运行监测工作全面完成</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服务率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100%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b w:val="0"/>
                <w:bCs w:val="0"/>
                <w:color w:val="000000" w:themeColor="text1"/>
                <w:sz w:val="18"/>
                <w:szCs w:val="18"/>
                <w:lang w:val="en-US" w:eastAsia="zh-CN"/>
                <w14:textFill>
                  <w14:solidFill>
                    <w14:schemeClr w14:val="tx1"/>
                  </w14:solidFill>
                </w14:textFill>
              </w:rPr>
              <w:t>常态化与公安、气象等部门进行密切协作，发挥部门合力，保证保障交通行车安全。</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运转保障率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大于</w:t>
            </w:r>
            <w:r>
              <w:rPr>
                <w:rFonts w:hint="default" w:ascii="Times New Roman" w:hAnsi="Times New Roman" w:eastAsia="方正仿宋_GBK" w:cs="Times New Roman"/>
                <w:color w:val="000000"/>
                <w:kern w:val="0"/>
                <w:sz w:val="18"/>
                <w:szCs w:val="18"/>
                <w:lang w:val="en-US" w:eastAsia="zh-CN"/>
              </w:rPr>
              <w:t>90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2022年目标工作全面完成，正常运转</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生态效益指标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社会效益</w:t>
            </w:r>
            <w:r>
              <w:rPr>
                <w:rFonts w:hint="default" w:ascii="Times New Roman" w:hAnsi="Times New Roman" w:eastAsia="方正仿宋_GBK" w:cs="Times New Roman"/>
                <w:color w:val="000000"/>
                <w:kern w:val="0"/>
                <w:sz w:val="18"/>
                <w:szCs w:val="18"/>
              </w:rPr>
              <w:t>:</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满意度</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b w:val="0"/>
                <w:bCs w:val="0"/>
                <w:color w:val="000000" w:themeColor="text1"/>
                <w:sz w:val="18"/>
                <w:szCs w:val="18"/>
                <w:lang w:val="en-US" w:eastAsia="zh-CN"/>
                <w14:textFill>
                  <w14:solidFill>
                    <w14:schemeClr w14:val="tx1"/>
                  </w14:solidFill>
                </w14:textFill>
              </w:rPr>
              <w:t>整合交通行业视频资源2006条，可随时调取公交、出租、高速、客运场站、水路码头、重要道路桥梁和高风险路段的视频资源，掌握各个点位监控运行情况，及时发布监控信息，保障道路畅通</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restar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可持续影响指标</w:t>
            </w: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完成率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eastAsia="zh-CN"/>
              </w:rPr>
              <w:t>大于</w:t>
            </w:r>
            <w:r>
              <w:rPr>
                <w:rFonts w:hint="default" w:ascii="Times New Roman" w:hAnsi="Times New Roman" w:eastAsia="方正仿宋_GBK" w:cs="Times New Roman"/>
                <w:color w:val="000000"/>
                <w:kern w:val="0"/>
                <w:sz w:val="18"/>
                <w:szCs w:val="18"/>
                <w:lang w:val="en-US" w:eastAsia="zh-CN"/>
              </w:rPr>
              <w:t>90%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themeColor="text1"/>
                <w:sz w:val="18"/>
                <w:szCs w:val="18"/>
                <w:lang w:val="en-US" w:eastAsia="zh-CN"/>
                <w14:textFill>
                  <w14:solidFill>
                    <w14:schemeClr w14:val="tx1"/>
                  </w14:solidFill>
                </w14:textFill>
              </w:rPr>
              <w:t>市交通运行监测中心</w:t>
            </w:r>
            <w:r>
              <w:rPr>
                <w:rFonts w:hint="default" w:ascii="Times New Roman" w:hAnsi="Times New Roman" w:eastAsia="方正仿宋_GBK" w:cs="Times New Roman"/>
                <w:color w:val="000000" w:themeColor="text1"/>
                <w:kern w:val="0"/>
                <w:sz w:val="18"/>
                <w:szCs w:val="18"/>
                <w14:textFill>
                  <w14:solidFill>
                    <w14:schemeClr w14:val="tx1"/>
                  </w14:solidFill>
                </w14:textFill>
              </w:rPr>
              <w:t>按照整体绩效目标确定的时限</w:t>
            </w:r>
            <w:r>
              <w:rPr>
                <w:rFonts w:hint="default" w:ascii="Times New Roman" w:hAnsi="Times New Roman" w:eastAsia="方正仿宋_GBK" w:cs="Times New Roman"/>
                <w:color w:val="000000" w:themeColor="text1"/>
                <w:kern w:val="0"/>
                <w:sz w:val="18"/>
                <w:szCs w:val="18"/>
                <w:lang w:eastAsia="zh-CN"/>
                <w14:textFill>
                  <w14:solidFill>
                    <w14:schemeClr w14:val="tx1"/>
                  </w14:solidFill>
                </w14:textFill>
              </w:rPr>
              <w:t>和要求，</w:t>
            </w:r>
            <w:r>
              <w:rPr>
                <w:rFonts w:hint="default" w:ascii="Times New Roman" w:hAnsi="Times New Roman" w:eastAsia="方正仿宋_GBK" w:cs="Times New Roman"/>
                <w:color w:val="000000" w:themeColor="text1"/>
                <w:sz w:val="18"/>
                <w:szCs w:val="18"/>
                <w14:textFill>
                  <w14:solidFill>
                    <w14:schemeClr w14:val="tx1"/>
                  </w14:solidFill>
                </w14:textFill>
              </w:rPr>
              <w:t>全面完成各项</w:t>
            </w:r>
            <w:r>
              <w:rPr>
                <w:rFonts w:hint="default" w:ascii="Times New Roman" w:hAnsi="Times New Roman" w:eastAsia="方正仿宋_GBK" w:cs="Times New Roman"/>
                <w:color w:val="000000" w:themeColor="text1"/>
                <w:sz w:val="18"/>
                <w:szCs w:val="18"/>
                <w:lang w:eastAsia="zh-CN"/>
                <w14:textFill>
                  <w14:solidFill>
                    <w14:schemeClr w14:val="tx1"/>
                  </w14:solidFill>
                </w14:textFill>
              </w:rPr>
              <w:t>目标</w:t>
            </w:r>
            <w:r>
              <w:rPr>
                <w:rFonts w:hint="default" w:ascii="Times New Roman" w:hAnsi="Times New Roman" w:eastAsia="方正仿宋_GBK" w:cs="Times New Roman"/>
                <w:color w:val="000000" w:themeColor="text1"/>
                <w:sz w:val="18"/>
                <w:szCs w:val="18"/>
                <w14:textFill>
                  <w14:solidFill>
                    <w14:schemeClr w14:val="tx1"/>
                  </w14:solidFill>
                </w14:textFill>
              </w:rPr>
              <w:t>任务</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eastAsia="zh-CN"/>
              </w:rPr>
            </w:pPr>
            <w:r>
              <w:rPr>
                <w:rFonts w:hint="default" w:ascii="Times New Roman" w:hAnsi="Times New Roman" w:eastAsia="方正仿宋_GBK" w:cs="Times New Roman"/>
                <w:color w:val="000000"/>
                <w:kern w:val="0"/>
                <w:sz w:val="18"/>
                <w:szCs w:val="18"/>
                <w:lang w:eastAsia="zh-CN"/>
              </w:rPr>
              <w:t>运行率</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lang w:val="en-US" w:eastAsia="zh-CN"/>
              </w:rPr>
            </w:pPr>
            <w:r>
              <w:rPr>
                <w:rFonts w:hint="default" w:ascii="Times New Roman" w:hAnsi="Times New Roman" w:eastAsia="方正仿宋_GBK" w:cs="Times New Roman"/>
                <w:color w:val="000000"/>
                <w:kern w:val="0"/>
                <w:sz w:val="18"/>
                <w:szCs w:val="18"/>
                <w:lang w:val="en-US" w:eastAsia="zh-CN"/>
              </w:rPr>
              <w:t>100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kern w:val="0"/>
                <w:sz w:val="18"/>
                <w:szCs w:val="18"/>
              </w:rPr>
              <w:t>全市交通量调查站正常运行,确保交通量数据稳定准确</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2"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56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35"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c>
          <w:tcPr>
            <w:tcW w:w="480"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i w:val="0"/>
                <w:iCs w:val="0"/>
                <w:color w:val="000000"/>
                <w:kern w:val="0"/>
                <w:sz w:val="18"/>
                <w:szCs w:val="18"/>
                <w:u w:val="none"/>
                <w:lang w:val="en-US" w:eastAsia="zh-CN" w:bidi="ar"/>
              </w:rPr>
              <w:t>服务对象满意度</w:t>
            </w:r>
          </w:p>
        </w:tc>
        <w:tc>
          <w:tcPr>
            <w:tcW w:w="795" w:type="pct"/>
            <w:gridSpan w:val="2"/>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eastAsia="zh-CN"/>
              </w:rPr>
              <w:t>大于</w:t>
            </w:r>
            <w:r>
              <w:rPr>
                <w:rFonts w:hint="default" w:ascii="Times New Roman" w:hAnsi="Times New Roman" w:eastAsia="方正仿宋_GBK" w:cs="Times New Roman"/>
                <w:color w:val="000000"/>
                <w:kern w:val="0"/>
                <w:sz w:val="18"/>
                <w:szCs w:val="18"/>
                <w:lang w:val="en-US" w:eastAsia="zh-CN"/>
              </w:rPr>
              <w:t>80</w:t>
            </w:r>
          </w:p>
        </w:tc>
        <w:tc>
          <w:tcPr>
            <w:tcW w:w="1436"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rPr>
              <w:t>保证交通运行监测中心正常开展工作，及时提供交通运行监测信息。</w:t>
            </w:r>
            <w:r>
              <w:rPr>
                <w:rFonts w:hint="default" w:ascii="Times New Roman" w:hAnsi="Times New Roman" w:eastAsia="方正仿宋_GBK" w:cs="Times New Roman"/>
                <w:color w:val="000000"/>
                <w:kern w:val="0"/>
                <w:sz w:val="18"/>
                <w:szCs w:val="18"/>
                <w:lang w:eastAsia="zh-CN"/>
              </w:rPr>
              <w:t>社会公众满意</w:t>
            </w:r>
            <w:r>
              <w:rPr>
                <w:rFonts w:hint="default" w:ascii="Times New Roman" w:hAnsi="Times New Roman" w:eastAsia="方正仿宋_GBK" w:cs="Times New Roman"/>
                <w:color w:val="000000"/>
                <w:kern w:val="0"/>
                <w:sz w:val="18"/>
                <w:szCs w:val="18"/>
                <w:lang w:val="en-US" w:eastAsia="zh-CN"/>
              </w:rPr>
              <w:t>100%</w:t>
            </w:r>
          </w:p>
        </w:tc>
        <w:tc>
          <w:tcPr>
            <w:tcW w:w="739" w:type="pct"/>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color w:val="000000"/>
                <w:kern w:val="0"/>
                <w:sz w:val="18"/>
                <w:szCs w:val="18"/>
              </w:rPr>
            </w:pPr>
          </w:p>
        </w:tc>
      </w:tr>
    </w:tbl>
    <w:p>
      <w:pPr>
        <w:rPr>
          <w:rFonts w:ascii="方正仿宋_GBK" w:eastAsia="方正仿宋_GBK"/>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方正书宋_GBK"/>
    <w:panose1 w:val="02020509000000000000"/>
    <w:charset w:val="88"/>
    <w:family w:val="modern"/>
    <w:pitch w:val="default"/>
    <w:sig w:usb0="00000000" w:usb1="00000000" w:usb2="00000016" w:usb3="00000000" w:csb0="00100001" w:csb1="00000000"/>
  </w:font>
  <w:font w:name="FrankRuehl">
    <w:altName w:val="Noto Sans Hebrew"/>
    <w:panose1 w:val="020E0503060101010101"/>
    <w:charset w:val="B1"/>
    <w:family w:val="swiss"/>
    <w:pitch w:val="default"/>
    <w:sig w:usb0="00000000" w:usb1="00000000" w:usb2="00000000" w:usb3="00000000" w:csb0="00000020" w:csb1="00200000"/>
  </w:font>
  <w:font w:name="Lucida Sans Unicode">
    <w:altName w:val="Noto Music"/>
    <w:panose1 w:val="020B0602030504020204"/>
    <w:charset w:val="00"/>
    <w:family w:val="swiss"/>
    <w:pitch w:val="default"/>
    <w:sig w:usb0="00000000" w:usb1="00000000" w:usb2="00000000" w:usb3="00000000" w:csb0="200000BF" w:csb1="D7F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简体">
    <w:altName w:val="方正黑体_GBK"/>
    <w:panose1 w:val="00000000000000000000"/>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Hebrew">
    <w:panose1 w:val="020B0502040504020204"/>
    <w:charset w:val="00"/>
    <w:family w:val="auto"/>
    <w:pitch w:val="default"/>
    <w:sig w:usb0="80000803" w:usb1="40002002" w:usb2="00000000" w:usb3="00000000" w:csb0="00000020" w:csb1="00000000"/>
  </w:font>
  <w:font w:name="Noto Music">
    <w:panose1 w:val="020B0502040504020204"/>
    <w:charset w:val="00"/>
    <w:family w:val="auto"/>
    <w:pitch w:val="default"/>
    <w:sig w:usb0="00000003" w:usb1="02006000" w:usb2="01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mc:AlternateContent>
        <mc:Choice Requires="wps">
          <w:drawing>
            <wp:anchor distT="0" distB="0" distL="114300" distR="114300" simplePos="0" relativeHeight="251661312" behindDoc="1" locked="0" layoutInCell="1" allowOverlap="1">
              <wp:simplePos x="0" y="0"/>
              <wp:positionH relativeFrom="page">
                <wp:posOffset>1310640</wp:posOffset>
              </wp:positionH>
              <wp:positionV relativeFrom="page">
                <wp:posOffset>9830435</wp:posOffset>
              </wp:positionV>
              <wp:extent cx="420370" cy="11874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20370" cy="118745"/>
                      </a:xfrm>
                      <a:prstGeom prst="rect">
                        <a:avLst/>
                      </a:prstGeom>
                      <a:noFill/>
                      <a:ln>
                        <a:noFill/>
                      </a:ln>
                    </wps:spPr>
                    <wps:txbx>
                      <w:txbxContent>
                        <w:p>
                          <w:pPr>
                            <w:pStyle w:val="14"/>
                            <w:shd w:val="clear" w:color="auto" w:fill="auto"/>
                            <w:spacing w:line="240" w:lineRule="auto"/>
                          </w:pPr>
                          <w:r>
                            <w:fldChar w:fldCharType="begin"/>
                          </w:r>
                          <w:r>
                            <w:instrText xml:space="preserve"> PAGE \* MERGEFORMAT </w:instrText>
                          </w:r>
                          <w:r>
                            <w:fldChar w:fldCharType="separate"/>
                          </w:r>
                          <w:r>
                            <w:rPr>
                              <w:rStyle w:val="15"/>
                            </w:rPr>
                            <w:t>12</w:t>
                          </w:r>
                          <w:r>
                            <w:rPr>
                              <w:rStyle w:val="15"/>
                            </w:rPr>
                            <w:fldChar w:fldCharType="end"/>
                          </w:r>
                          <w:r>
                            <w:rPr>
                              <w:rStyle w:val="15"/>
                              <w:lang w:eastAsia="en-US" w:bidi="en-US"/>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left:103.2pt;margin-top:774.05pt;height:9.35pt;width:33.1pt;mso-position-horizontal-relative:page;mso-position-vertical-relative:page;mso-wrap-style:none;z-index:-251655168;mso-width-relative:page;mso-height-relative:page;" filled="f" stroked="f" coordsize="21600,21600" o:gfxdata="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EfNwa7YAAAADQEAAA8AAAAAAAAAAQAgAAAAOAAAAGRy&#10;cy9kb3ducmV2LnhtbFBLAQIUABQAAAAIAIdO4kBKxKd0tgEAAE8DAAAOAAAAAAAAAAEAIAAAAD0B&#10;AABkcnMvZTJvRG9jLnhtbFBLBQYAAAAABgAGAFkBAABlBQAAAAA=&#10;">
              <v:fill on="f" focussize="0,0"/>
              <v:stroke on="f"/>
              <v:imagedata o:title=""/>
              <o:lock v:ext="edit" aspectratio="f"/>
              <v:textbox inset="0mm,0mm,0mm,0mm" style="mso-fit-shape-to-text:t;">
                <w:txbxContent>
                  <w:p>
                    <w:pPr>
                      <w:pStyle w:val="14"/>
                      <w:shd w:val="clear" w:color="auto" w:fill="auto"/>
                      <w:spacing w:line="240" w:lineRule="auto"/>
                    </w:pPr>
                    <w:r>
                      <w:fldChar w:fldCharType="begin"/>
                    </w:r>
                    <w:r>
                      <w:instrText xml:space="preserve"> PAGE \* MERGEFORMAT </w:instrText>
                    </w:r>
                    <w:r>
                      <w:fldChar w:fldCharType="separate"/>
                    </w:r>
                    <w:r>
                      <w:rPr>
                        <w:rStyle w:val="15"/>
                      </w:rPr>
                      <w:t>12</w:t>
                    </w:r>
                    <w:r>
                      <w:rPr>
                        <w:rStyle w:val="15"/>
                      </w:rPr>
                      <w:fldChar w:fldCharType="end"/>
                    </w:r>
                    <w:r>
                      <w:rPr>
                        <w:rStyle w:val="15"/>
                        <w:lang w:eastAsia="en-US" w:bidi="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NjQzNjgwNGIwMzBhNjMxZGE3MTM0N2U5MWNiMDUifQ=="/>
  </w:docVars>
  <w:rsids>
    <w:rsidRoot w:val="00571E79"/>
    <w:rsid w:val="00000916"/>
    <w:rsid w:val="000125FA"/>
    <w:rsid w:val="00022DAF"/>
    <w:rsid w:val="00030305"/>
    <w:rsid w:val="00035A63"/>
    <w:rsid w:val="00044F04"/>
    <w:rsid w:val="0004593C"/>
    <w:rsid w:val="00054419"/>
    <w:rsid w:val="00066846"/>
    <w:rsid w:val="000C0547"/>
    <w:rsid w:val="000D415C"/>
    <w:rsid w:val="000F30C8"/>
    <w:rsid w:val="00123651"/>
    <w:rsid w:val="0014164D"/>
    <w:rsid w:val="0014260B"/>
    <w:rsid w:val="001A0DFA"/>
    <w:rsid w:val="00223714"/>
    <w:rsid w:val="002A4981"/>
    <w:rsid w:val="002A5C4E"/>
    <w:rsid w:val="002C2511"/>
    <w:rsid w:val="002D1BDF"/>
    <w:rsid w:val="002D7B6A"/>
    <w:rsid w:val="00305A27"/>
    <w:rsid w:val="003203FB"/>
    <w:rsid w:val="003411EB"/>
    <w:rsid w:val="00351F4F"/>
    <w:rsid w:val="0035344A"/>
    <w:rsid w:val="00360A64"/>
    <w:rsid w:val="003D2118"/>
    <w:rsid w:val="003E0875"/>
    <w:rsid w:val="00444CA3"/>
    <w:rsid w:val="004B09B1"/>
    <w:rsid w:val="004B2FA4"/>
    <w:rsid w:val="004C333B"/>
    <w:rsid w:val="004E00D7"/>
    <w:rsid w:val="005434B2"/>
    <w:rsid w:val="00571E79"/>
    <w:rsid w:val="005769C9"/>
    <w:rsid w:val="005964F5"/>
    <w:rsid w:val="005A1C9F"/>
    <w:rsid w:val="005C3624"/>
    <w:rsid w:val="005C61D9"/>
    <w:rsid w:val="005D666B"/>
    <w:rsid w:val="00656D3B"/>
    <w:rsid w:val="00686AA6"/>
    <w:rsid w:val="00686D92"/>
    <w:rsid w:val="00687DA6"/>
    <w:rsid w:val="006A3EC1"/>
    <w:rsid w:val="006F024E"/>
    <w:rsid w:val="007065F3"/>
    <w:rsid w:val="00706B58"/>
    <w:rsid w:val="00746FE3"/>
    <w:rsid w:val="007756BA"/>
    <w:rsid w:val="007A4C92"/>
    <w:rsid w:val="007C107D"/>
    <w:rsid w:val="007E6DCA"/>
    <w:rsid w:val="0082637D"/>
    <w:rsid w:val="0084572C"/>
    <w:rsid w:val="00855881"/>
    <w:rsid w:val="00866821"/>
    <w:rsid w:val="008A3C19"/>
    <w:rsid w:val="008A598F"/>
    <w:rsid w:val="008A7774"/>
    <w:rsid w:val="008B087A"/>
    <w:rsid w:val="008C36B0"/>
    <w:rsid w:val="008E60CB"/>
    <w:rsid w:val="008E73C9"/>
    <w:rsid w:val="008F3CD5"/>
    <w:rsid w:val="009140D3"/>
    <w:rsid w:val="00924B84"/>
    <w:rsid w:val="0092692B"/>
    <w:rsid w:val="00940D14"/>
    <w:rsid w:val="00955FD8"/>
    <w:rsid w:val="00960BBE"/>
    <w:rsid w:val="009A6C83"/>
    <w:rsid w:val="009C4BAD"/>
    <w:rsid w:val="009F445A"/>
    <w:rsid w:val="00A46BE3"/>
    <w:rsid w:val="00A85242"/>
    <w:rsid w:val="00AA2093"/>
    <w:rsid w:val="00B001C1"/>
    <w:rsid w:val="00B21161"/>
    <w:rsid w:val="00B932B7"/>
    <w:rsid w:val="00B94D42"/>
    <w:rsid w:val="00BA2702"/>
    <w:rsid w:val="00BD0834"/>
    <w:rsid w:val="00C031EA"/>
    <w:rsid w:val="00C069CA"/>
    <w:rsid w:val="00C42740"/>
    <w:rsid w:val="00C45B3E"/>
    <w:rsid w:val="00C479D8"/>
    <w:rsid w:val="00C71702"/>
    <w:rsid w:val="00CA53AB"/>
    <w:rsid w:val="00CB72A6"/>
    <w:rsid w:val="00CD5173"/>
    <w:rsid w:val="00CD5331"/>
    <w:rsid w:val="00CD6190"/>
    <w:rsid w:val="00CF0C0A"/>
    <w:rsid w:val="00D146F7"/>
    <w:rsid w:val="00D14B72"/>
    <w:rsid w:val="00D17DF3"/>
    <w:rsid w:val="00D24196"/>
    <w:rsid w:val="00D3051A"/>
    <w:rsid w:val="00D40F2A"/>
    <w:rsid w:val="00D5286B"/>
    <w:rsid w:val="00D575ED"/>
    <w:rsid w:val="00D65A8F"/>
    <w:rsid w:val="00D72328"/>
    <w:rsid w:val="00DC0540"/>
    <w:rsid w:val="00DC5079"/>
    <w:rsid w:val="00E15A2E"/>
    <w:rsid w:val="00E17DA7"/>
    <w:rsid w:val="00E6667D"/>
    <w:rsid w:val="00EB73CE"/>
    <w:rsid w:val="00EC3631"/>
    <w:rsid w:val="00ED1F65"/>
    <w:rsid w:val="00F10F26"/>
    <w:rsid w:val="00F23280"/>
    <w:rsid w:val="00F26169"/>
    <w:rsid w:val="00F33B0B"/>
    <w:rsid w:val="00F66A6A"/>
    <w:rsid w:val="00F90E9A"/>
    <w:rsid w:val="00FC4913"/>
    <w:rsid w:val="00FC6D06"/>
    <w:rsid w:val="00FF5D77"/>
    <w:rsid w:val="025443FE"/>
    <w:rsid w:val="02F60722"/>
    <w:rsid w:val="0525571B"/>
    <w:rsid w:val="088F6873"/>
    <w:rsid w:val="08CA5CC5"/>
    <w:rsid w:val="0B840B44"/>
    <w:rsid w:val="0D482618"/>
    <w:rsid w:val="0D5577B1"/>
    <w:rsid w:val="13060A6F"/>
    <w:rsid w:val="137D422E"/>
    <w:rsid w:val="13FB7C8B"/>
    <w:rsid w:val="15B91E83"/>
    <w:rsid w:val="17D1139F"/>
    <w:rsid w:val="193333DE"/>
    <w:rsid w:val="1E7E1CD9"/>
    <w:rsid w:val="23D54F0B"/>
    <w:rsid w:val="26647F25"/>
    <w:rsid w:val="27945F15"/>
    <w:rsid w:val="2C6E23E7"/>
    <w:rsid w:val="324169DC"/>
    <w:rsid w:val="327A48BD"/>
    <w:rsid w:val="33C23805"/>
    <w:rsid w:val="3BC7B260"/>
    <w:rsid w:val="3BE83C89"/>
    <w:rsid w:val="3F6E7CBD"/>
    <w:rsid w:val="3FCE45FA"/>
    <w:rsid w:val="455C6204"/>
    <w:rsid w:val="47BD4360"/>
    <w:rsid w:val="4DF64E9C"/>
    <w:rsid w:val="52320A18"/>
    <w:rsid w:val="5E93771D"/>
    <w:rsid w:val="60872469"/>
    <w:rsid w:val="614532F4"/>
    <w:rsid w:val="61A92CB4"/>
    <w:rsid w:val="643D3652"/>
    <w:rsid w:val="65BD32DD"/>
    <w:rsid w:val="68AC26A3"/>
    <w:rsid w:val="690B445A"/>
    <w:rsid w:val="6E7C6893"/>
    <w:rsid w:val="72A07361"/>
    <w:rsid w:val="778D3AAF"/>
    <w:rsid w:val="77C311BD"/>
    <w:rsid w:val="78461EAC"/>
    <w:rsid w:val="7B0501C8"/>
    <w:rsid w:val="7E5F22E5"/>
    <w:rsid w:val="7E7F79D3"/>
    <w:rsid w:val="7EDE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4"/>
    <w:qFormat/>
    <w:uiPriority w:val="99"/>
    <w:pPr>
      <w:spacing w:after="120"/>
    </w:pPr>
    <w:rPr>
      <w:rFonts w:asciiTheme="minorHAnsi" w:hAnsiTheme="minorHAnsi" w:eastAsiaTheme="minorEastAsia" w:cstheme="minorBidi"/>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66CC"/>
      <w:u w:val="single"/>
    </w:rPr>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character" w:customStyle="1" w:styleId="10">
    <w:name w:val="标题 #1_"/>
    <w:basedOn w:val="6"/>
    <w:link w:val="11"/>
    <w:qFormat/>
    <w:uiPriority w:val="0"/>
    <w:rPr>
      <w:rFonts w:ascii="MingLiU" w:hAnsi="MingLiU" w:eastAsia="MingLiU" w:cs="MingLiU"/>
      <w:sz w:val="106"/>
      <w:szCs w:val="106"/>
      <w:shd w:val="clear" w:color="auto" w:fill="FFFFFF"/>
    </w:rPr>
  </w:style>
  <w:style w:type="paragraph" w:customStyle="1" w:styleId="11">
    <w:name w:val="标题 #11"/>
    <w:basedOn w:val="1"/>
    <w:link w:val="10"/>
    <w:qFormat/>
    <w:uiPriority w:val="0"/>
    <w:pPr>
      <w:shd w:val="clear" w:color="auto" w:fill="FFFFFF"/>
      <w:spacing w:after="1500" w:line="0" w:lineRule="atLeast"/>
      <w:jc w:val="left"/>
      <w:outlineLvl w:val="0"/>
    </w:pPr>
    <w:rPr>
      <w:rFonts w:ascii="MingLiU" w:hAnsi="MingLiU" w:eastAsia="MingLiU" w:cs="MingLiU"/>
      <w:sz w:val="106"/>
      <w:szCs w:val="106"/>
    </w:rPr>
  </w:style>
  <w:style w:type="character" w:customStyle="1" w:styleId="12">
    <w:name w:val="标题 #1"/>
    <w:basedOn w:val="10"/>
    <w:qFormat/>
    <w:uiPriority w:val="0"/>
    <w:rPr>
      <w:color w:val="000000"/>
      <w:spacing w:val="0"/>
      <w:w w:val="100"/>
      <w:position w:val="0"/>
      <w:lang w:val="zh-TW" w:eastAsia="zh-TW" w:bidi="zh-TW"/>
    </w:rPr>
  </w:style>
  <w:style w:type="character" w:customStyle="1" w:styleId="13">
    <w:name w:val="页眉或页脚_"/>
    <w:basedOn w:val="6"/>
    <w:link w:val="14"/>
    <w:qFormat/>
    <w:uiPriority w:val="0"/>
    <w:rPr>
      <w:rFonts w:ascii="MingLiU" w:hAnsi="MingLiU" w:eastAsia="MingLiU" w:cs="MingLiU"/>
      <w:spacing w:val="60"/>
      <w:shd w:val="clear" w:color="auto" w:fill="FFFFFF"/>
    </w:rPr>
  </w:style>
  <w:style w:type="paragraph" w:customStyle="1" w:styleId="14">
    <w:name w:val="页眉或页脚1"/>
    <w:basedOn w:val="1"/>
    <w:link w:val="13"/>
    <w:qFormat/>
    <w:uiPriority w:val="0"/>
    <w:pPr>
      <w:shd w:val="clear" w:color="auto" w:fill="FFFFFF"/>
      <w:spacing w:line="0" w:lineRule="atLeast"/>
      <w:jc w:val="left"/>
    </w:pPr>
    <w:rPr>
      <w:rFonts w:ascii="MingLiU" w:hAnsi="MingLiU" w:eastAsia="MingLiU" w:cs="MingLiU"/>
      <w:spacing w:val="60"/>
      <w:szCs w:val="22"/>
    </w:rPr>
  </w:style>
  <w:style w:type="character" w:customStyle="1" w:styleId="15">
    <w:name w:val="页眉或页脚"/>
    <w:basedOn w:val="13"/>
    <w:qFormat/>
    <w:uiPriority w:val="0"/>
    <w:rPr>
      <w:color w:val="000000"/>
      <w:w w:val="100"/>
      <w:position w:val="0"/>
      <w:sz w:val="24"/>
      <w:szCs w:val="24"/>
      <w:lang w:val="zh-TW" w:eastAsia="zh-TW" w:bidi="zh-TW"/>
    </w:rPr>
  </w:style>
  <w:style w:type="character" w:customStyle="1" w:styleId="16">
    <w:name w:val="正文文本 (3)_"/>
    <w:basedOn w:val="6"/>
    <w:link w:val="17"/>
    <w:qFormat/>
    <w:uiPriority w:val="0"/>
    <w:rPr>
      <w:rFonts w:ascii="MingLiU" w:hAnsi="MingLiU" w:eastAsia="MingLiU" w:cs="MingLiU"/>
      <w:spacing w:val="30"/>
      <w:sz w:val="30"/>
      <w:szCs w:val="30"/>
      <w:shd w:val="clear" w:color="auto" w:fill="FFFFFF"/>
    </w:rPr>
  </w:style>
  <w:style w:type="paragraph" w:customStyle="1" w:styleId="17">
    <w:name w:val="正文文本 (3)1"/>
    <w:basedOn w:val="1"/>
    <w:link w:val="16"/>
    <w:qFormat/>
    <w:uiPriority w:val="0"/>
    <w:pPr>
      <w:shd w:val="clear" w:color="auto" w:fill="FFFFFF"/>
      <w:spacing w:before="1500" w:after="1500" w:line="0" w:lineRule="atLeast"/>
      <w:ind w:hanging="600"/>
      <w:jc w:val="center"/>
    </w:pPr>
    <w:rPr>
      <w:rFonts w:ascii="MingLiU" w:hAnsi="MingLiU" w:eastAsia="MingLiU" w:cs="MingLiU"/>
      <w:spacing w:val="30"/>
      <w:sz w:val="30"/>
      <w:szCs w:val="30"/>
    </w:rPr>
  </w:style>
  <w:style w:type="character" w:customStyle="1" w:styleId="18">
    <w:name w:val="标题 #2_"/>
    <w:basedOn w:val="6"/>
    <w:link w:val="19"/>
    <w:qFormat/>
    <w:uiPriority w:val="0"/>
    <w:rPr>
      <w:rFonts w:ascii="MingLiU" w:hAnsi="MingLiU" w:eastAsia="MingLiU" w:cs="MingLiU"/>
      <w:spacing w:val="-20"/>
      <w:sz w:val="40"/>
      <w:szCs w:val="40"/>
      <w:shd w:val="clear" w:color="auto" w:fill="FFFFFF"/>
    </w:rPr>
  </w:style>
  <w:style w:type="paragraph" w:customStyle="1" w:styleId="19">
    <w:name w:val="标题 #2"/>
    <w:basedOn w:val="1"/>
    <w:link w:val="18"/>
    <w:qFormat/>
    <w:uiPriority w:val="0"/>
    <w:pPr>
      <w:shd w:val="clear" w:color="auto" w:fill="FFFFFF"/>
      <w:spacing w:before="1500" w:line="614" w:lineRule="exact"/>
      <w:jc w:val="center"/>
      <w:outlineLvl w:val="1"/>
    </w:pPr>
    <w:rPr>
      <w:rFonts w:ascii="MingLiU" w:hAnsi="MingLiU" w:eastAsia="MingLiU" w:cs="MingLiU"/>
      <w:spacing w:val="-20"/>
      <w:sz w:val="40"/>
      <w:szCs w:val="40"/>
    </w:rPr>
  </w:style>
  <w:style w:type="character" w:customStyle="1" w:styleId="20">
    <w:name w:val="正文文本 (4)_"/>
    <w:basedOn w:val="6"/>
    <w:link w:val="21"/>
    <w:qFormat/>
    <w:uiPriority w:val="0"/>
    <w:rPr>
      <w:rFonts w:ascii="MingLiU" w:hAnsi="MingLiU" w:eastAsia="MingLiU" w:cs="MingLiU"/>
      <w:b/>
      <w:bCs/>
      <w:sz w:val="32"/>
      <w:szCs w:val="32"/>
      <w:shd w:val="clear" w:color="auto" w:fill="FFFFFF"/>
    </w:rPr>
  </w:style>
  <w:style w:type="paragraph" w:customStyle="1" w:styleId="21">
    <w:name w:val="正文文本 (4)"/>
    <w:basedOn w:val="1"/>
    <w:link w:val="20"/>
    <w:qFormat/>
    <w:uiPriority w:val="0"/>
    <w:pPr>
      <w:shd w:val="clear" w:color="auto" w:fill="FFFFFF"/>
      <w:spacing w:line="619" w:lineRule="exact"/>
      <w:jc w:val="distribute"/>
    </w:pPr>
    <w:rPr>
      <w:rFonts w:ascii="MingLiU" w:hAnsi="MingLiU" w:eastAsia="MingLiU" w:cs="MingLiU"/>
      <w:b/>
      <w:bCs/>
      <w:sz w:val="32"/>
      <w:szCs w:val="32"/>
    </w:rPr>
  </w:style>
  <w:style w:type="character" w:customStyle="1" w:styleId="22">
    <w:name w:val="正文文本 (5)_"/>
    <w:basedOn w:val="6"/>
    <w:link w:val="23"/>
    <w:qFormat/>
    <w:uiPriority w:val="0"/>
    <w:rPr>
      <w:rFonts w:ascii="MingLiU" w:hAnsi="MingLiU" w:eastAsia="MingLiU" w:cs="MingLiU"/>
      <w:b/>
      <w:bCs/>
      <w:sz w:val="30"/>
      <w:szCs w:val="30"/>
      <w:shd w:val="clear" w:color="auto" w:fill="FFFFFF"/>
    </w:rPr>
  </w:style>
  <w:style w:type="paragraph" w:customStyle="1" w:styleId="23">
    <w:name w:val="正文文本 (5)"/>
    <w:basedOn w:val="1"/>
    <w:link w:val="22"/>
    <w:qFormat/>
    <w:uiPriority w:val="0"/>
    <w:pPr>
      <w:shd w:val="clear" w:color="auto" w:fill="FFFFFF"/>
      <w:spacing w:line="619" w:lineRule="exact"/>
      <w:jc w:val="distribute"/>
    </w:pPr>
    <w:rPr>
      <w:rFonts w:ascii="MingLiU" w:hAnsi="MingLiU" w:eastAsia="MingLiU" w:cs="MingLiU"/>
      <w:b/>
      <w:bCs/>
      <w:sz w:val="30"/>
      <w:szCs w:val="30"/>
    </w:rPr>
  </w:style>
  <w:style w:type="character" w:customStyle="1" w:styleId="24">
    <w:name w:val="正文文本 (3) + 粗体"/>
    <w:basedOn w:val="16"/>
    <w:qFormat/>
    <w:uiPriority w:val="0"/>
    <w:rPr>
      <w:b/>
      <w:bCs/>
      <w:color w:val="000000"/>
      <w:spacing w:val="0"/>
      <w:w w:val="100"/>
      <w:position w:val="0"/>
      <w:lang w:val="zh-TW" w:eastAsia="zh-TW" w:bidi="zh-TW"/>
    </w:rPr>
  </w:style>
  <w:style w:type="character" w:customStyle="1" w:styleId="25">
    <w:name w:val="正文文本 (3)"/>
    <w:basedOn w:val="16"/>
    <w:qFormat/>
    <w:uiPriority w:val="0"/>
    <w:rPr>
      <w:color w:val="000000"/>
      <w:w w:val="100"/>
      <w:position w:val="0"/>
      <w:u w:val="single"/>
      <w:lang w:val="zh-TW" w:eastAsia="zh-TW" w:bidi="zh-TW"/>
    </w:rPr>
  </w:style>
  <w:style w:type="character" w:customStyle="1" w:styleId="26">
    <w:name w:val="正文文本 (2)_"/>
    <w:basedOn w:val="6"/>
    <w:link w:val="27"/>
    <w:qFormat/>
    <w:uiPriority w:val="0"/>
    <w:rPr>
      <w:rFonts w:ascii="MingLiU" w:hAnsi="MingLiU" w:eastAsia="MingLiU" w:cs="MingLiU"/>
      <w:sz w:val="18"/>
      <w:szCs w:val="18"/>
      <w:shd w:val="clear" w:color="auto" w:fill="FFFFFF"/>
    </w:rPr>
  </w:style>
  <w:style w:type="paragraph" w:customStyle="1" w:styleId="27">
    <w:name w:val="正文文本 (2)2"/>
    <w:basedOn w:val="1"/>
    <w:link w:val="26"/>
    <w:qFormat/>
    <w:uiPriority w:val="0"/>
    <w:pPr>
      <w:shd w:val="clear" w:color="auto" w:fill="FFFFFF"/>
      <w:spacing w:before="360" w:line="0" w:lineRule="atLeast"/>
      <w:ind w:hanging="160"/>
      <w:jc w:val="right"/>
    </w:pPr>
    <w:rPr>
      <w:rFonts w:ascii="MingLiU" w:hAnsi="MingLiU" w:eastAsia="MingLiU" w:cs="MingLiU"/>
      <w:sz w:val="18"/>
      <w:szCs w:val="18"/>
    </w:rPr>
  </w:style>
  <w:style w:type="character" w:customStyle="1" w:styleId="28">
    <w:name w:val="正文文本 (2) + FrankRuehl"/>
    <w:basedOn w:val="26"/>
    <w:qFormat/>
    <w:uiPriority w:val="0"/>
    <w:rPr>
      <w:rFonts w:ascii="FrankRuehl" w:hAnsi="FrankRuehl" w:eastAsia="FrankRuehl" w:cs="FrankRuehl"/>
      <w:i/>
      <w:iCs/>
      <w:color w:val="000000"/>
      <w:spacing w:val="0"/>
      <w:w w:val="100"/>
      <w:position w:val="0"/>
      <w:sz w:val="16"/>
      <w:szCs w:val="16"/>
      <w:lang w:val="zh-TW" w:eastAsia="zh-TW" w:bidi="zh-TW"/>
    </w:rPr>
  </w:style>
  <w:style w:type="character" w:customStyle="1" w:styleId="29">
    <w:name w:val="表格标题 (2)_"/>
    <w:basedOn w:val="6"/>
    <w:link w:val="30"/>
    <w:qFormat/>
    <w:uiPriority w:val="0"/>
    <w:rPr>
      <w:rFonts w:ascii="MingLiU" w:hAnsi="MingLiU" w:eastAsia="MingLiU" w:cs="MingLiU"/>
      <w:b/>
      <w:bCs/>
      <w:spacing w:val="-10"/>
      <w:sz w:val="20"/>
      <w:szCs w:val="20"/>
      <w:shd w:val="clear" w:color="auto" w:fill="FFFFFF"/>
    </w:rPr>
  </w:style>
  <w:style w:type="paragraph" w:customStyle="1" w:styleId="30">
    <w:name w:val="表格标题 (2)"/>
    <w:basedOn w:val="1"/>
    <w:link w:val="29"/>
    <w:qFormat/>
    <w:uiPriority w:val="0"/>
    <w:pPr>
      <w:shd w:val="clear" w:color="auto" w:fill="FFFFFF"/>
      <w:spacing w:line="0" w:lineRule="atLeast"/>
      <w:jc w:val="distribute"/>
    </w:pPr>
    <w:rPr>
      <w:rFonts w:ascii="MingLiU" w:hAnsi="MingLiU" w:eastAsia="MingLiU" w:cs="MingLiU"/>
      <w:b/>
      <w:bCs/>
      <w:spacing w:val="-10"/>
      <w:sz w:val="20"/>
      <w:szCs w:val="20"/>
    </w:rPr>
  </w:style>
  <w:style w:type="character" w:customStyle="1" w:styleId="31">
    <w:name w:val="正文文本 (2)"/>
    <w:basedOn w:val="26"/>
    <w:qFormat/>
    <w:uiPriority w:val="0"/>
    <w:rPr>
      <w:color w:val="000000"/>
      <w:spacing w:val="0"/>
      <w:w w:val="100"/>
      <w:position w:val="0"/>
      <w:lang w:val="zh-TW" w:eastAsia="zh-TW" w:bidi="zh-TW"/>
    </w:rPr>
  </w:style>
  <w:style w:type="character" w:customStyle="1" w:styleId="32">
    <w:name w:val="正文文本 (2) + 7.5 pt"/>
    <w:basedOn w:val="26"/>
    <w:qFormat/>
    <w:uiPriority w:val="0"/>
    <w:rPr>
      <w:color w:val="000000"/>
      <w:spacing w:val="20"/>
      <w:w w:val="100"/>
      <w:position w:val="0"/>
      <w:sz w:val="15"/>
      <w:szCs w:val="15"/>
      <w:lang w:val="en-US" w:eastAsia="en-US" w:bidi="en-US"/>
    </w:rPr>
  </w:style>
  <w:style w:type="character" w:customStyle="1" w:styleId="33">
    <w:name w:val="正文文本 (2)1"/>
    <w:basedOn w:val="26"/>
    <w:qFormat/>
    <w:uiPriority w:val="0"/>
    <w:rPr>
      <w:color w:val="000000"/>
      <w:spacing w:val="0"/>
      <w:w w:val="100"/>
      <w:position w:val="0"/>
      <w:lang w:val="en-US" w:eastAsia="en-US" w:bidi="en-US"/>
    </w:rPr>
  </w:style>
  <w:style w:type="character" w:customStyle="1" w:styleId="34">
    <w:name w:val="正文文本 (2) + 间距 -1 pt"/>
    <w:basedOn w:val="26"/>
    <w:qFormat/>
    <w:uiPriority w:val="0"/>
    <w:rPr>
      <w:color w:val="000000"/>
      <w:spacing w:val="-30"/>
      <w:w w:val="100"/>
      <w:position w:val="0"/>
      <w:lang w:val="zh-TW" w:eastAsia="zh-TW" w:bidi="zh-TW"/>
    </w:rPr>
  </w:style>
  <w:style w:type="character" w:customStyle="1" w:styleId="35">
    <w:name w:val="表格标题 (3)_"/>
    <w:basedOn w:val="6"/>
    <w:link w:val="36"/>
    <w:qFormat/>
    <w:uiPriority w:val="0"/>
    <w:rPr>
      <w:rFonts w:ascii="MingLiU" w:hAnsi="MingLiU" w:eastAsia="MingLiU" w:cs="MingLiU"/>
      <w:spacing w:val="50"/>
      <w:sz w:val="20"/>
      <w:szCs w:val="20"/>
      <w:shd w:val="clear" w:color="auto" w:fill="FFFFFF"/>
    </w:rPr>
  </w:style>
  <w:style w:type="paragraph" w:customStyle="1" w:styleId="36">
    <w:name w:val="表格标题 (3)"/>
    <w:basedOn w:val="1"/>
    <w:link w:val="35"/>
    <w:qFormat/>
    <w:uiPriority w:val="0"/>
    <w:pPr>
      <w:shd w:val="clear" w:color="auto" w:fill="FFFFFF"/>
      <w:spacing w:line="0" w:lineRule="atLeast"/>
      <w:jc w:val="left"/>
    </w:pPr>
    <w:rPr>
      <w:rFonts w:ascii="MingLiU" w:hAnsi="MingLiU" w:eastAsia="MingLiU" w:cs="MingLiU"/>
      <w:spacing w:val="50"/>
      <w:sz w:val="20"/>
      <w:szCs w:val="20"/>
    </w:rPr>
  </w:style>
  <w:style w:type="character" w:customStyle="1" w:styleId="37">
    <w:name w:val="表格标题 (4)_"/>
    <w:basedOn w:val="6"/>
    <w:link w:val="38"/>
    <w:qFormat/>
    <w:uiPriority w:val="0"/>
    <w:rPr>
      <w:rFonts w:ascii="MingLiU" w:hAnsi="MingLiU" w:eastAsia="MingLiU" w:cs="MingLiU"/>
      <w:spacing w:val="80"/>
      <w:sz w:val="19"/>
      <w:szCs w:val="19"/>
      <w:shd w:val="clear" w:color="auto" w:fill="FFFFFF"/>
    </w:rPr>
  </w:style>
  <w:style w:type="paragraph" w:customStyle="1" w:styleId="38">
    <w:name w:val="表格标题 (4)"/>
    <w:basedOn w:val="1"/>
    <w:link w:val="37"/>
    <w:qFormat/>
    <w:uiPriority w:val="0"/>
    <w:pPr>
      <w:shd w:val="clear" w:color="auto" w:fill="FFFFFF"/>
      <w:spacing w:line="0" w:lineRule="atLeast"/>
      <w:jc w:val="left"/>
    </w:pPr>
    <w:rPr>
      <w:rFonts w:ascii="MingLiU" w:hAnsi="MingLiU" w:eastAsia="MingLiU" w:cs="MingLiU"/>
      <w:spacing w:val="80"/>
      <w:sz w:val="19"/>
      <w:szCs w:val="19"/>
    </w:rPr>
  </w:style>
  <w:style w:type="character" w:customStyle="1" w:styleId="39">
    <w:name w:val="表格标题 (4) + 间距 1 pt"/>
    <w:basedOn w:val="37"/>
    <w:qFormat/>
    <w:uiPriority w:val="0"/>
    <w:rPr>
      <w:color w:val="000000"/>
      <w:spacing w:val="30"/>
      <w:w w:val="100"/>
      <w:position w:val="0"/>
      <w:lang w:val="zh-TW" w:eastAsia="zh-TW" w:bidi="zh-TW"/>
    </w:rPr>
  </w:style>
  <w:style w:type="character" w:customStyle="1" w:styleId="40">
    <w:name w:val="标题 #3 (2)_"/>
    <w:basedOn w:val="6"/>
    <w:link w:val="41"/>
    <w:qFormat/>
    <w:uiPriority w:val="0"/>
    <w:rPr>
      <w:rFonts w:ascii="MingLiU" w:hAnsi="MingLiU" w:eastAsia="MingLiU" w:cs="MingLiU"/>
      <w:sz w:val="36"/>
      <w:szCs w:val="36"/>
      <w:shd w:val="clear" w:color="auto" w:fill="FFFFFF"/>
    </w:rPr>
  </w:style>
  <w:style w:type="paragraph" w:customStyle="1" w:styleId="41">
    <w:name w:val="标题 #3 (2)"/>
    <w:basedOn w:val="1"/>
    <w:link w:val="40"/>
    <w:qFormat/>
    <w:uiPriority w:val="0"/>
    <w:pPr>
      <w:shd w:val="clear" w:color="auto" w:fill="FFFFFF"/>
      <w:spacing w:before="240" w:after="420" w:line="0" w:lineRule="atLeast"/>
      <w:jc w:val="left"/>
      <w:outlineLvl w:val="2"/>
    </w:pPr>
    <w:rPr>
      <w:rFonts w:ascii="MingLiU" w:hAnsi="MingLiU" w:eastAsia="MingLiU" w:cs="MingLiU"/>
      <w:sz w:val="36"/>
      <w:szCs w:val="36"/>
    </w:rPr>
  </w:style>
  <w:style w:type="character" w:customStyle="1" w:styleId="42">
    <w:name w:val="正文文本 (2) + 8.5 pt"/>
    <w:basedOn w:val="26"/>
    <w:qFormat/>
    <w:uiPriority w:val="0"/>
    <w:rPr>
      <w:color w:val="000000"/>
      <w:spacing w:val="0"/>
      <w:w w:val="100"/>
      <w:position w:val="0"/>
      <w:sz w:val="17"/>
      <w:szCs w:val="17"/>
      <w:lang w:val="zh-TW" w:eastAsia="zh-TW" w:bidi="zh-TW"/>
    </w:rPr>
  </w:style>
  <w:style w:type="character" w:customStyle="1" w:styleId="43">
    <w:name w:val="页眉或页脚 + 16 pt"/>
    <w:basedOn w:val="13"/>
    <w:qFormat/>
    <w:uiPriority w:val="0"/>
    <w:rPr>
      <w:color w:val="000000"/>
      <w:spacing w:val="50"/>
      <w:w w:val="100"/>
      <w:position w:val="0"/>
      <w:sz w:val="32"/>
      <w:szCs w:val="32"/>
      <w:lang w:val="zh-TW" w:eastAsia="zh-TW" w:bidi="zh-TW"/>
    </w:rPr>
  </w:style>
  <w:style w:type="character" w:customStyle="1" w:styleId="44">
    <w:name w:val="标题 #2 Exact"/>
    <w:basedOn w:val="6"/>
    <w:qFormat/>
    <w:uiPriority w:val="0"/>
    <w:rPr>
      <w:rFonts w:ascii="MingLiU" w:hAnsi="MingLiU" w:eastAsia="MingLiU" w:cs="MingLiU"/>
      <w:spacing w:val="-20"/>
      <w:sz w:val="40"/>
      <w:szCs w:val="40"/>
      <w:u w:val="none"/>
    </w:rPr>
  </w:style>
  <w:style w:type="character" w:customStyle="1" w:styleId="45">
    <w:name w:val="正文文本 (6) Exact"/>
    <w:basedOn w:val="6"/>
    <w:link w:val="46"/>
    <w:qFormat/>
    <w:uiPriority w:val="0"/>
    <w:rPr>
      <w:rFonts w:ascii="MingLiU" w:hAnsi="MingLiU" w:eastAsia="MingLiU" w:cs="MingLiU"/>
      <w:sz w:val="19"/>
      <w:szCs w:val="19"/>
      <w:shd w:val="clear" w:color="auto" w:fill="FFFFFF"/>
    </w:rPr>
  </w:style>
  <w:style w:type="paragraph" w:customStyle="1" w:styleId="46">
    <w:name w:val="正文文本 (6)"/>
    <w:basedOn w:val="1"/>
    <w:link w:val="45"/>
    <w:qFormat/>
    <w:uiPriority w:val="0"/>
    <w:pPr>
      <w:shd w:val="clear" w:color="auto" w:fill="FFFFFF"/>
      <w:spacing w:line="0" w:lineRule="atLeast"/>
      <w:jc w:val="left"/>
    </w:pPr>
    <w:rPr>
      <w:rFonts w:ascii="MingLiU" w:hAnsi="MingLiU" w:eastAsia="MingLiU" w:cs="MingLiU"/>
      <w:sz w:val="19"/>
      <w:szCs w:val="19"/>
    </w:rPr>
  </w:style>
  <w:style w:type="character" w:customStyle="1" w:styleId="47">
    <w:name w:val="正文文本 (6) + 间距 1 pt Exact"/>
    <w:basedOn w:val="45"/>
    <w:qFormat/>
    <w:uiPriority w:val="0"/>
    <w:rPr>
      <w:color w:val="000000"/>
      <w:spacing w:val="30"/>
      <w:w w:val="100"/>
      <w:position w:val="0"/>
      <w:lang w:val="zh-TW" w:eastAsia="zh-TW" w:bidi="zh-TW"/>
    </w:rPr>
  </w:style>
  <w:style w:type="character" w:customStyle="1" w:styleId="48">
    <w:name w:val="正文文本 (6) + FrankRuehl"/>
    <w:basedOn w:val="45"/>
    <w:qFormat/>
    <w:uiPriority w:val="0"/>
    <w:rPr>
      <w:rFonts w:ascii="FrankRuehl" w:hAnsi="FrankRuehl" w:eastAsia="FrankRuehl" w:cs="FrankRuehl"/>
      <w:b/>
      <w:bCs/>
      <w:color w:val="000000"/>
      <w:spacing w:val="0"/>
      <w:w w:val="100"/>
      <w:position w:val="0"/>
      <w:sz w:val="20"/>
      <w:szCs w:val="20"/>
      <w:lang w:val="zh-TW" w:eastAsia="zh-TW" w:bidi="zh-TW"/>
    </w:rPr>
  </w:style>
  <w:style w:type="character" w:customStyle="1" w:styleId="49">
    <w:name w:val="标题 #4 Exact"/>
    <w:basedOn w:val="6"/>
    <w:link w:val="50"/>
    <w:qFormat/>
    <w:uiPriority w:val="0"/>
    <w:rPr>
      <w:rFonts w:ascii="MingLiU" w:hAnsi="MingLiU" w:eastAsia="MingLiU" w:cs="MingLiU"/>
      <w:b/>
      <w:bCs/>
      <w:spacing w:val="-10"/>
      <w:sz w:val="20"/>
      <w:szCs w:val="20"/>
      <w:shd w:val="clear" w:color="auto" w:fill="FFFFFF"/>
    </w:rPr>
  </w:style>
  <w:style w:type="paragraph" w:customStyle="1" w:styleId="50">
    <w:name w:val="标题 #4"/>
    <w:basedOn w:val="1"/>
    <w:link w:val="49"/>
    <w:qFormat/>
    <w:uiPriority w:val="0"/>
    <w:pPr>
      <w:shd w:val="clear" w:color="auto" w:fill="FFFFFF"/>
      <w:spacing w:line="0" w:lineRule="atLeast"/>
      <w:jc w:val="left"/>
      <w:outlineLvl w:val="3"/>
    </w:pPr>
    <w:rPr>
      <w:rFonts w:ascii="MingLiU" w:hAnsi="MingLiU" w:eastAsia="MingLiU" w:cs="MingLiU"/>
      <w:b/>
      <w:bCs/>
      <w:spacing w:val="-10"/>
      <w:sz w:val="20"/>
      <w:szCs w:val="20"/>
    </w:rPr>
  </w:style>
  <w:style w:type="character" w:customStyle="1" w:styleId="51">
    <w:name w:val="正文文本 (7) Exact"/>
    <w:basedOn w:val="6"/>
    <w:link w:val="52"/>
    <w:qFormat/>
    <w:uiPriority w:val="0"/>
    <w:rPr>
      <w:rFonts w:ascii="MingLiU" w:hAnsi="MingLiU" w:eastAsia="MingLiU" w:cs="MingLiU"/>
      <w:b/>
      <w:bCs/>
      <w:spacing w:val="-10"/>
      <w:sz w:val="20"/>
      <w:szCs w:val="20"/>
      <w:shd w:val="clear" w:color="auto" w:fill="FFFFFF"/>
    </w:rPr>
  </w:style>
  <w:style w:type="paragraph" w:customStyle="1" w:styleId="52">
    <w:name w:val="正文文本 (7)"/>
    <w:basedOn w:val="1"/>
    <w:link w:val="51"/>
    <w:qFormat/>
    <w:uiPriority w:val="0"/>
    <w:pPr>
      <w:shd w:val="clear" w:color="auto" w:fill="FFFFFF"/>
      <w:spacing w:line="0" w:lineRule="atLeast"/>
      <w:jc w:val="left"/>
    </w:pPr>
    <w:rPr>
      <w:rFonts w:ascii="MingLiU" w:hAnsi="MingLiU" w:eastAsia="MingLiU" w:cs="MingLiU"/>
      <w:b/>
      <w:bCs/>
      <w:spacing w:val="-10"/>
      <w:sz w:val="20"/>
      <w:szCs w:val="20"/>
    </w:rPr>
  </w:style>
  <w:style w:type="character" w:customStyle="1" w:styleId="53">
    <w:name w:val="正文文本 (2) Exact"/>
    <w:basedOn w:val="6"/>
    <w:qFormat/>
    <w:uiPriority w:val="0"/>
    <w:rPr>
      <w:rFonts w:ascii="MingLiU" w:hAnsi="MingLiU" w:eastAsia="MingLiU" w:cs="MingLiU"/>
      <w:sz w:val="18"/>
      <w:szCs w:val="18"/>
      <w:u w:val="none"/>
    </w:rPr>
  </w:style>
  <w:style w:type="character" w:customStyle="1" w:styleId="54">
    <w:name w:val="正文文本 (8) Exact"/>
    <w:basedOn w:val="6"/>
    <w:link w:val="55"/>
    <w:qFormat/>
    <w:uiPriority w:val="0"/>
    <w:rPr>
      <w:rFonts w:ascii="MingLiU" w:hAnsi="MingLiU" w:eastAsia="MingLiU" w:cs="MingLiU"/>
      <w:spacing w:val="80"/>
      <w:sz w:val="19"/>
      <w:szCs w:val="19"/>
      <w:shd w:val="clear" w:color="auto" w:fill="FFFFFF"/>
    </w:rPr>
  </w:style>
  <w:style w:type="paragraph" w:customStyle="1" w:styleId="55">
    <w:name w:val="正文文本 (8)"/>
    <w:basedOn w:val="1"/>
    <w:link w:val="54"/>
    <w:qFormat/>
    <w:uiPriority w:val="0"/>
    <w:pPr>
      <w:shd w:val="clear" w:color="auto" w:fill="FFFFFF"/>
      <w:spacing w:line="0" w:lineRule="atLeast"/>
      <w:jc w:val="left"/>
    </w:pPr>
    <w:rPr>
      <w:rFonts w:ascii="MingLiU" w:hAnsi="MingLiU" w:eastAsia="MingLiU" w:cs="MingLiU"/>
      <w:spacing w:val="80"/>
      <w:sz w:val="19"/>
      <w:szCs w:val="19"/>
    </w:rPr>
  </w:style>
  <w:style w:type="character" w:customStyle="1" w:styleId="56">
    <w:name w:val="正文文本 (2) Exact1"/>
    <w:basedOn w:val="26"/>
    <w:qFormat/>
    <w:uiPriority w:val="0"/>
    <w:rPr>
      <w:color w:val="000000"/>
      <w:spacing w:val="0"/>
      <w:w w:val="100"/>
      <w:position w:val="0"/>
      <w:lang w:val="en-US" w:eastAsia="en-US" w:bidi="en-US"/>
    </w:rPr>
  </w:style>
  <w:style w:type="character" w:customStyle="1" w:styleId="57">
    <w:name w:val="正文文本 (8) + 间距 0 pt Exact"/>
    <w:basedOn w:val="54"/>
    <w:qFormat/>
    <w:uiPriority w:val="0"/>
    <w:rPr>
      <w:color w:val="000000"/>
      <w:spacing w:val="0"/>
      <w:w w:val="100"/>
      <w:position w:val="0"/>
      <w:lang w:val="zh-TW" w:eastAsia="zh-TW" w:bidi="zh-TW"/>
    </w:rPr>
  </w:style>
  <w:style w:type="character" w:customStyle="1" w:styleId="58">
    <w:name w:val="正文文本 (2) + 4.5 pt Exact"/>
    <w:basedOn w:val="26"/>
    <w:qFormat/>
    <w:uiPriority w:val="0"/>
    <w:rPr>
      <w:color w:val="000000"/>
      <w:spacing w:val="0"/>
      <w:w w:val="100"/>
      <w:position w:val="0"/>
      <w:sz w:val="9"/>
      <w:szCs w:val="9"/>
      <w:lang w:val="zh-TW" w:eastAsia="zh-TW" w:bidi="zh-TW"/>
    </w:rPr>
  </w:style>
  <w:style w:type="character" w:customStyle="1" w:styleId="59">
    <w:name w:val="正文文本 (2) + 间距 -1 pt Exact"/>
    <w:basedOn w:val="26"/>
    <w:qFormat/>
    <w:uiPriority w:val="0"/>
    <w:rPr>
      <w:color w:val="000000"/>
      <w:spacing w:val="-20"/>
      <w:w w:val="100"/>
      <w:position w:val="0"/>
      <w:lang w:val="zh-TW" w:eastAsia="zh-TW" w:bidi="zh-TW"/>
    </w:rPr>
  </w:style>
  <w:style w:type="character" w:customStyle="1" w:styleId="60">
    <w:name w:val="表格标题_"/>
    <w:basedOn w:val="6"/>
    <w:link w:val="61"/>
    <w:qFormat/>
    <w:uiPriority w:val="0"/>
    <w:rPr>
      <w:rFonts w:ascii="MingLiU" w:hAnsi="MingLiU" w:eastAsia="MingLiU" w:cs="MingLiU"/>
      <w:sz w:val="19"/>
      <w:szCs w:val="19"/>
      <w:shd w:val="clear" w:color="auto" w:fill="FFFFFF"/>
    </w:rPr>
  </w:style>
  <w:style w:type="paragraph" w:customStyle="1" w:styleId="61">
    <w:name w:val="表格标题"/>
    <w:basedOn w:val="1"/>
    <w:link w:val="60"/>
    <w:qFormat/>
    <w:uiPriority w:val="0"/>
    <w:pPr>
      <w:shd w:val="clear" w:color="auto" w:fill="FFFFFF"/>
      <w:spacing w:line="0" w:lineRule="atLeast"/>
      <w:jc w:val="center"/>
    </w:pPr>
    <w:rPr>
      <w:rFonts w:ascii="MingLiU" w:hAnsi="MingLiU" w:eastAsia="MingLiU" w:cs="MingLiU"/>
      <w:sz w:val="19"/>
      <w:szCs w:val="19"/>
    </w:rPr>
  </w:style>
  <w:style w:type="character" w:customStyle="1" w:styleId="62">
    <w:name w:val="正文文本 (2) + 间距 2 pt"/>
    <w:basedOn w:val="26"/>
    <w:qFormat/>
    <w:uiPriority w:val="0"/>
    <w:rPr>
      <w:color w:val="000000"/>
      <w:spacing w:val="50"/>
      <w:w w:val="100"/>
      <w:position w:val="0"/>
      <w:lang w:val="zh-TW" w:eastAsia="zh-TW" w:bidi="zh-TW"/>
    </w:rPr>
  </w:style>
  <w:style w:type="character" w:customStyle="1" w:styleId="63">
    <w:name w:val="标题 #3_"/>
    <w:basedOn w:val="6"/>
    <w:link w:val="64"/>
    <w:qFormat/>
    <w:uiPriority w:val="0"/>
    <w:rPr>
      <w:rFonts w:ascii="MingLiU" w:hAnsi="MingLiU" w:eastAsia="MingLiU" w:cs="MingLiU"/>
      <w:spacing w:val="-20"/>
      <w:sz w:val="40"/>
      <w:szCs w:val="40"/>
      <w:shd w:val="clear" w:color="auto" w:fill="FFFFFF"/>
    </w:rPr>
  </w:style>
  <w:style w:type="paragraph" w:customStyle="1" w:styleId="64">
    <w:name w:val="标题 #3"/>
    <w:basedOn w:val="1"/>
    <w:link w:val="63"/>
    <w:qFormat/>
    <w:uiPriority w:val="0"/>
    <w:pPr>
      <w:shd w:val="clear" w:color="auto" w:fill="FFFFFF"/>
      <w:spacing w:after="900" w:line="0" w:lineRule="atLeast"/>
      <w:jc w:val="left"/>
      <w:outlineLvl w:val="2"/>
    </w:pPr>
    <w:rPr>
      <w:rFonts w:ascii="MingLiU" w:hAnsi="MingLiU" w:eastAsia="MingLiU" w:cs="MingLiU"/>
      <w:spacing w:val="-20"/>
      <w:sz w:val="40"/>
      <w:szCs w:val="40"/>
    </w:rPr>
  </w:style>
  <w:style w:type="character" w:customStyle="1" w:styleId="65">
    <w:name w:val="正文文本 (5) + 16 pt"/>
    <w:basedOn w:val="22"/>
    <w:qFormat/>
    <w:uiPriority w:val="0"/>
    <w:rPr>
      <w:color w:val="000000"/>
      <w:spacing w:val="0"/>
      <w:w w:val="100"/>
      <w:position w:val="0"/>
      <w:sz w:val="32"/>
      <w:szCs w:val="32"/>
      <w:lang w:val="zh-TW" w:eastAsia="zh-TW" w:bidi="zh-TW"/>
    </w:rPr>
  </w:style>
  <w:style w:type="character" w:customStyle="1" w:styleId="66">
    <w:name w:val="标题 #2 + FrankRuehl"/>
    <w:basedOn w:val="18"/>
    <w:qFormat/>
    <w:uiPriority w:val="0"/>
    <w:rPr>
      <w:rFonts w:ascii="FrankRuehl" w:hAnsi="FrankRuehl" w:eastAsia="FrankRuehl" w:cs="FrankRuehl"/>
      <w:color w:val="000000"/>
      <w:spacing w:val="-60"/>
      <w:w w:val="100"/>
      <w:position w:val="0"/>
      <w:sz w:val="52"/>
      <w:szCs w:val="52"/>
      <w:lang w:val="en-US" w:eastAsia="en-US" w:bidi="en-US"/>
    </w:rPr>
  </w:style>
  <w:style w:type="character" w:customStyle="1" w:styleId="67">
    <w:name w:val="正文文本 (3) + Lucida Sans Unicode"/>
    <w:basedOn w:val="16"/>
    <w:qFormat/>
    <w:uiPriority w:val="0"/>
    <w:rPr>
      <w:rFonts w:ascii="Lucida Sans Unicode" w:hAnsi="Lucida Sans Unicode" w:eastAsia="Lucida Sans Unicode" w:cs="Lucida Sans Unicode"/>
      <w:color w:val="000000"/>
      <w:spacing w:val="60"/>
      <w:w w:val="100"/>
      <w:position w:val="0"/>
      <w:sz w:val="24"/>
      <w:szCs w:val="24"/>
      <w:lang w:val="zh-TW" w:eastAsia="zh-TW" w:bidi="zh-TW"/>
    </w:rPr>
  </w:style>
  <w:style w:type="character" w:customStyle="1" w:styleId="68">
    <w:name w:val="标题 #3 (3)_"/>
    <w:basedOn w:val="6"/>
    <w:link w:val="69"/>
    <w:qFormat/>
    <w:uiPriority w:val="0"/>
    <w:rPr>
      <w:rFonts w:ascii="MingLiU" w:hAnsi="MingLiU" w:eastAsia="MingLiU" w:cs="MingLiU"/>
      <w:b/>
      <w:bCs/>
      <w:sz w:val="32"/>
      <w:szCs w:val="32"/>
      <w:shd w:val="clear" w:color="auto" w:fill="FFFFFF"/>
    </w:rPr>
  </w:style>
  <w:style w:type="paragraph" w:customStyle="1" w:styleId="69">
    <w:name w:val="标题 #3 (3)"/>
    <w:basedOn w:val="1"/>
    <w:link w:val="68"/>
    <w:qFormat/>
    <w:uiPriority w:val="0"/>
    <w:pPr>
      <w:shd w:val="clear" w:color="auto" w:fill="FFFFFF"/>
      <w:spacing w:before="1020" w:after="360" w:line="0" w:lineRule="atLeast"/>
      <w:jc w:val="center"/>
      <w:outlineLvl w:val="2"/>
    </w:pPr>
    <w:rPr>
      <w:rFonts w:ascii="MingLiU" w:hAnsi="MingLiU" w:eastAsia="MingLiU" w:cs="MingLiU"/>
      <w:b/>
      <w:bCs/>
      <w:sz w:val="32"/>
      <w:szCs w:val="32"/>
    </w:rPr>
  </w:style>
  <w:style w:type="character" w:customStyle="1" w:styleId="70">
    <w:name w:val="正文文本 (5) + 间距 -1 pt"/>
    <w:basedOn w:val="22"/>
    <w:qFormat/>
    <w:uiPriority w:val="0"/>
    <w:rPr>
      <w:color w:val="000000"/>
      <w:spacing w:val="-20"/>
      <w:w w:val="100"/>
      <w:position w:val="0"/>
      <w:lang w:val="zh-TW" w:eastAsia="zh-TW" w:bidi="zh-TW"/>
    </w:rPr>
  </w:style>
  <w:style w:type="character" w:customStyle="1" w:styleId="71">
    <w:name w:val="表格标题 (5)_"/>
    <w:basedOn w:val="6"/>
    <w:link w:val="72"/>
    <w:qFormat/>
    <w:uiPriority w:val="0"/>
    <w:rPr>
      <w:rFonts w:ascii="MingLiU" w:hAnsi="MingLiU" w:eastAsia="MingLiU" w:cs="MingLiU"/>
      <w:b/>
      <w:bCs/>
      <w:sz w:val="32"/>
      <w:szCs w:val="32"/>
      <w:shd w:val="clear" w:color="auto" w:fill="FFFFFF"/>
    </w:rPr>
  </w:style>
  <w:style w:type="paragraph" w:customStyle="1" w:styleId="72">
    <w:name w:val="表格标题 (5)"/>
    <w:basedOn w:val="1"/>
    <w:link w:val="71"/>
    <w:qFormat/>
    <w:uiPriority w:val="0"/>
    <w:pPr>
      <w:shd w:val="clear" w:color="auto" w:fill="FFFFFF"/>
      <w:spacing w:line="0" w:lineRule="atLeast"/>
      <w:jc w:val="left"/>
    </w:pPr>
    <w:rPr>
      <w:rFonts w:ascii="MingLiU" w:hAnsi="MingLiU" w:eastAsia="MingLiU" w:cs="MingLiU"/>
      <w:b/>
      <w:bCs/>
      <w:sz w:val="32"/>
      <w:szCs w:val="32"/>
    </w:rPr>
  </w:style>
  <w:style w:type="character" w:customStyle="1" w:styleId="73">
    <w:name w:val="正文文本 Char"/>
    <w:link w:val="2"/>
    <w:qFormat/>
    <w:uiPriority w:val="99"/>
    <w:rPr>
      <w:szCs w:val="24"/>
    </w:rPr>
  </w:style>
  <w:style w:type="character" w:customStyle="1" w:styleId="74">
    <w:name w:val="正文文本 Char1"/>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21</Pages>
  <Words>9468</Words>
  <Characters>10041</Characters>
  <Lines>79</Lines>
  <Paragraphs>22</Paragraphs>
  <TotalTime>2</TotalTime>
  <ScaleCrop>false</ScaleCrop>
  <LinksUpToDate>false</LinksUpToDate>
  <CharactersWithSpaces>10335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2020-04-21T00:33:00Z</dcterms:created>
  <dc:creator>唐德芸</dc:creator>
  <cp:lastModifiedBy>user</cp:lastModifiedBy>
  <dcterms:modified xsi:type="dcterms:W3CDTF">2023-05-24T09:21:37Z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5D6D78666BE94221AFBDDF61C36A8DC6</vt:lpwstr>
  </property>
</Properties>
</file>