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eastAsia="方正黑体简体"/>
          <w:kern w:val="0"/>
        </w:rPr>
      </w:pPr>
      <w:r>
        <w:rPr>
          <w:rFonts w:hint="eastAsia" w:eastAsia="方正黑体简体"/>
          <w:kern w:val="0"/>
        </w:rPr>
        <w:t>附件</w:t>
      </w:r>
      <w:r>
        <w:rPr>
          <w:rFonts w:eastAsia="方正黑体简体"/>
          <w:kern w:val="0"/>
        </w:rPr>
        <w:t>1</w:t>
      </w:r>
    </w:p>
    <w:p>
      <w:pPr>
        <w:spacing w:line="620" w:lineRule="exact"/>
        <w:jc w:val="left"/>
        <w:rPr>
          <w:rFonts w:ascii="黑体" w:hAnsi="黑体" w:eastAsia="黑体"/>
          <w:kern w:val="0"/>
        </w:rPr>
      </w:pPr>
      <w:r>
        <w:rPr>
          <w:rFonts w:ascii="黑体" w:hAnsi="黑体" w:eastAsia="黑体"/>
          <w:bCs/>
          <w:kern w:val="0"/>
          <w:sz w:val="40"/>
          <w:szCs w:val="40"/>
        </w:rPr>
        <w:t>202</w:t>
      </w:r>
      <w:r>
        <w:rPr>
          <w:rFonts w:hint="eastAsia" w:ascii="黑体" w:hAnsi="黑体" w:eastAsia="黑体"/>
          <w:bCs/>
          <w:kern w:val="0"/>
          <w:sz w:val="40"/>
          <w:szCs w:val="40"/>
          <w:lang w:val="en-US" w:eastAsia="zh-CN"/>
        </w:rPr>
        <w:t>2</w:t>
      </w:r>
      <w:r>
        <w:rPr>
          <w:rFonts w:hint="eastAsia" w:ascii="黑体" w:hAnsi="黑体" w:eastAsia="黑体"/>
          <w:bCs/>
          <w:kern w:val="0"/>
          <w:sz w:val="40"/>
          <w:szCs w:val="40"/>
        </w:rPr>
        <w:t>年度市本级部门整体支出绩效自评计分表</w:t>
      </w:r>
    </w:p>
    <w:p>
      <w:pPr>
        <w:spacing w:line="620" w:lineRule="exact"/>
        <w:rPr>
          <w:kern w:val="0"/>
          <w:sz w:val="20"/>
          <w:szCs w:val="20"/>
        </w:rPr>
      </w:pPr>
      <w:r>
        <w:rPr>
          <w:rFonts w:hint="eastAsia"/>
          <w:kern w:val="0"/>
          <w:sz w:val="20"/>
          <w:szCs w:val="20"/>
        </w:rPr>
        <w:t>部门（单位）名称：资阳市道路运输</w:t>
      </w:r>
      <w:r>
        <w:rPr>
          <w:rFonts w:hint="eastAsia"/>
          <w:kern w:val="0"/>
          <w:sz w:val="20"/>
          <w:szCs w:val="20"/>
          <w:lang w:eastAsia="zh-CN"/>
        </w:rPr>
        <w:t>发展中心</w:t>
      </w:r>
      <w:r>
        <w:rPr>
          <w:kern w:val="0"/>
          <w:sz w:val="20"/>
          <w:szCs w:val="20"/>
        </w:rPr>
        <w:t xml:space="preserve">     </w:t>
      </w:r>
      <w:r>
        <w:rPr>
          <w:rFonts w:hint="eastAsia"/>
          <w:kern w:val="0"/>
          <w:sz w:val="20"/>
          <w:szCs w:val="20"/>
        </w:rPr>
        <w:t>预算单位编码：</w:t>
      </w:r>
      <w:r>
        <w:rPr>
          <w:rFonts w:hint="eastAsia"/>
          <w:kern w:val="0"/>
          <w:sz w:val="20"/>
          <w:szCs w:val="20"/>
          <w:lang w:val="en-US" w:eastAsia="zh-CN"/>
        </w:rPr>
        <w:t>140006</w:t>
      </w:r>
      <w:r>
        <w:rPr>
          <w:kern w:val="0"/>
          <w:sz w:val="20"/>
          <w:szCs w:val="20"/>
        </w:rPr>
        <w:t xml:space="preserve">   </w:t>
      </w:r>
      <w:r>
        <w:rPr>
          <w:rFonts w:hint="eastAsia"/>
          <w:kern w:val="0"/>
          <w:sz w:val="20"/>
          <w:szCs w:val="20"/>
        </w:rPr>
        <w:t>自评等级：良</w:t>
      </w:r>
    </w:p>
    <w:tbl>
      <w:tblPr>
        <w:tblStyle w:val="6"/>
        <w:tblW w:w="5149" w:type="pct"/>
        <w:tblInd w:w="-176" w:type="dxa"/>
        <w:tblLayout w:type="autofit"/>
        <w:tblCellMar>
          <w:top w:w="0" w:type="dxa"/>
          <w:left w:w="108" w:type="dxa"/>
          <w:bottom w:w="0" w:type="dxa"/>
          <w:right w:w="108" w:type="dxa"/>
        </w:tblCellMar>
      </w:tblPr>
      <w:tblGrid>
        <w:gridCol w:w="528"/>
        <w:gridCol w:w="591"/>
        <w:gridCol w:w="671"/>
        <w:gridCol w:w="616"/>
        <w:gridCol w:w="1434"/>
        <w:gridCol w:w="822"/>
        <w:gridCol w:w="5616"/>
      </w:tblGrid>
      <w:tr>
        <w:tblPrEx>
          <w:tblCellMar>
            <w:top w:w="0" w:type="dxa"/>
            <w:left w:w="108" w:type="dxa"/>
            <w:bottom w:w="0" w:type="dxa"/>
            <w:right w:w="108" w:type="dxa"/>
          </w:tblCellMar>
        </w:tblPrEx>
        <w:trPr>
          <w:trHeight w:val="660" w:hRule="atLeast"/>
          <w:tblHeader/>
        </w:trPr>
        <w:tc>
          <w:tcPr>
            <w:tcW w:w="362" w:type="pct"/>
            <w:tcBorders>
              <w:top w:val="single" w:color="auto" w:sz="4" w:space="0"/>
              <w:left w:val="single" w:color="auto" w:sz="4" w:space="0"/>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一级指标</w:t>
            </w:r>
          </w:p>
        </w:tc>
        <w:tc>
          <w:tcPr>
            <w:tcW w:w="330"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二级指标</w:t>
            </w:r>
          </w:p>
        </w:tc>
        <w:tc>
          <w:tcPr>
            <w:tcW w:w="586"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三级指标</w:t>
            </w:r>
          </w:p>
        </w:tc>
        <w:tc>
          <w:tcPr>
            <w:tcW w:w="1257"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指标解释</w:t>
            </w:r>
          </w:p>
        </w:tc>
        <w:tc>
          <w:tcPr>
            <w:tcW w:w="1645"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指标说明</w:t>
            </w:r>
            <w:r>
              <w:rPr>
                <w:b/>
                <w:bCs/>
                <w:spacing w:val="-20"/>
                <w:kern w:val="0"/>
                <w:sz w:val="20"/>
                <w:szCs w:val="20"/>
              </w:rPr>
              <w:t>(</w:t>
            </w:r>
            <w:r>
              <w:rPr>
                <w:rFonts w:hint="eastAsia"/>
                <w:b/>
                <w:bCs/>
                <w:spacing w:val="-20"/>
                <w:kern w:val="0"/>
                <w:sz w:val="20"/>
                <w:szCs w:val="20"/>
              </w:rPr>
              <w:t>评价计分标准）</w:t>
            </w:r>
          </w:p>
        </w:tc>
        <w:tc>
          <w:tcPr>
            <w:tcW w:w="479"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自评</w:t>
            </w:r>
          </w:p>
          <w:p>
            <w:pPr>
              <w:widowControl/>
              <w:jc w:val="center"/>
              <w:rPr>
                <w:b/>
                <w:bCs/>
                <w:spacing w:val="-20"/>
                <w:kern w:val="0"/>
                <w:sz w:val="20"/>
                <w:szCs w:val="20"/>
              </w:rPr>
            </w:pPr>
            <w:r>
              <w:rPr>
                <w:rFonts w:hint="eastAsia"/>
                <w:b/>
                <w:bCs/>
                <w:spacing w:val="-20"/>
                <w:kern w:val="0"/>
                <w:sz w:val="20"/>
                <w:szCs w:val="20"/>
              </w:rPr>
              <w:t>分数</w:t>
            </w:r>
          </w:p>
        </w:tc>
        <w:tc>
          <w:tcPr>
            <w:tcW w:w="341" w:type="pct"/>
            <w:tcBorders>
              <w:top w:val="single" w:color="auto" w:sz="4" w:space="0"/>
              <w:left w:val="nil"/>
              <w:bottom w:val="single" w:color="auto" w:sz="4" w:space="0"/>
              <w:right w:val="single" w:color="auto" w:sz="4" w:space="0"/>
            </w:tcBorders>
            <w:vAlign w:val="center"/>
          </w:tcPr>
          <w:p>
            <w:pPr>
              <w:widowControl/>
              <w:jc w:val="center"/>
              <w:rPr>
                <w:b/>
                <w:bCs/>
                <w:spacing w:val="-20"/>
                <w:kern w:val="0"/>
                <w:sz w:val="20"/>
                <w:szCs w:val="20"/>
              </w:rPr>
            </w:pPr>
            <w:r>
              <w:rPr>
                <w:rFonts w:hint="eastAsia"/>
                <w:b/>
                <w:bCs/>
                <w:spacing w:val="-20"/>
                <w:kern w:val="0"/>
                <w:sz w:val="20"/>
                <w:szCs w:val="20"/>
              </w:rPr>
              <w:t>自评</w:t>
            </w:r>
          </w:p>
          <w:p>
            <w:pPr>
              <w:widowControl/>
              <w:jc w:val="center"/>
              <w:rPr>
                <w:b/>
                <w:bCs/>
                <w:spacing w:val="-20"/>
                <w:kern w:val="0"/>
                <w:sz w:val="20"/>
                <w:szCs w:val="20"/>
              </w:rPr>
            </w:pPr>
            <w:r>
              <w:rPr>
                <w:rFonts w:hint="eastAsia"/>
                <w:b/>
                <w:bCs/>
                <w:spacing w:val="-20"/>
                <w:kern w:val="0"/>
                <w:sz w:val="20"/>
                <w:szCs w:val="20"/>
              </w:rPr>
              <w:t>依据及说明</w:t>
            </w:r>
          </w:p>
        </w:tc>
      </w:tr>
      <w:tr>
        <w:tblPrEx>
          <w:tblCellMar>
            <w:top w:w="0" w:type="dxa"/>
            <w:left w:w="108" w:type="dxa"/>
            <w:bottom w:w="0" w:type="dxa"/>
            <w:right w:w="108" w:type="dxa"/>
          </w:tblCellMar>
        </w:tblPrEx>
        <w:trPr>
          <w:trHeight w:val="1695" w:hRule="atLeast"/>
        </w:trPr>
        <w:tc>
          <w:tcPr>
            <w:tcW w:w="36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szCs w:val="20"/>
              </w:rPr>
            </w:pPr>
            <w:r>
              <w:rPr>
                <w:rFonts w:hint="eastAsia"/>
                <w:kern w:val="0"/>
                <w:sz w:val="20"/>
                <w:szCs w:val="20"/>
              </w:rPr>
              <w:t>投入（</w:t>
            </w:r>
            <w:r>
              <w:rPr>
                <w:kern w:val="0"/>
                <w:sz w:val="20"/>
                <w:szCs w:val="20"/>
              </w:rPr>
              <w:t>20</w:t>
            </w:r>
            <w:r>
              <w:rPr>
                <w:rFonts w:hint="eastAsia"/>
                <w:kern w:val="0"/>
                <w:sz w:val="20"/>
                <w:szCs w:val="20"/>
              </w:rPr>
              <w:t>分）</w:t>
            </w:r>
          </w:p>
        </w:tc>
        <w:tc>
          <w:tcPr>
            <w:tcW w:w="33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目标设定（</w:t>
            </w:r>
            <w:r>
              <w:rPr>
                <w:spacing w:val="-20"/>
                <w:kern w:val="0"/>
                <w:sz w:val="20"/>
                <w:szCs w:val="20"/>
              </w:rPr>
              <w:t>5</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绩效目标合理性（</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是否符合国家法律法规、国民经济和社会发展总体规划；</w:t>
            </w:r>
            <w:r>
              <w:rPr>
                <w:kern w:val="0"/>
                <w:sz w:val="20"/>
                <w:szCs w:val="20"/>
              </w:rPr>
              <w:t>(1</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是否符合部门</w:t>
            </w:r>
            <w:r>
              <w:rPr>
                <w:kern w:val="0"/>
                <w:sz w:val="20"/>
                <w:szCs w:val="20"/>
              </w:rPr>
              <w:t>“</w:t>
            </w:r>
            <w:r>
              <w:rPr>
                <w:rFonts w:hint="eastAsia"/>
                <w:kern w:val="0"/>
                <w:sz w:val="20"/>
                <w:szCs w:val="20"/>
              </w:rPr>
              <w:t>三定</w:t>
            </w:r>
            <w:r>
              <w:rPr>
                <w:kern w:val="0"/>
                <w:sz w:val="20"/>
                <w:szCs w:val="20"/>
              </w:rPr>
              <w:t>”</w:t>
            </w:r>
            <w:r>
              <w:rPr>
                <w:rFonts w:hint="eastAsia"/>
                <w:kern w:val="0"/>
                <w:sz w:val="20"/>
                <w:szCs w:val="20"/>
              </w:rPr>
              <w:t>方案确定的职责；（</w:t>
            </w:r>
            <w:r>
              <w:rPr>
                <w:kern w:val="0"/>
                <w:sz w:val="20"/>
                <w:szCs w:val="20"/>
              </w:rPr>
              <w:t>0.5</w:t>
            </w:r>
            <w:r>
              <w:rPr>
                <w:rFonts w:hint="eastAsia"/>
                <w:kern w:val="0"/>
                <w:sz w:val="20"/>
                <w:szCs w:val="20"/>
              </w:rPr>
              <w:t>分）</w:t>
            </w:r>
            <w:r>
              <w:rPr>
                <w:kern w:val="0"/>
                <w:sz w:val="20"/>
                <w:szCs w:val="20"/>
              </w:rPr>
              <w:br w:type="textWrapping"/>
            </w:r>
            <w:r>
              <w:rPr>
                <w:rFonts w:hint="eastAsia" w:ascii="宋体" w:hAnsi="宋体" w:cs="宋体"/>
                <w:kern w:val="0"/>
                <w:sz w:val="20"/>
                <w:szCs w:val="20"/>
              </w:rPr>
              <w:t>③</w:t>
            </w:r>
            <w:r>
              <w:rPr>
                <w:rFonts w:hint="eastAsia"/>
                <w:kern w:val="0"/>
                <w:sz w:val="20"/>
                <w:szCs w:val="20"/>
              </w:rPr>
              <w:t>是否符合部门制定的中长期实施规划。（</w:t>
            </w:r>
            <w:r>
              <w:rPr>
                <w:kern w:val="0"/>
                <w:sz w:val="20"/>
                <w:szCs w:val="20"/>
              </w:rPr>
              <w:t>0.5</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符合国家法律法</w:t>
            </w:r>
          </w:p>
          <w:p>
            <w:pPr>
              <w:widowControl/>
              <w:jc w:val="left"/>
              <w:rPr>
                <w:kern w:val="0"/>
                <w:sz w:val="20"/>
                <w:szCs w:val="20"/>
              </w:rPr>
            </w:pPr>
            <w:r>
              <w:rPr>
                <w:rFonts w:hint="eastAsia"/>
                <w:kern w:val="0"/>
                <w:sz w:val="20"/>
                <w:szCs w:val="20"/>
              </w:rPr>
              <w:t>规、国民经济和社会</w:t>
            </w:r>
          </w:p>
          <w:p>
            <w:pPr>
              <w:widowControl/>
              <w:jc w:val="left"/>
              <w:rPr>
                <w:rFonts w:hint="eastAsia" w:eastAsia="仿宋_GB2312"/>
                <w:kern w:val="0"/>
                <w:sz w:val="20"/>
                <w:szCs w:val="20"/>
                <w:lang w:eastAsia="zh-CN"/>
              </w:rPr>
            </w:pPr>
            <w:r>
              <w:rPr>
                <w:rFonts w:hint="eastAsia"/>
                <w:kern w:val="0"/>
                <w:sz w:val="20"/>
                <w:szCs w:val="20"/>
              </w:rPr>
              <w:t>发展总体规划</w:t>
            </w:r>
            <w:r>
              <w:rPr>
                <w:rFonts w:hint="eastAsia"/>
                <w:kern w:val="0"/>
                <w:sz w:val="20"/>
                <w:szCs w:val="20"/>
                <w:lang w:eastAsia="zh-CN"/>
              </w:rPr>
              <w:t>；</w:t>
            </w:r>
          </w:p>
          <w:p>
            <w:pPr>
              <w:widowControl/>
              <w:jc w:val="left"/>
              <w:rPr>
                <w:kern w:val="0"/>
                <w:sz w:val="20"/>
                <w:szCs w:val="20"/>
              </w:rPr>
            </w:pPr>
            <w:r>
              <w:rPr>
                <w:rFonts w:hint="eastAsia"/>
                <w:kern w:val="0"/>
                <w:sz w:val="20"/>
                <w:szCs w:val="20"/>
              </w:rPr>
              <w:t>符合部门</w:t>
            </w:r>
            <w:r>
              <w:rPr>
                <w:kern w:val="0"/>
                <w:sz w:val="20"/>
                <w:szCs w:val="20"/>
              </w:rPr>
              <w:t>“</w:t>
            </w:r>
            <w:r>
              <w:rPr>
                <w:rFonts w:hint="eastAsia"/>
                <w:kern w:val="0"/>
                <w:sz w:val="20"/>
                <w:szCs w:val="20"/>
              </w:rPr>
              <w:t>三定</w:t>
            </w:r>
            <w:r>
              <w:rPr>
                <w:kern w:val="0"/>
                <w:sz w:val="20"/>
                <w:szCs w:val="20"/>
              </w:rPr>
              <w:t>”</w:t>
            </w:r>
            <w:r>
              <w:rPr>
                <w:rFonts w:hint="eastAsia"/>
                <w:kern w:val="0"/>
                <w:sz w:val="20"/>
                <w:szCs w:val="20"/>
              </w:rPr>
              <w:t>方</w:t>
            </w:r>
          </w:p>
          <w:p>
            <w:pPr>
              <w:widowControl/>
              <w:jc w:val="left"/>
              <w:rPr>
                <w:rFonts w:hint="eastAsia" w:eastAsia="仿宋_GB2312"/>
                <w:kern w:val="0"/>
                <w:sz w:val="20"/>
                <w:szCs w:val="20"/>
                <w:lang w:eastAsia="zh-CN"/>
              </w:rPr>
            </w:pPr>
            <w:r>
              <w:rPr>
                <w:rFonts w:hint="eastAsia"/>
                <w:kern w:val="0"/>
                <w:sz w:val="20"/>
                <w:szCs w:val="20"/>
              </w:rPr>
              <w:t>案确定的职责</w:t>
            </w:r>
            <w:r>
              <w:rPr>
                <w:rFonts w:hint="eastAsia"/>
                <w:kern w:val="0"/>
                <w:sz w:val="20"/>
                <w:szCs w:val="20"/>
                <w:lang w:eastAsia="zh-CN"/>
              </w:rPr>
              <w:t>；</w:t>
            </w:r>
          </w:p>
          <w:p>
            <w:pPr>
              <w:rPr>
                <w:kern w:val="0"/>
                <w:sz w:val="20"/>
                <w:szCs w:val="20"/>
              </w:rPr>
            </w:pPr>
            <w:r>
              <w:rPr>
                <w:rFonts w:hint="eastAsia"/>
                <w:kern w:val="0"/>
                <w:sz w:val="20"/>
                <w:szCs w:val="20"/>
              </w:rPr>
              <w:t>符合部门制定的中长</w:t>
            </w:r>
          </w:p>
          <w:p>
            <w:pPr>
              <w:rPr>
                <w:rFonts w:hint="eastAsia" w:eastAsia="仿宋_GB2312"/>
                <w:lang w:eastAsia="zh-CN"/>
              </w:rPr>
            </w:pPr>
            <w:r>
              <w:rPr>
                <w:rFonts w:hint="eastAsia"/>
                <w:kern w:val="0"/>
                <w:sz w:val="20"/>
                <w:szCs w:val="20"/>
              </w:rPr>
              <w:t>期实施规划</w:t>
            </w:r>
            <w:r>
              <w:rPr>
                <w:rFonts w:hint="eastAsia"/>
                <w:kern w:val="0"/>
                <w:sz w:val="20"/>
                <w:szCs w:val="20"/>
                <w:lang w:eastAsia="zh-CN"/>
              </w:rPr>
              <w:t>。</w:t>
            </w:r>
          </w:p>
        </w:tc>
      </w:tr>
      <w:tr>
        <w:tblPrEx>
          <w:tblCellMar>
            <w:top w:w="0" w:type="dxa"/>
            <w:left w:w="108" w:type="dxa"/>
            <w:bottom w:w="0" w:type="dxa"/>
            <w:right w:w="108" w:type="dxa"/>
          </w:tblCellMar>
        </w:tblPrEx>
        <w:trPr>
          <w:trHeight w:val="9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绩效指标明确性（</w:t>
            </w:r>
            <w:r>
              <w:rPr>
                <w:kern w:val="0"/>
                <w:sz w:val="20"/>
                <w:szCs w:val="20"/>
              </w:rPr>
              <w:t>3</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部门（单位）依据整体绩效目标所设定的绩效指标是否清晰、细化、可衡量，用以反映和考核部门（单位）整体绩效目标的明细化情况。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是</w:t>
            </w:r>
            <w:r>
              <w:rPr>
                <w:rFonts w:hint="eastAsia"/>
                <w:spacing w:val="-16"/>
                <w:kern w:val="0"/>
                <w:sz w:val="20"/>
                <w:szCs w:val="20"/>
              </w:rPr>
              <w:t>否将部门整体的绩效目标细化分解为具体的工作任务；（</w:t>
            </w:r>
            <w:r>
              <w:rPr>
                <w:spacing w:val="-16"/>
                <w:kern w:val="0"/>
                <w:sz w:val="20"/>
                <w:szCs w:val="20"/>
              </w:rPr>
              <w:t>1</w:t>
            </w:r>
            <w:r>
              <w:rPr>
                <w:rFonts w:hint="eastAsia"/>
                <w:spacing w:val="-16"/>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是否通过清晰、可衡量的指标值予以体现</w:t>
            </w:r>
            <w:r>
              <w:rPr>
                <w:kern w:val="0"/>
                <w:sz w:val="20"/>
                <w:szCs w:val="20"/>
              </w:rPr>
              <w:t>;(0.5</w:t>
            </w:r>
            <w:r>
              <w:rPr>
                <w:rFonts w:hint="eastAsia"/>
                <w:kern w:val="0"/>
                <w:sz w:val="20"/>
                <w:szCs w:val="20"/>
              </w:rPr>
              <w:t>分）</w:t>
            </w:r>
            <w:r>
              <w:rPr>
                <w:rFonts w:hint="eastAsia" w:ascii="宋体" w:hAnsi="宋体" w:cs="宋体"/>
                <w:kern w:val="0"/>
                <w:sz w:val="20"/>
                <w:szCs w:val="20"/>
              </w:rPr>
              <w:t>③</w:t>
            </w:r>
            <w:r>
              <w:rPr>
                <w:rFonts w:hint="eastAsia"/>
                <w:kern w:val="0"/>
                <w:sz w:val="20"/>
                <w:szCs w:val="20"/>
              </w:rPr>
              <w:t>是否与部门年度的任务数或计划数相对应；（</w:t>
            </w:r>
            <w:r>
              <w:rPr>
                <w:kern w:val="0"/>
                <w:sz w:val="20"/>
                <w:szCs w:val="20"/>
              </w:rPr>
              <w:t>0.5</w:t>
            </w:r>
            <w:r>
              <w:rPr>
                <w:rFonts w:hint="eastAsia"/>
                <w:kern w:val="0"/>
                <w:sz w:val="20"/>
                <w:szCs w:val="20"/>
              </w:rPr>
              <w:t>分）</w:t>
            </w:r>
            <w:r>
              <w:rPr>
                <w:kern w:val="0"/>
                <w:sz w:val="20"/>
                <w:szCs w:val="20"/>
              </w:rPr>
              <w:br w:type="textWrapping"/>
            </w:r>
            <w:r>
              <w:rPr>
                <w:rFonts w:hint="eastAsia" w:ascii="宋体" w:hAnsi="宋体" w:cs="宋体"/>
                <w:kern w:val="0"/>
                <w:sz w:val="20"/>
                <w:szCs w:val="20"/>
              </w:rPr>
              <w:t>④</w:t>
            </w:r>
            <w:r>
              <w:rPr>
                <w:rFonts w:hint="eastAsia"/>
                <w:kern w:val="0"/>
                <w:sz w:val="20"/>
                <w:szCs w:val="20"/>
              </w:rPr>
              <w:t>是否与本年度部门预算资金相匹配。（</w:t>
            </w:r>
            <w:r>
              <w:rPr>
                <w:kern w:val="0"/>
                <w:sz w:val="20"/>
                <w:szCs w:val="20"/>
              </w:rPr>
              <w:t>1</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3</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依据整体绩效目标</w:t>
            </w:r>
          </w:p>
          <w:p>
            <w:pPr>
              <w:widowControl/>
              <w:jc w:val="left"/>
              <w:rPr>
                <w:kern w:val="0"/>
                <w:sz w:val="20"/>
                <w:szCs w:val="20"/>
              </w:rPr>
            </w:pPr>
            <w:r>
              <w:rPr>
                <w:rFonts w:hint="eastAsia"/>
                <w:kern w:val="0"/>
                <w:sz w:val="20"/>
                <w:szCs w:val="20"/>
              </w:rPr>
              <w:t>所设定的绩效指标清</w:t>
            </w:r>
          </w:p>
          <w:p>
            <w:pPr>
              <w:widowControl/>
              <w:jc w:val="left"/>
              <w:rPr>
                <w:rFonts w:hint="eastAsia"/>
                <w:kern w:val="0"/>
                <w:sz w:val="20"/>
                <w:szCs w:val="20"/>
                <w:lang w:eastAsia="zh-CN"/>
              </w:rPr>
            </w:pPr>
            <w:r>
              <w:rPr>
                <w:rFonts w:hint="eastAsia"/>
                <w:kern w:val="0"/>
                <w:sz w:val="20"/>
                <w:szCs w:val="20"/>
              </w:rPr>
              <w:t>晰、细化、可衡量</w:t>
            </w:r>
            <w:r>
              <w:rPr>
                <w:rFonts w:hint="eastAsia"/>
                <w:kern w:val="0"/>
                <w:sz w:val="20"/>
                <w:szCs w:val="20"/>
                <w:lang w:eastAsia="zh-CN"/>
              </w:rPr>
              <w:t>，</w:t>
            </w:r>
          </w:p>
          <w:p>
            <w:pPr>
              <w:widowControl/>
              <w:jc w:val="left"/>
              <w:rPr>
                <w:rFonts w:hint="eastAsia"/>
                <w:kern w:val="0"/>
                <w:sz w:val="20"/>
                <w:szCs w:val="20"/>
                <w:lang w:eastAsia="zh-CN"/>
              </w:rPr>
            </w:pPr>
            <w:r>
              <w:rPr>
                <w:rFonts w:hint="eastAsia"/>
                <w:kern w:val="0"/>
                <w:sz w:val="20"/>
                <w:szCs w:val="20"/>
                <w:lang w:eastAsia="zh-CN"/>
              </w:rPr>
              <w:t>能反映和考核单位整体</w:t>
            </w:r>
          </w:p>
          <w:p>
            <w:pPr>
              <w:widowControl/>
              <w:jc w:val="left"/>
              <w:rPr>
                <w:rFonts w:hint="eastAsia"/>
                <w:kern w:val="0"/>
                <w:sz w:val="20"/>
                <w:szCs w:val="20"/>
              </w:rPr>
            </w:pPr>
            <w:r>
              <w:rPr>
                <w:rFonts w:hint="eastAsia"/>
                <w:kern w:val="0"/>
                <w:sz w:val="20"/>
                <w:szCs w:val="20"/>
                <w:lang w:eastAsia="zh-CN"/>
              </w:rPr>
              <w:t>绩效目标情况。与</w:t>
            </w:r>
            <w:r>
              <w:rPr>
                <w:rFonts w:hint="eastAsia"/>
                <w:kern w:val="0"/>
                <w:sz w:val="20"/>
                <w:szCs w:val="20"/>
              </w:rPr>
              <w:t>年度的任务数</w:t>
            </w:r>
          </w:p>
          <w:p>
            <w:pPr>
              <w:widowControl/>
              <w:jc w:val="left"/>
              <w:rPr>
                <w:rFonts w:hint="eastAsia"/>
                <w:kern w:val="0"/>
                <w:sz w:val="20"/>
                <w:szCs w:val="20"/>
              </w:rPr>
            </w:pPr>
            <w:r>
              <w:rPr>
                <w:rFonts w:hint="eastAsia"/>
                <w:kern w:val="0"/>
                <w:sz w:val="20"/>
                <w:szCs w:val="20"/>
              </w:rPr>
              <w:t>相对应</w:t>
            </w:r>
            <w:r>
              <w:rPr>
                <w:rFonts w:hint="eastAsia"/>
                <w:kern w:val="0"/>
                <w:sz w:val="20"/>
                <w:szCs w:val="20"/>
                <w:lang w:eastAsia="zh-CN"/>
              </w:rPr>
              <w:t>。与</w:t>
            </w:r>
            <w:r>
              <w:rPr>
                <w:rFonts w:hint="eastAsia"/>
                <w:kern w:val="0"/>
                <w:sz w:val="20"/>
                <w:szCs w:val="20"/>
              </w:rPr>
              <w:t>本年度部门预算</w:t>
            </w:r>
          </w:p>
          <w:p>
            <w:pPr>
              <w:widowControl/>
              <w:jc w:val="left"/>
              <w:rPr>
                <w:rFonts w:hint="eastAsia" w:eastAsia="仿宋_GB2312"/>
                <w:kern w:val="0"/>
                <w:sz w:val="20"/>
                <w:szCs w:val="20"/>
                <w:lang w:val="en-US" w:eastAsia="zh-CN"/>
              </w:rPr>
            </w:pPr>
            <w:r>
              <w:rPr>
                <w:rFonts w:hint="eastAsia"/>
                <w:kern w:val="0"/>
                <w:sz w:val="20"/>
                <w:szCs w:val="20"/>
              </w:rPr>
              <w:t>资金相匹配。</w:t>
            </w:r>
          </w:p>
        </w:tc>
      </w:tr>
      <w:tr>
        <w:trPr>
          <w:trHeight w:val="153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预算配置（</w:t>
            </w:r>
            <w:r>
              <w:rPr>
                <w:spacing w:val="-20"/>
                <w:kern w:val="0"/>
                <w:sz w:val="20"/>
                <w:szCs w:val="20"/>
              </w:rPr>
              <w:t>15</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在职人员控制率（</w:t>
            </w:r>
            <w:r>
              <w:rPr>
                <w:kern w:val="0"/>
                <w:sz w:val="20"/>
                <w:szCs w:val="20"/>
              </w:rPr>
              <w:t>5</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部门（单位）本年度实际在职人员数与编制数的比率，用以反映和考核部门（单位）对人员成本的控制程度。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在职人员控制率</w:t>
            </w:r>
            <w:r>
              <w:rPr>
                <w:kern w:val="0"/>
                <w:sz w:val="20"/>
                <w:szCs w:val="20"/>
              </w:rPr>
              <w:t>=</w:t>
            </w:r>
            <w:r>
              <w:rPr>
                <w:rFonts w:hint="eastAsia"/>
                <w:kern w:val="0"/>
                <w:sz w:val="20"/>
                <w:szCs w:val="20"/>
              </w:rPr>
              <w:t>（在职人员数</w:t>
            </w:r>
            <w:r>
              <w:rPr>
                <w:kern w:val="0"/>
                <w:sz w:val="20"/>
                <w:szCs w:val="20"/>
              </w:rPr>
              <w:t>/</w:t>
            </w:r>
            <w:r>
              <w:rPr>
                <w:rFonts w:hint="eastAsia"/>
                <w:kern w:val="0"/>
                <w:sz w:val="20"/>
                <w:szCs w:val="20"/>
              </w:rPr>
              <w:t>编制数）</w:t>
            </w:r>
            <w:r>
              <w:rPr>
                <w:kern w:val="0"/>
                <w:sz w:val="20"/>
                <w:szCs w:val="20"/>
              </w:rPr>
              <w:t>×100%</w:t>
            </w:r>
            <w:r>
              <w:rPr>
                <w:rFonts w:hint="eastAsia"/>
                <w:kern w:val="0"/>
                <w:sz w:val="20"/>
                <w:szCs w:val="20"/>
              </w:rPr>
              <w:t>。（小于或等于</w:t>
            </w:r>
            <w:r>
              <w:rPr>
                <w:kern w:val="0"/>
                <w:sz w:val="20"/>
                <w:szCs w:val="20"/>
              </w:rPr>
              <w:t>1</w:t>
            </w:r>
            <w:r>
              <w:rPr>
                <w:rFonts w:hint="eastAsia"/>
                <w:kern w:val="0"/>
                <w:sz w:val="20"/>
                <w:szCs w:val="20"/>
              </w:rPr>
              <w:t>计</w:t>
            </w:r>
            <w:r>
              <w:rPr>
                <w:kern w:val="0"/>
                <w:sz w:val="20"/>
                <w:szCs w:val="20"/>
              </w:rPr>
              <w:t>5</w:t>
            </w:r>
            <w:r>
              <w:rPr>
                <w:rFonts w:hint="eastAsia"/>
                <w:kern w:val="0"/>
                <w:sz w:val="20"/>
                <w:szCs w:val="20"/>
              </w:rPr>
              <w:t>分，否则按比例计分）</w:t>
            </w:r>
            <w:r>
              <w:rPr>
                <w:kern w:val="0"/>
                <w:sz w:val="20"/>
                <w:szCs w:val="20"/>
              </w:rPr>
              <w:br w:type="textWrapping"/>
            </w:r>
            <w:r>
              <w:rPr>
                <w:rFonts w:hint="eastAsia"/>
                <w:kern w:val="0"/>
                <w:sz w:val="20"/>
                <w:szCs w:val="20"/>
              </w:rPr>
              <w:t>在职人员数：部门（单位）实际在职人数，以财政部确定的部门决算编制口径为准。</w:t>
            </w:r>
            <w:r>
              <w:rPr>
                <w:kern w:val="0"/>
                <w:sz w:val="20"/>
                <w:szCs w:val="20"/>
              </w:rPr>
              <w:br w:type="textWrapping"/>
            </w:r>
            <w:r>
              <w:rPr>
                <w:rFonts w:hint="eastAsia"/>
                <w:kern w:val="0"/>
                <w:sz w:val="20"/>
                <w:szCs w:val="20"/>
              </w:rPr>
              <w:t>编制数：机构编制部门核定批复的部门（单位）的人员编制数。</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在职人员控制率</w:t>
            </w:r>
            <w:r>
              <w:rPr>
                <w:kern w:val="0"/>
                <w:sz w:val="20"/>
                <w:szCs w:val="20"/>
              </w:rPr>
              <w:t>=</w:t>
            </w:r>
          </w:p>
          <w:p>
            <w:pPr>
              <w:widowControl/>
              <w:jc w:val="left"/>
              <w:rPr>
                <w:rFonts w:hint="default" w:eastAsia="仿宋_GB2312"/>
                <w:kern w:val="0"/>
                <w:sz w:val="24"/>
                <w:lang w:val="en-US" w:eastAsia="zh-CN"/>
              </w:rPr>
            </w:pPr>
            <w:r>
              <w:rPr>
                <w:rFonts w:hint="eastAsia"/>
                <w:kern w:val="0"/>
                <w:sz w:val="20"/>
                <w:szCs w:val="20"/>
                <w:lang w:val="en-US" w:eastAsia="zh-CN"/>
              </w:rPr>
              <w:t>12</w:t>
            </w:r>
            <w:r>
              <w:rPr>
                <w:kern w:val="0"/>
                <w:sz w:val="20"/>
                <w:szCs w:val="20"/>
              </w:rPr>
              <w:t>/</w:t>
            </w:r>
            <w:r>
              <w:rPr>
                <w:rFonts w:hint="eastAsia"/>
                <w:kern w:val="0"/>
                <w:sz w:val="20"/>
                <w:szCs w:val="20"/>
                <w:lang w:val="en-US" w:eastAsia="zh-CN"/>
              </w:rPr>
              <w:t>12</w:t>
            </w:r>
            <w:r>
              <w:rPr>
                <w:kern w:val="0"/>
                <w:sz w:val="20"/>
                <w:szCs w:val="20"/>
              </w:rPr>
              <w:t>×100%=</w:t>
            </w:r>
            <w:r>
              <w:rPr>
                <w:rFonts w:hint="eastAsia"/>
                <w:kern w:val="0"/>
                <w:sz w:val="20"/>
                <w:szCs w:val="20"/>
                <w:lang w:val="en-US" w:eastAsia="zh-CN"/>
              </w:rPr>
              <w:t>100%</w:t>
            </w:r>
          </w:p>
        </w:tc>
      </w:tr>
      <w:tr>
        <w:tblPrEx>
          <w:tblCellMar>
            <w:top w:w="0" w:type="dxa"/>
            <w:left w:w="108" w:type="dxa"/>
            <w:bottom w:w="0" w:type="dxa"/>
            <w:right w:w="108" w:type="dxa"/>
          </w:tblCellMar>
        </w:tblPrEx>
        <w:trPr>
          <w:trHeight w:val="1605"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5</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预算数与上年度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预算数的变动比率，用以反映和考核部门（单位）对控制重点行政成本的努力程度。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r>
              <w:rPr>
                <w:rFonts w:hint="eastAsia"/>
                <w:kern w:val="0"/>
                <w:sz w:val="20"/>
                <w:szCs w:val="20"/>
              </w:rPr>
              <w:t>（本年度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总额</w:t>
            </w:r>
            <w:r>
              <w:rPr>
                <w:kern w:val="0"/>
                <w:sz w:val="20"/>
                <w:szCs w:val="20"/>
              </w:rPr>
              <w:t>]×100%</w:t>
            </w:r>
            <w:r>
              <w:rPr>
                <w:rFonts w:hint="eastAsia"/>
                <w:kern w:val="0"/>
                <w:sz w:val="20"/>
                <w:szCs w:val="20"/>
              </w:rPr>
              <w:t>。（下降的计</w:t>
            </w:r>
            <w:r>
              <w:rPr>
                <w:kern w:val="0"/>
                <w:sz w:val="20"/>
                <w:szCs w:val="20"/>
              </w:rPr>
              <w:t>5</w:t>
            </w:r>
            <w:r>
              <w:rPr>
                <w:rFonts w:hint="eastAsia"/>
                <w:kern w:val="0"/>
                <w:sz w:val="20"/>
                <w:szCs w:val="20"/>
              </w:rPr>
              <w:t>分，增加的按比例扣减）</w:t>
            </w:r>
            <w:r>
              <w:rPr>
                <w:kern w:val="0"/>
                <w:sz w:val="20"/>
                <w:szCs w:val="20"/>
              </w:rPr>
              <w:br w:type="textWrapping"/>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：年度预算安排的因公出国（境）费、公务车辆购置及运行费和公务招待费。</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p>
          <w:p>
            <w:pPr>
              <w:widowControl/>
              <w:jc w:val="left"/>
              <w:rPr>
                <w:kern w:val="0"/>
                <w:sz w:val="20"/>
                <w:szCs w:val="20"/>
              </w:rPr>
            </w:pPr>
            <w:r>
              <w:rPr>
                <w:kern w:val="0"/>
                <w:sz w:val="20"/>
                <w:szCs w:val="20"/>
              </w:rPr>
              <w:t>(</w:t>
            </w:r>
            <w:r>
              <w:rPr>
                <w:rFonts w:hint="eastAsia"/>
                <w:kern w:val="0"/>
                <w:sz w:val="20"/>
                <w:szCs w:val="20"/>
                <w:lang w:val="en-US" w:eastAsia="zh-CN"/>
              </w:rPr>
              <w:t>8.09</w:t>
            </w:r>
            <w:r>
              <w:rPr>
                <w:rFonts w:hint="eastAsia"/>
                <w:kern w:val="0"/>
                <w:sz w:val="20"/>
                <w:szCs w:val="20"/>
              </w:rPr>
              <w:t>万元</w:t>
            </w:r>
            <w:r>
              <w:rPr>
                <w:kern w:val="0"/>
                <w:sz w:val="20"/>
                <w:szCs w:val="20"/>
              </w:rPr>
              <w:t>-</w:t>
            </w:r>
            <w:r>
              <w:rPr>
                <w:rFonts w:hint="eastAsia"/>
                <w:kern w:val="0"/>
                <w:sz w:val="20"/>
                <w:szCs w:val="20"/>
                <w:lang w:val="en-US" w:eastAsia="zh-CN"/>
              </w:rPr>
              <w:t>12.65</w:t>
            </w:r>
            <w:r>
              <w:rPr>
                <w:rFonts w:hint="eastAsia"/>
                <w:kern w:val="0"/>
                <w:sz w:val="20"/>
                <w:szCs w:val="20"/>
              </w:rPr>
              <w:t>万元</w:t>
            </w:r>
            <w:r>
              <w:rPr>
                <w:kern w:val="0"/>
                <w:sz w:val="20"/>
                <w:szCs w:val="20"/>
              </w:rPr>
              <w:t>)/</w:t>
            </w:r>
          </w:p>
          <w:p>
            <w:pPr>
              <w:widowControl/>
              <w:jc w:val="left"/>
              <w:rPr>
                <w:kern w:val="0"/>
                <w:sz w:val="20"/>
                <w:szCs w:val="20"/>
              </w:rPr>
            </w:pPr>
            <w:r>
              <w:rPr>
                <w:rFonts w:hint="eastAsia"/>
                <w:kern w:val="0"/>
                <w:sz w:val="20"/>
                <w:szCs w:val="20"/>
                <w:lang w:val="en-US" w:eastAsia="zh-CN"/>
              </w:rPr>
              <w:t>12.65</w:t>
            </w:r>
            <w:r>
              <w:rPr>
                <w:rFonts w:hint="eastAsia"/>
                <w:kern w:val="0"/>
                <w:sz w:val="20"/>
                <w:szCs w:val="20"/>
              </w:rPr>
              <w:t>万元</w:t>
            </w:r>
            <w:r>
              <w:rPr>
                <w:kern w:val="0"/>
                <w:sz w:val="20"/>
                <w:szCs w:val="20"/>
              </w:rPr>
              <w:t>×100%</w:t>
            </w:r>
          </w:p>
          <w:p>
            <w:pPr>
              <w:widowControl/>
              <w:spacing w:line="360" w:lineRule="auto"/>
              <w:jc w:val="left"/>
              <w:rPr>
                <w:kern w:val="0"/>
                <w:sz w:val="20"/>
                <w:szCs w:val="20"/>
              </w:rPr>
            </w:pPr>
            <w:r>
              <w:rPr>
                <w:kern w:val="0"/>
                <w:sz w:val="20"/>
                <w:szCs w:val="20"/>
              </w:rPr>
              <w:t>=-</w:t>
            </w:r>
            <w:r>
              <w:rPr>
                <w:rFonts w:hint="eastAsia"/>
                <w:kern w:val="0"/>
                <w:sz w:val="20"/>
                <w:szCs w:val="20"/>
                <w:lang w:val="en-US" w:eastAsia="zh-CN"/>
              </w:rPr>
              <w:t>36</w:t>
            </w:r>
            <w:r>
              <w:rPr>
                <w:kern w:val="0"/>
                <w:sz w:val="20"/>
                <w:szCs w:val="20"/>
              </w:rPr>
              <w:t>%</w:t>
            </w:r>
            <w:r>
              <w:rPr>
                <w:rFonts w:hint="eastAsia"/>
                <w:kern w:val="0"/>
                <w:sz w:val="20"/>
                <w:szCs w:val="20"/>
              </w:rPr>
              <w:t>，下降</w:t>
            </w:r>
          </w:p>
        </w:tc>
      </w:tr>
      <w:tr>
        <w:tblPrEx>
          <w:tblCellMar>
            <w:top w:w="0" w:type="dxa"/>
            <w:left w:w="108" w:type="dxa"/>
            <w:bottom w:w="0" w:type="dxa"/>
            <w:right w:w="108" w:type="dxa"/>
          </w:tblCellMar>
        </w:tblPrEx>
        <w:trPr>
          <w:trHeight w:val="174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重点支出安排率（</w:t>
            </w:r>
            <w:r>
              <w:rPr>
                <w:kern w:val="0"/>
                <w:sz w:val="20"/>
                <w:szCs w:val="20"/>
              </w:rPr>
              <w:t>5</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重点支出安排率</w:t>
            </w:r>
            <w:r>
              <w:rPr>
                <w:kern w:val="0"/>
                <w:sz w:val="20"/>
                <w:szCs w:val="20"/>
              </w:rPr>
              <w:t>=</w:t>
            </w:r>
            <w:r>
              <w:rPr>
                <w:rFonts w:hint="eastAsia"/>
                <w:kern w:val="0"/>
                <w:sz w:val="20"/>
                <w:szCs w:val="20"/>
              </w:rPr>
              <w:t>（重点项目支出</w:t>
            </w:r>
            <w:r>
              <w:rPr>
                <w:kern w:val="0"/>
                <w:sz w:val="20"/>
                <w:szCs w:val="20"/>
              </w:rPr>
              <w:t>/</w:t>
            </w:r>
            <w:r>
              <w:rPr>
                <w:rFonts w:hint="eastAsia"/>
                <w:kern w:val="0"/>
                <w:sz w:val="20"/>
                <w:szCs w:val="20"/>
              </w:rPr>
              <w:t>项目总支出）</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支出安排率</w:t>
            </w:r>
            <w:r>
              <w:rPr>
                <w:kern w:val="0"/>
                <w:sz w:val="20"/>
                <w:szCs w:val="20"/>
              </w:rPr>
              <w:t>*5</w:t>
            </w:r>
            <w:r>
              <w:rPr>
                <w:rFonts w:hint="eastAsia"/>
                <w:kern w:val="0"/>
                <w:sz w:val="20"/>
                <w:szCs w:val="20"/>
              </w:rPr>
              <w:t>分）</w:t>
            </w:r>
            <w:r>
              <w:rPr>
                <w:kern w:val="0"/>
                <w:sz w:val="20"/>
                <w:szCs w:val="20"/>
              </w:rPr>
              <w:br w:type="textWrapping"/>
            </w:r>
            <w:r>
              <w:rPr>
                <w:rFonts w:hint="eastAsia"/>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type="textWrapping"/>
            </w:r>
            <w:r>
              <w:rPr>
                <w:rFonts w:hint="eastAsia"/>
                <w:kern w:val="0"/>
                <w:sz w:val="20"/>
                <w:szCs w:val="20"/>
              </w:rPr>
              <w:t>项目总支出：部门（单位）年度预算安排的项目支出总额。</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重点支出安排率</w:t>
            </w:r>
            <w:r>
              <w:rPr>
                <w:kern w:val="0"/>
                <w:sz w:val="20"/>
                <w:szCs w:val="20"/>
              </w:rPr>
              <w:t>=</w:t>
            </w:r>
          </w:p>
          <w:p>
            <w:pPr>
              <w:widowControl/>
              <w:jc w:val="left"/>
              <w:rPr>
                <w:kern w:val="0"/>
                <w:sz w:val="20"/>
                <w:szCs w:val="20"/>
              </w:rPr>
            </w:pPr>
            <w:r>
              <w:rPr>
                <w:kern w:val="0"/>
                <w:sz w:val="20"/>
                <w:szCs w:val="20"/>
              </w:rPr>
              <w:t>(</w:t>
            </w:r>
            <w:r>
              <w:rPr>
                <w:rFonts w:hint="eastAsia"/>
                <w:kern w:val="0"/>
                <w:sz w:val="20"/>
                <w:szCs w:val="20"/>
                <w:lang w:val="en-US" w:eastAsia="zh-CN"/>
              </w:rPr>
              <w:t>275</w:t>
            </w:r>
            <w:r>
              <w:rPr>
                <w:rFonts w:hint="eastAsia"/>
                <w:kern w:val="0"/>
                <w:sz w:val="20"/>
                <w:szCs w:val="20"/>
              </w:rPr>
              <w:t>万元</w:t>
            </w:r>
            <w:r>
              <w:rPr>
                <w:kern w:val="0"/>
                <w:sz w:val="20"/>
                <w:szCs w:val="20"/>
              </w:rPr>
              <w:t>/</w:t>
            </w:r>
            <w:r>
              <w:rPr>
                <w:rFonts w:hint="eastAsia"/>
                <w:kern w:val="0"/>
                <w:sz w:val="20"/>
                <w:szCs w:val="20"/>
                <w:lang w:val="en-US" w:eastAsia="zh-CN"/>
              </w:rPr>
              <w:t>275</w:t>
            </w:r>
            <w:r>
              <w:rPr>
                <w:rFonts w:hint="eastAsia"/>
                <w:kern w:val="0"/>
                <w:sz w:val="20"/>
                <w:szCs w:val="20"/>
              </w:rPr>
              <w:t>万元</w:t>
            </w:r>
            <w:r>
              <w:rPr>
                <w:kern w:val="0"/>
                <w:sz w:val="20"/>
                <w:szCs w:val="20"/>
              </w:rPr>
              <w:t>) ×100%×5</w:t>
            </w:r>
          </w:p>
          <w:p>
            <w:pPr>
              <w:pStyle w:val="2"/>
            </w:pPr>
            <w:r>
              <w:rPr>
                <w:kern w:val="0"/>
                <w:sz w:val="20"/>
                <w:szCs w:val="20"/>
              </w:rPr>
              <w:t>=5</w:t>
            </w:r>
          </w:p>
        </w:tc>
      </w:tr>
      <w:tr>
        <w:tblPrEx>
          <w:tblCellMar>
            <w:top w:w="0" w:type="dxa"/>
            <w:left w:w="108" w:type="dxa"/>
            <w:bottom w:w="0" w:type="dxa"/>
            <w:right w:w="108" w:type="dxa"/>
          </w:tblCellMar>
        </w:tblPrEx>
        <w:trPr>
          <w:trHeight w:val="90" w:hRule="atLeast"/>
        </w:trPr>
        <w:tc>
          <w:tcPr>
            <w:tcW w:w="36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szCs w:val="20"/>
              </w:rPr>
            </w:pPr>
            <w:r>
              <w:rPr>
                <w:rFonts w:hint="eastAsia"/>
                <w:kern w:val="0"/>
                <w:sz w:val="20"/>
                <w:szCs w:val="20"/>
              </w:rPr>
              <w:t>过程（</w:t>
            </w:r>
            <w:r>
              <w:rPr>
                <w:kern w:val="0"/>
                <w:sz w:val="20"/>
                <w:szCs w:val="20"/>
              </w:rPr>
              <w:t>30</w:t>
            </w:r>
            <w:r>
              <w:rPr>
                <w:rFonts w:hint="eastAsia"/>
                <w:kern w:val="0"/>
                <w:sz w:val="20"/>
                <w:szCs w:val="20"/>
              </w:rPr>
              <w:t>分）</w:t>
            </w:r>
          </w:p>
        </w:tc>
        <w:tc>
          <w:tcPr>
            <w:tcW w:w="330" w:type="pct"/>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预算执行（</w:t>
            </w:r>
            <w:r>
              <w:rPr>
                <w:spacing w:val="-20"/>
                <w:kern w:val="0"/>
                <w:sz w:val="20"/>
                <w:szCs w:val="20"/>
              </w:rPr>
              <w:t>20</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预算完成率（</w:t>
            </w:r>
            <w:r>
              <w:rPr>
                <w:kern w:val="0"/>
                <w:sz w:val="20"/>
                <w:szCs w:val="20"/>
              </w:rPr>
              <w:t>4</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部门（单位）本年度预算完成数与预算数的比率，用以反映和考核部门（单位）预算完成程度。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预算完成率</w:t>
            </w:r>
            <w:r>
              <w:rPr>
                <w:kern w:val="0"/>
                <w:sz w:val="20"/>
                <w:szCs w:val="20"/>
              </w:rPr>
              <w:t>=</w:t>
            </w:r>
            <w:r>
              <w:rPr>
                <w:rFonts w:hint="eastAsia"/>
                <w:kern w:val="0"/>
                <w:sz w:val="20"/>
                <w:szCs w:val="20"/>
              </w:rPr>
              <w:t>（预算完成数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。（完成年初预算计</w:t>
            </w:r>
            <w:r>
              <w:rPr>
                <w:kern w:val="0"/>
                <w:sz w:val="20"/>
                <w:szCs w:val="20"/>
              </w:rPr>
              <w:t>4</w:t>
            </w:r>
            <w:r>
              <w:rPr>
                <w:rFonts w:hint="eastAsia"/>
                <w:kern w:val="0"/>
                <w:sz w:val="20"/>
                <w:szCs w:val="20"/>
              </w:rPr>
              <w:t>分，未完成年初按比例扣减）</w:t>
            </w:r>
            <w:r>
              <w:rPr>
                <w:kern w:val="0"/>
                <w:sz w:val="20"/>
                <w:szCs w:val="20"/>
              </w:rPr>
              <w:br w:type="textWrapping"/>
            </w:r>
            <w:r>
              <w:rPr>
                <w:rFonts w:hint="eastAsia"/>
                <w:kern w:val="0"/>
                <w:sz w:val="20"/>
                <w:szCs w:val="20"/>
              </w:rPr>
              <w:t>预算完成数：部门（单位）本年度实际完成的预算数。</w:t>
            </w:r>
            <w:r>
              <w:rPr>
                <w:kern w:val="0"/>
                <w:sz w:val="20"/>
                <w:szCs w:val="20"/>
              </w:rPr>
              <w:br w:type="textWrapping"/>
            </w:r>
            <w:r>
              <w:rPr>
                <w:rFonts w:hint="eastAsia"/>
                <w:kern w:val="0"/>
                <w:sz w:val="20"/>
                <w:szCs w:val="20"/>
              </w:rPr>
              <w:t>预算数：财政部门批复的本年度部门（单位）预算数。</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rFonts w:hint="eastAsia"/>
                <w:kern w:val="0"/>
                <w:sz w:val="20"/>
                <w:szCs w:val="20"/>
              </w:rPr>
              <w:t>完成年初预算</w:t>
            </w:r>
          </w:p>
        </w:tc>
      </w:tr>
      <w:tr>
        <w:trPr>
          <w:trHeight w:val="653"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预算调整率（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部门（单位）本年度预算调整数与预算数的比率，用以反映和考核部门（单位）预算的调整程度。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预算调整率</w:t>
            </w:r>
            <w:r>
              <w:rPr>
                <w:kern w:val="0"/>
                <w:sz w:val="20"/>
                <w:szCs w:val="20"/>
              </w:rPr>
              <w:t>=</w:t>
            </w:r>
            <w:r>
              <w:rPr>
                <w:rFonts w:hint="eastAsia"/>
                <w:kern w:val="0"/>
                <w:sz w:val="20"/>
                <w:szCs w:val="20"/>
              </w:rPr>
              <w:t>（预算调整数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。（未调整的计</w:t>
            </w:r>
            <w:r>
              <w:rPr>
                <w:kern w:val="0"/>
                <w:sz w:val="20"/>
                <w:szCs w:val="20"/>
              </w:rPr>
              <w:t>2</w:t>
            </w:r>
            <w:r>
              <w:rPr>
                <w:rFonts w:hint="eastAsia"/>
                <w:kern w:val="0"/>
                <w:sz w:val="20"/>
                <w:szCs w:val="20"/>
              </w:rPr>
              <w:t>分，调整了的除特殊原因外按比例扣减）</w:t>
            </w:r>
            <w:r>
              <w:rPr>
                <w:kern w:val="0"/>
                <w:sz w:val="20"/>
                <w:szCs w:val="20"/>
              </w:rPr>
              <w:br w:type="textWrapping"/>
            </w:r>
            <w:r>
              <w:rPr>
                <w:rFonts w:hint="eastAsia"/>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hint="eastAsia" w:eastAsia="仿宋_GB2312"/>
                <w:kern w:val="0"/>
                <w:sz w:val="24"/>
                <w:lang w:eastAsia="zh-CN"/>
              </w:rPr>
            </w:pPr>
            <w:r>
              <w:rPr>
                <w:rFonts w:hint="eastAsia"/>
                <w:kern w:val="0"/>
                <w:sz w:val="20"/>
                <w:szCs w:val="20"/>
              </w:rPr>
              <w:t>未调整预算</w:t>
            </w:r>
            <w:r>
              <w:rPr>
                <w:rFonts w:hint="eastAsia"/>
                <w:kern w:val="0"/>
                <w:sz w:val="20"/>
                <w:szCs w:val="20"/>
                <w:lang w:eastAsia="zh-CN"/>
              </w:rPr>
              <w:t>。</w:t>
            </w:r>
          </w:p>
        </w:tc>
      </w:tr>
      <w:tr>
        <w:tblPrEx>
          <w:tblCellMar>
            <w:top w:w="0" w:type="dxa"/>
            <w:left w:w="108" w:type="dxa"/>
            <w:bottom w:w="0" w:type="dxa"/>
            <w:right w:w="108" w:type="dxa"/>
          </w:tblCellMar>
        </w:tblPrEx>
        <w:trPr>
          <w:trHeight w:val="2295"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支付进度率（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部门（单位）实际支付进度与既定支付进度的比率，用以反映和考核部门（单位）预算执行的及时性和均衡性程度。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支付进度率</w:t>
            </w:r>
            <w:r>
              <w:rPr>
                <w:kern w:val="0"/>
                <w:sz w:val="20"/>
                <w:szCs w:val="20"/>
              </w:rPr>
              <w:t>=</w:t>
            </w:r>
            <w:r>
              <w:rPr>
                <w:rFonts w:hint="eastAsia"/>
                <w:kern w:val="0"/>
                <w:sz w:val="20"/>
                <w:szCs w:val="20"/>
              </w:rPr>
              <w:t>（实际支付进度</w:t>
            </w:r>
            <w:r>
              <w:rPr>
                <w:kern w:val="0"/>
                <w:sz w:val="20"/>
                <w:szCs w:val="20"/>
              </w:rPr>
              <w:t>/</w:t>
            </w:r>
            <w:r>
              <w:rPr>
                <w:rFonts w:hint="eastAsia"/>
                <w:kern w:val="0"/>
                <w:sz w:val="20"/>
                <w:szCs w:val="20"/>
              </w:rPr>
              <w:t>既定支付进度）</w:t>
            </w:r>
            <w:r>
              <w:rPr>
                <w:kern w:val="0"/>
                <w:sz w:val="20"/>
                <w:szCs w:val="20"/>
              </w:rPr>
              <w:t>×100%</w:t>
            </w:r>
            <w:r>
              <w:rPr>
                <w:rFonts w:hint="eastAsia"/>
                <w:kern w:val="0"/>
                <w:sz w:val="20"/>
                <w:szCs w:val="20"/>
              </w:rPr>
              <w:t>。完成年终进度的计</w:t>
            </w:r>
            <w:r>
              <w:rPr>
                <w:kern w:val="0"/>
                <w:sz w:val="20"/>
                <w:szCs w:val="20"/>
              </w:rPr>
              <w:t>1</w:t>
            </w:r>
            <w:r>
              <w:rPr>
                <w:rFonts w:hint="eastAsia"/>
                <w:kern w:val="0"/>
                <w:sz w:val="20"/>
                <w:szCs w:val="20"/>
              </w:rPr>
              <w:t>分，按季度完成预算进度的计</w:t>
            </w:r>
            <w:r>
              <w:rPr>
                <w:kern w:val="0"/>
                <w:sz w:val="20"/>
                <w:szCs w:val="20"/>
              </w:rPr>
              <w:t>1</w:t>
            </w:r>
            <w:r>
              <w:rPr>
                <w:rFonts w:hint="eastAsia"/>
                <w:kern w:val="0"/>
                <w:sz w:val="20"/>
                <w:szCs w:val="20"/>
              </w:rPr>
              <w:t>分。</w:t>
            </w:r>
            <w:r>
              <w:rPr>
                <w:kern w:val="0"/>
                <w:sz w:val="20"/>
                <w:szCs w:val="20"/>
              </w:rPr>
              <w:br w:type="textWrapping"/>
            </w:r>
            <w:r>
              <w:rPr>
                <w:rFonts w:hint="eastAsia"/>
                <w:kern w:val="0"/>
                <w:sz w:val="20"/>
                <w:szCs w:val="20"/>
              </w:rPr>
              <w:t>实际支付进度：部门（单位）在某一时点的支出预算执行总数与年度支出预算数的比率。</w:t>
            </w:r>
            <w:r>
              <w:rPr>
                <w:kern w:val="0"/>
                <w:sz w:val="20"/>
                <w:szCs w:val="20"/>
              </w:rPr>
              <w:br w:type="textWrapping"/>
            </w:r>
            <w:r>
              <w:rPr>
                <w:rFonts w:hint="eastAsia"/>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hint="eastAsia"/>
                <w:kern w:val="0"/>
                <w:sz w:val="24"/>
                <w:lang w:eastAsia="zh-CN"/>
              </w:rPr>
            </w:pPr>
            <w:r>
              <w:rPr>
                <w:rFonts w:hint="eastAsia"/>
                <w:kern w:val="0"/>
                <w:sz w:val="24"/>
                <w:lang w:eastAsia="zh-CN"/>
              </w:rPr>
              <w:t>按季度完成预算进度，</w:t>
            </w:r>
          </w:p>
          <w:p>
            <w:pPr>
              <w:widowControl/>
              <w:jc w:val="left"/>
              <w:rPr>
                <w:kern w:val="0"/>
                <w:sz w:val="24"/>
              </w:rPr>
            </w:pPr>
            <w:r>
              <w:rPr>
                <w:rFonts w:hint="eastAsia"/>
                <w:kern w:val="0"/>
                <w:sz w:val="24"/>
              </w:rPr>
              <w:t>完成年终进度</w:t>
            </w:r>
          </w:p>
          <w:p>
            <w:pPr>
              <w:widowControl/>
              <w:jc w:val="left"/>
              <w:rPr>
                <w:kern w:val="0"/>
                <w:sz w:val="24"/>
              </w:rPr>
            </w:pPr>
          </w:p>
        </w:tc>
      </w:tr>
      <w:tr>
        <w:tblPrEx>
          <w:tblCellMar>
            <w:top w:w="0" w:type="dxa"/>
            <w:left w:w="108" w:type="dxa"/>
            <w:bottom w:w="0" w:type="dxa"/>
            <w:right w:w="108" w:type="dxa"/>
          </w:tblCellMar>
        </w:tblPrEx>
        <w:trPr>
          <w:trHeight w:val="132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结转结余率（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部门（单位）本年度结转结余总额与支出预算数的比率，用以反映和考核部门（单位）对本年度结转结余资金的实际控制程度。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结转结余率</w:t>
            </w:r>
            <w:r>
              <w:rPr>
                <w:kern w:val="0"/>
                <w:sz w:val="20"/>
                <w:szCs w:val="20"/>
              </w:rPr>
              <w:t>=</w:t>
            </w:r>
            <w:r>
              <w:rPr>
                <w:rFonts w:hint="eastAsia"/>
                <w:kern w:val="0"/>
                <w:sz w:val="20"/>
                <w:szCs w:val="20"/>
              </w:rPr>
              <w:t>结转结余总额</w:t>
            </w:r>
            <w:r>
              <w:rPr>
                <w:kern w:val="0"/>
                <w:sz w:val="20"/>
                <w:szCs w:val="20"/>
              </w:rPr>
              <w:t>/</w:t>
            </w:r>
            <w:r>
              <w:rPr>
                <w:rFonts w:hint="eastAsia"/>
                <w:kern w:val="0"/>
                <w:sz w:val="20"/>
                <w:szCs w:val="20"/>
              </w:rPr>
              <w:t>支出预算数</w:t>
            </w:r>
            <w:r>
              <w:rPr>
                <w:kern w:val="0"/>
                <w:sz w:val="20"/>
                <w:szCs w:val="20"/>
              </w:rPr>
              <w:t>×100%</w:t>
            </w:r>
            <w:r>
              <w:rPr>
                <w:rFonts w:hint="eastAsia"/>
                <w:kern w:val="0"/>
                <w:sz w:val="20"/>
                <w:szCs w:val="20"/>
              </w:rPr>
              <w:t>。低于</w:t>
            </w:r>
            <w:r>
              <w:rPr>
                <w:kern w:val="0"/>
                <w:sz w:val="20"/>
                <w:szCs w:val="20"/>
              </w:rPr>
              <w:t>5%</w:t>
            </w:r>
            <w:r>
              <w:rPr>
                <w:rFonts w:hint="eastAsia"/>
                <w:kern w:val="0"/>
                <w:sz w:val="20"/>
                <w:szCs w:val="20"/>
              </w:rPr>
              <w:t>的计</w:t>
            </w:r>
            <w:r>
              <w:rPr>
                <w:kern w:val="0"/>
                <w:sz w:val="20"/>
                <w:szCs w:val="20"/>
              </w:rPr>
              <w:t>1</w:t>
            </w:r>
            <w:r>
              <w:rPr>
                <w:rFonts w:hint="eastAsia"/>
                <w:kern w:val="0"/>
                <w:sz w:val="20"/>
                <w:szCs w:val="20"/>
              </w:rPr>
              <w:t>分，每超过</w:t>
            </w:r>
            <w:r>
              <w:rPr>
                <w:kern w:val="0"/>
                <w:sz w:val="20"/>
                <w:szCs w:val="20"/>
              </w:rPr>
              <w:t>5</w:t>
            </w:r>
            <w:r>
              <w:rPr>
                <w:rFonts w:hint="eastAsia"/>
                <w:kern w:val="0"/>
                <w:sz w:val="20"/>
                <w:szCs w:val="20"/>
              </w:rPr>
              <w:t>个百分点扣</w:t>
            </w:r>
            <w:r>
              <w:rPr>
                <w:kern w:val="0"/>
                <w:sz w:val="20"/>
                <w:szCs w:val="20"/>
              </w:rPr>
              <w:t>1</w:t>
            </w:r>
            <w:r>
              <w:rPr>
                <w:rFonts w:hint="eastAsia"/>
                <w:kern w:val="0"/>
                <w:sz w:val="20"/>
                <w:szCs w:val="20"/>
              </w:rPr>
              <w:t>分，扣完为止。</w:t>
            </w:r>
            <w:r>
              <w:rPr>
                <w:kern w:val="0"/>
                <w:sz w:val="20"/>
                <w:szCs w:val="20"/>
              </w:rPr>
              <w:br w:type="textWrapping"/>
            </w:r>
            <w:r>
              <w:rPr>
                <w:rFonts w:hint="eastAsia"/>
                <w:kern w:val="0"/>
                <w:sz w:val="20"/>
                <w:szCs w:val="20"/>
              </w:rPr>
              <w:t>结转结余总额：部门（单位）本年度的结转资金与结余资金之和（以决算数为准）。</w:t>
            </w:r>
          </w:p>
        </w:tc>
        <w:tc>
          <w:tcPr>
            <w:tcW w:w="479" w:type="pct"/>
            <w:tcBorders>
              <w:top w:val="nil"/>
              <w:left w:val="nil"/>
              <w:bottom w:val="single" w:color="auto" w:sz="4" w:space="0"/>
              <w:right w:val="single" w:color="auto" w:sz="4" w:space="0"/>
            </w:tcBorders>
            <w:noWrap/>
            <w:vAlign w:val="center"/>
          </w:tcPr>
          <w:p>
            <w:pPr>
              <w:widowControl/>
              <w:jc w:val="left"/>
              <w:rPr>
                <w:rFonts w:hint="eastAsia" w:eastAsia="仿宋_GB2312"/>
                <w:kern w:val="0"/>
                <w:sz w:val="24"/>
                <w:lang w:eastAsia="zh-CN"/>
              </w:rPr>
            </w:pPr>
            <w:r>
              <w:rPr>
                <w:rFonts w:hint="eastAsia"/>
                <w:kern w:val="0"/>
                <w:sz w:val="24"/>
              </w:rPr>
              <w:t>　</w:t>
            </w:r>
            <w:r>
              <w:rPr>
                <w:rFonts w:hint="eastAsia"/>
                <w:kern w:val="0"/>
                <w:sz w:val="24"/>
                <w:lang w:val="en-US" w:eastAsia="zh-CN"/>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4"/>
                <w:lang w:eastAsia="zh-CN"/>
              </w:rPr>
              <w:t>本年度无结转结余资金。</w:t>
            </w:r>
          </w:p>
          <w:p>
            <w:pPr>
              <w:widowControl/>
              <w:jc w:val="left"/>
              <w:rPr>
                <w:kern w:val="0"/>
                <w:sz w:val="24"/>
              </w:rPr>
            </w:pPr>
          </w:p>
        </w:tc>
      </w:tr>
      <w:tr>
        <w:tblPrEx>
          <w:tblCellMar>
            <w:top w:w="0" w:type="dxa"/>
            <w:left w:w="108" w:type="dxa"/>
            <w:bottom w:w="0" w:type="dxa"/>
            <w:right w:w="108" w:type="dxa"/>
          </w:tblCellMar>
        </w:tblPrEx>
        <w:trPr>
          <w:trHeight w:val="159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结转结余变动率（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结转结余变动率</w:t>
            </w:r>
            <w:r>
              <w:rPr>
                <w:kern w:val="0"/>
                <w:sz w:val="20"/>
                <w:szCs w:val="20"/>
              </w:rPr>
              <w:t>=[</w:t>
            </w:r>
            <w:r>
              <w:rPr>
                <w:rFonts w:hint="eastAsia"/>
                <w:kern w:val="0"/>
                <w:sz w:val="20"/>
                <w:szCs w:val="20"/>
              </w:rPr>
              <w:t>（本年度累计结转结余资金总额</w:t>
            </w:r>
            <w:r>
              <w:rPr>
                <w:kern w:val="0"/>
                <w:sz w:val="20"/>
                <w:szCs w:val="20"/>
              </w:rPr>
              <w:t>-</w:t>
            </w:r>
            <w:r>
              <w:rPr>
                <w:rFonts w:hint="eastAsia"/>
                <w:kern w:val="0"/>
                <w:sz w:val="20"/>
                <w:szCs w:val="20"/>
              </w:rPr>
              <w:t>上年度累计结转结余资金总额）</w:t>
            </w:r>
            <w:r>
              <w:rPr>
                <w:kern w:val="0"/>
                <w:sz w:val="20"/>
                <w:szCs w:val="20"/>
              </w:rPr>
              <w:t>/</w:t>
            </w:r>
            <w:r>
              <w:rPr>
                <w:rFonts w:hint="eastAsia"/>
                <w:kern w:val="0"/>
                <w:sz w:val="20"/>
                <w:szCs w:val="20"/>
              </w:rPr>
              <w:t>上年度累计结转结余资金总额</w:t>
            </w:r>
            <w:r>
              <w:rPr>
                <w:kern w:val="0"/>
                <w:sz w:val="20"/>
                <w:szCs w:val="20"/>
              </w:rPr>
              <w:t>]×100%</w:t>
            </w:r>
            <w:r>
              <w:rPr>
                <w:rFonts w:hint="eastAsia"/>
                <w:kern w:val="0"/>
                <w:sz w:val="20"/>
                <w:szCs w:val="20"/>
              </w:rPr>
              <w:t>。（低于</w:t>
            </w:r>
            <w:r>
              <w:rPr>
                <w:kern w:val="0"/>
                <w:sz w:val="20"/>
                <w:szCs w:val="20"/>
              </w:rPr>
              <w:t>15%</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5</w:t>
            </w:r>
            <w:r>
              <w:rPr>
                <w:rFonts w:hint="eastAsia"/>
                <w:kern w:val="0"/>
                <w:sz w:val="20"/>
                <w:szCs w:val="20"/>
              </w:rPr>
              <w:t>个百分点扣</w:t>
            </w:r>
            <w:r>
              <w:rPr>
                <w:kern w:val="0"/>
                <w:sz w:val="20"/>
                <w:szCs w:val="20"/>
              </w:rPr>
              <w:t>1</w:t>
            </w:r>
            <w:r>
              <w:rPr>
                <w:rFonts w:hint="eastAsia"/>
                <w:kern w:val="0"/>
                <w:sz w:val="20"/>
                <w:szCs w:val="20"/>
              </w:rPr>
              <w:t>分，扣完为止）</w:t>
            </w:r>
          </w:p>
        </w:tc>
        <w:tc>
          <w:tcPr>
            <w:tcW w:w="479" w:type="pct"/>
            <w:tcBorders>
              <w:top w:val="nil"/>
              <w:left w:val="nil"/>
              <w:bottom w:val="single" w:color="auto" w:sz="4" w:space="0"/>
              <w:right w:val="single" w:color="auto" w:sz="4" w:space="0"/>
            </w:tcBorders>
            <w:noWrap/>
            <w:vAlign w:val="center"/>
          </w:tcPr>
          <w:p>
            <w:pPr>
              <w:widowControl/>
              <w:jc w:val="left"/>
              <w:rPr>
                <w:rFonts w:hint="eastAsia" w:eastAsia="仿宋_GB2312"/>
                <w:kern w:val="0"/>
                <w:sz w:val="24"/>
                <w:lang w:eastAsia="zh-CN"/>
              </w:rPr>
            </w:pPr>
            <w:r>
              <w:rPr>
                <w:rFonts w:hint="eastAsia"/>
                <w:kern w:val="0"/>
                <w:sz w:val="24"/>
              </w:rPr>
              <w:t>　</w:t>
            </w:r>
            <w:r>
              <w:rPr>
                <w:rFonts w:hint="eastAsia"/>
                <w:kern w:val="0"/>
                <w:sz w:val="24"/>
                <w:lang w:val="en-US" w:eastAsia="zh-CN"/>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结转结余变动率</w:t>
            </w:r>
            <w:r>
              <w:rPr>
                <w:kern w:val="0"/>
                <w:sz w:val="20"/>
                <w:szCs w:val="20"/>
              </w:rPr>
              <w:t>=</w:t>
            </w:r>
          </w:p>
          <w:p>
            <w:pPr>
              <w:pStyle w:val="2"/>
            </w:pPr>
            <w:r>
              <w:t>(</w:t>
            </w:r>
            <w:r>
              <w:rPr>
                <w:rFonts w:hint="eastAsia"/>
                <w:lang w:val="en-US" w:eastAsia="zh-CN"/>
              </w:rPr>
              <w:t>0</w:t>
            </w:r>
            <w:r>
              <w:rPr>
                <w:rFonts w:hint="eastAsia"/>
              </w:rPr>
              <w:t>万元</w:t>
            </w:r>
            <w:r>
              <w:t>-</w:t>
            </w:r>
            <w:r>
              <w:rPr>
                <w:rFonts w:hint="eastAsia"/>
                <w:lang w:val="en-US" w:eastAsia="zh-CN"/>
              </w:rPr>
              <w:t>0.53</w:t>
            </w:r>
            <w:r>
              <w:rPr>
                <w:rFonts w:hint="eastAsia"/>
              </w:rPr>
              <w:t>万元</w:t>
            </w:r>
            <w:r>
              <w:t>)/</w:t>
            </w:r>
            <w:r>
              <w:rPr>
                <w:rFonts w:hint="eastAsia"/>
                <w:lang w:val="en-US" w:eastAsia="zh-CN"/>
              </w:rPr>
              <w:t>0.53</w:t>
            </w:r>
            <w:r>
              <w:rPr>
                <w:rFonts w:hint="eastAsia"/>
              </w:rPr>
              <w:t>万元</w:t>
            </w:r>
            <w:r>
              <w:rPr>
                <w:kern w:val="0"/>
                <w:sz w:val="20"/>
                <w:szCs w:val="20"/>
              </w:rPr>
              <w:t>×100%</w:t>
            </w:r>
          </w:p>
          <w:p>
            <w:pPr>
              <w:pStyle w:val="2"/>
            </w:pPr>
            <w:r>
              <w:t>=</w:t>
            </w:r>
            <w:r>
              <w:rPr>
                <w:rFonts w:hint="eastAsia"/>
                <w:lang w:val="en-US" w:eastAsia="zh-CN"/>
              </w:rPr>
              <w:t>-100</w:t>
            </w:r>
            <w:r>
              <w:t>%</w:t>
            </w:r>
          </w:p>
        </w:tc>
      </w:tr>
      <w:tr>
        <w:trPr>
          <w:trHeight w:val="147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公用经费控制率（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公用经费控制率</w:t>
            </w:r>
            <w:r>
              <w:rPr>
                <w:kern w:val="0"/>
                <w:sz w:val="20"/>
                <w:szCs w:val="20"/>
              </w:rPr>
              <w:t>=</w:t>
            </w:r>
            <w:r>
              <w:rPr>
                <w:rFonts w:hint="eastAsia"/>
                <w:kern w:val="0"/>
                <w:sz w:val="20"/>
                <w:szCs w:val="20"/>
              </w:rPr>
              <w:t>（实际支出公用经费总额</w:t>
            </w:r>
            <w:r>
              <w:rPr>
                <w:kern w:val="0"/>
                <w:sz w:val="20"/>
                <w:szCs w:val="20"/>
              </w:rPr>
              <w:t>/</w:t>
            </w:r>
            <w:r>
              <w:rPr>
                <w:rFonts w:hint="eastAsia"/>
                <w:kern w:val="0"/>
                <w:sz w:val="20"/>
                <w:szCs w:val="20"/>
              </w:rPr>
              <w:t>预算安排公用经费总额）</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1</w:t>
            </w:r>
            <w:r>
              <w:rPr>
                <w:rFonts w:hint="eastAsia"/>
                <w:kern w:val="0"/>
                <w:sz w:val="20"/>
                <w:szCs w:val="20"/>
              </w:rPr>
              <w:t>个百分点扣</w:t>
            </w:r>
            <w:r>
              <w:rPr>
                <w:kern w:val="0"/>
                <w:sz w:val="20"/>
                <w:szCs w:val="20"/>
              </w:rPr>
              <w:t>0.1</w:t>
            </w:r>
            <w:r>
              <w:rPr>
                <w:rFonts w:hint="eastAsia"/>
                <w:kern w:val="0"/>
                <w:sz w:val="20"/>
                <w:szCs w:val="20"/>
              </w:rPr>
              <w:t>分，扣完为止）</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公用经费控制率</w:t>
            </w:r>
            <w:r>
              <w:rPr>
                <w:kern w:val="0"/>
                <w:sz w:val="20"/>
                <w:szCs w:val="20"/>
              </w:rPr>
              <w:t>=</w:t>
            </w:r>
          </w:p>
          <w:p>
            <w:pPr>
              <w:widowControl/>
              <w:jc w:val="left"/>
              <w:rPr>
                <w:kern w:val="0"/>
                <w:sz w:val="24"/>
              </w:rPr>
            </w:pPr>
            <w:r>
              <w:rPr>
                <w:rFonts w:hint="eastAsia"/>
                <w:kern w:val="0"/>
                <w:sz w:val="20"/>
                <w:szCs w:val="20"/>
                <w:lang w:val="en-US" w:eastAsia="zh-CN"/>
              </w:rPr>
              <w:t>75</w:t>
            </w:r>
            <w:r>
              <w:rPr>
                <w:rFonts w:hint="eastAsia"/>
                <w:kern w:val="0"/>
                <w:sz w:val="20"/>
                <w:szCs w:val="20"/>
              </w:rPr>
              <w:t>万元</w:t>
            </w:r>
            <w:r>
              <w:rPr>
                <w:kern w:val="0"/>
                <w:sz w:val="20"/>
                <w:szCs w:val="20"/>
              </w:rPr>
              <w:t>/</w:t>
            </w:r>
            <w:r>
              <w:rPr>
                <w:rFonts w:hint="eastAsia"/>
                <w:kern w:val="0"/>
                <w:sz w:val="20"/>
                <w:szCs w:val="20"/>
                <w:lang w:val="en-US" w:eastAsia="zh-CN"/>
              </w:rPr>
              <w:t>75</w:t>
            </w:r>
            <w:r>
              <w:rPr>
                <w:rFonts w:hint="eastAsia"/>
                <w:kern w:val="0"/>
                <w:sz w:val="20"/>
                <w:szCs w:val="20"/>
              </w:rPr>
              <w:t>万元</w:t>
            </w:r>
            <w:r>
              <w:rPr>
                <w:kern w:val="0"/>
                <w:sz w:val="20"/>
                <w:szCs w:val="20"/>
              </w:rPr>
              <w:t>×100%=100%</w:t>
            </w:r>
          </w:p>
        </w:tc>
      </w:tr>
      <w:tr>
        <w:tblPrEx>
          <w:tblCellMar>
            <w:top w:w="0" w:type="dxa"/>
            <w:left w:w="108" w:type="dxa"/>
            <w:bottom w:w="0" w:type="dxa"/>
            <w:right w:w="108" w:type="dxa"/>
          </w:tblCellMar>
        </w:tblPrEx>
        <w:trPr>
          <w:trHeight w:val="4528"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实际支出数与预算安排数的比率，用以反映和考核部门（单位）对</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的实际控制程度。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r>
              <w:rPr>
                <w:rFonts w:hint="eastAsia"/>
                <w:kern w:val="0"/>
                <w:sz w:val="20"/>
                <w:szCs w:val="20"/>
              </w:rPr>
              <w:t>（</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预算安排数）</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分，每超过</w:t>
            </w:r>
            <w:r>
              <w:rPr>
                <w:kern w:val="0"/>
                <w:sz w:val="20"/>
                <w:szCs w:val="20"/>
              </w:rPr>
              <w:t>1</w:t>
            </w:r>
            <w:r>
              <w:rPr>
                <w:rFonts w:hint="eastAsia"/>
                <w:kern w:val="0"/>
                <w:sz w:val="20"/>
                <w:szCs w:val="20"/>
              </w:rPr>
              <w:t>个百分点扣</w:t>
            </w:r>
            <w:r>
              <w:rPr>
                <w:kern w:val="0"/>
                <w:sz w:val="20"/>
                <w:szCs w:val="20"/>
              </w:rPr>
              <w:t>0.5</w:t>
            </w:r>
            <w:r>
              <w:rPr>
                <w:rFonts w:hint="eastAsia"/>
                <w:kern w:val="0"/>
                <w:sz w:val="20"/>
                <w:szCs w:val="20"/>
              </w:rPr>
              <w:t>分，扣完为止）</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p>
          <w:p>
            <w:pPr>
              <w:widowControl/>
              <w:jc w:val="left"/>
              <w:rPr>
                <w:kern w:val="0"/>
                <w:sz w:val="24"/>
              </w:rPr>
            </w:pPr>
            <w:r>
              <w:rPr>
                <w:rFonts w:hint="eastAsia"/>
                <w:kern w:val="0"/>
                <w:sz w:val="20"/>
                <w:szCs w:val="20"/>
                <w:lang w:val="en-US" w:eastAsia="zh-CN"/>
              </w:rPr>
              <w:t>8.09</w:t>
            </w:r>
            <w:r>
              <w:rPr>
                <w:rFonts w:hint="eastAsia"/>
                <w:kern w:val="0"/>
                <w:sz w:val="20"/>
                <w:szCs w:val="20"/>
              </w:rPr>
              <w:t>万元</w:t>
            </w:r>
            <w:r>
              <w:rPr>
                <w:kern w:val="0"/>
                <w:sz w:val="20"/>
                <w:szCs w:val="20"/>
              </w:rPr>
              <w:t>/</w:t>
            </w:r>
            <w:r>
              <w:rPr>
                <w:rFonts w:hint="eastAsia"/>
                <w:kern w:val="0"/>
                <w:sz w:val="20"/>
                <w:szCs w:val="20"/>
                <w:lang w:val="en-US" w:eastAsia="zh-CN"/>
              </w:rPr>
              <w:t>12</w:t>
            </w:r>
            <w:r>
              <w:rPr>
                <w:rFonts w:hint="eastAsia"/>
                <w:kern w:val="0"/>
                <w:sz w:val="20"/>
                <w:szCs w:val="20"/>
              </w:rPr>
              <w:t>万元</w:t>
            </w:r>
            <w:r>
              <w:rPr>
                <w:kern w:val="0"/>
                <w:sz w:val="20"/>
                <w:szCs w:val="20"/>
              </w:rPr>
              <w:t>×100%=</w:t>
            </w:r>
            <w:r>
              <w:rPr>
                <w:rFonts w:hint="eastAsia"/>
                <w:kern w:val="0"/>
                <w:sz w:val="20"/>
                <w:szCs w:val="20"/>
                <w:lang w:val="en-US" w:eastAsia="zh-CN"/>
              </w:rPr>
              <w:t>67.42</w:t>
            </w:r>
            <w:r>
              <w:rPr>
                <w:kern w:val="0"/>
                <w:sz w:val="20"/>
                <w:szCs w:val="20"/>
              </w:rPr>
              <w:t>%</w:t>
            </w:r>
          </w:p>
        </w:tc>
      </w:tr>
      <w:tr>
        <w:tblPrEx>
          <w:tblCellMar>
            <w:top w:w="0" w:type="dxa"/>
            <w:left w:w="108" w:type="dxa"/>
            <w:bottom w:w="0" w:type="dxa"/>
            <w:right w:w="108" w:type="dxa"/>
          </w:tblCellMar>
        </w:tblPrEx>
        <w:trPr>
          <w:trHeight w:val="1912"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政府采购执行率（</w:t>
            </w:r>
            <w:r>
              <w:rPr>
                <w:kern w:val="0"/>
                <w:sz w:val="20"/>
                <w:szCs w:val="20"/>
              </w:rPr>
              <w:t>4</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部门（单位）本年度实际政府采购金额与年初政府采购预算的比率，用以反映和考核部门（单位）政府采购预算执行情况。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政府采购执行率</w:t>
            </w:r>
            <w:r>
              <w:rPr>
                <w:kern w:val="0"/>
                <w:sz w:val="20"/>
                <w:szCs w:val="20"/>
              </w:rPr>
              <w:t>=</w:t>
            </w:r>
            <w:r>
              <w:rPr>
                <w:rFonts w:hint="eastAsia"/>
                <w:kern w:val="0"/>
                <w:sz w:val="20"/>
                <w:szCs w:val="20"/>
              </w:rPr>
              <w:t>（实际政府采购金额</w:t>
            </w:r>
            <w:r>
              <w:rPr>
                <w:kern w:val="0"/>
                <w:sz w:val="20"/>
                <w:szCs w:val="20"/>
              </w:rPr>
              <w:t>/</w:t>
            </w:r>
            <w:r>
              <w:rPr>
                <w:rFonts w:hint="eastAsia"/>
                <w:kern w:val="0"/>
                <w:sz w:val="20"/>
                <w:szCs w:val="20"/>
              </w:rPr>
              <w:t>政府采购预算数）</w:t>
            </w:r>
            <w:r>
              <w:rPr>
                <w:kern w:val="0"/>
                <w:sz w:val="20"/>
                <w:szCs w:val="20"/>
              </w:rPr>
              <w:t>×100%</w:t>
            </w:r>
            <w:r>
              <w:rPr>
                <w:rFonts w:hint="eastAsia"/>
                <w:kern w:val="0"/>
                <w:sz w:val="20"/>
                <w:szCs w:val="20"/>
              </w:rPr>
              <w:t>。（为</w:t>
            </w:r>
            <w:r>
              <w:rPr>
                <w:kern w:val="0"/>
                <w:sz w:val="20"/>
                <w:szCs w:val="20"/>
              </w:rPr>
              <w:t>100%</w:t>
            </w:r>
            <w:r>
              <w:rPr>
                <w:rFonts w:hint="eastAsia"/>
                <w:kern w:val="0"/>
                <w:sz w:val="20"/>
                <w:szCs w:val="20"/>
              </w:rPr>
              <w:t>的计</w:t>
            </w:r>
            <w:r>
              <w:rPr>
                <w:kern w:val="0"/>
                <w:sz w:val="20"/>
                <w:szCs w:val="20"/>
              </w:rPr>
              <w:t>2</w:t>
            </w:r>
            <w:r>
              <w:rPr>
                <w:rFonts w:hint="eastAsia"/>
                <w:kern w:val="0"/>
                <w:sz w:val="20"/>
                <w:szCs w:val="20"/>
              </w:rPr>
              <w:t>分，每低于</w:t>
            </w:r>
            <w:r>
              <w:rPr>
                <w:kern w:val="0"/>
                <w:sz w:val="20"/>
                <w:szCs w:val="20"/>
              </w:rPr>
              <w:t>1</w:t>
            </w:r>
            <w:r>
              <w:rPr>
                <w:rFonts w:hint="eastAsia"/>
                <w:kern w:val="0"/>
                <w:sz w:val="20"/>
                <w:szCs w:val="20"/>
              </w:rPr>
              <w:t>个百分点扣</w:t>
            </w:r>
            <w:r>
              <w:rPr>
                <w:kern w:val="0"/>
                <w:sz w:val="20"/>
                <w:szCs w:val="20"/>
              </w:rPr>
              <w:t>0.5</w:t>
            </w:r>
            <w:r>
              <w:rPr>
                <w:rFonts w:hint="eastAsia"/>
                <w:kern w:val="0"/>
                <w:sz w:val="20"/>
                <w:szCs w:val="20"/>
              </w:rPr>
              <w:t>分，扣完为止）</w:t>
            </w:r>
            <w:r>
              <w:rPr>
                <w:kern w:val="0"/>
                <w:sz w:val="20"/>
                <w:szCs w:val="20"/>
              </w:rPr>
              <w:br w:type="textWrapping"/>
            </w:r>
            <w:r>
              <w:rPr>
                <w:rFonts w:hint="eastAsia"/>
                <w:kern w:val="0"/>
                <w:sz w:val="20"/>
                <w:szCs w:val="20"/>
              </w:rPr>
              <w:t>政府采购预算：采购机关根据事业发展计划和行政任务编制的、并经过规定程序批准的年度政府采购计划。</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0</w:t>
            </w:r>
          </w:p>
        </w:tc>
        <w:tc>
          <w:tcPr>
            <w:tcW w:w="341" w:type="pct"/>
            <w:tcBorders>
              <w:top w:val="nil"/>
              <w:left w:val="nil"/>
              <w:bottom w:val="single" w:color="auto" w:sz="4" w:space="0"/>
              <w:right w:val="single" w:color="auto" w:sz="4" w:space="0"/>
            </w:tcBorders>
            <w:noWrap/>
            <w:vAlign w:val="center"/>
          </w:tcPr>
          <w:p>
            <w:pPr>
              <w:pStyle w:val="2"/>
              <w:rPr>
                <w:rFonts w:hint="eastAsia" w:eastAsia="宋体"/>
                <w:lang w:eastAsia="zh-CN"/>
              </w:rPr>
            </w:pPr>
            <w:r>
              <w:rPr>
                <w:rFonts w:hint="eastAsia"/>
                <w:kern w:val="0"/>
                <w:sz w:val="24"/>
              </w:rPr>
              <w:t>　</w:t>
            </w:r>
            <w:r>
              <w:rPr>
                <w:rFonts w:hint="eastAsia"/>
                <w:kern w:val="0"/>
                <w:sz w:val="24"/>
                <w:lang w:eastAsia="zh-CN"/>
              </w:rPr>
              <w:t>本年度无政府采购</w:t>
            </w:r>
            <w:r>
              <w:rPr>
                <w:rFonts w:hint="eastAsia"/>
                <w:kern w:val="0"/>
                <w:sz w:val="20"/>
                <w:szCs w:val="20"/>
                <w:lang w:eastAsia="zh-CN"/>
              </w:rPr>
              <w:t>。</w:t>
            </w:r>
          </w:p>
        </w:tc>
      </w:tr>
      <w:tr>
        <w:tblPrEx>
          <w:tblCellMar>
            <w:top w:w="0" w:type="dxa"/>
            <w:left w:w="108" w:type="dxa"/>
            <w:bottom w:w="0" w:type="dxa"/>
            <w:right w:w="108" w:type="dxa"/>
          </w:tblCellMar>
        </w:tblPrEx>
        <w:trPr>
          <w:trHeight w:val="2084"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预算管理（</w:t>
            </w:r>
            <w:r>
              <w:rPr>
                <w:spacing w:val="-20"/>
                <w:kern w:val="0"/>
                <w:sz w:val="20"/>
                <w:szCs w:val="20"/>
              </w:rPr>
              <w:t>5</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管理制度健全性（</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是否已制定或具有预算资金管理办法、内部财务管理制度、会计核算制度等管理制度；（</w:t>
            </w:r>
            <w:r>
              <w:rPr>
                <w:kern w:val="0"/>
                <w:sz w:val="20"/>
                <w:szCs w:val="20"/>
              </w:rPr>
              <w:t>1</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相关管理制度是否合法、合规、完整；（</w:t>
            </w:r>
            <w:r>
              <w:rPr>
                <w:kern w:val="0"/>
                <w:sz w:val="20"/>
                <w:szCs w:val="20"/>
              </w:rPr>
              <w:t>0.5</w:t>
            </w:r>
            <w:r>
              <w:rPr>
                <w:rFonts w:hint="eastAsia"/>
                <w:kern w:val="0"/>
                <w:sz w:val="20"/>
                <w:szCs w:val="20"/>
              </w:rPr>
              <w:t>分）</w:t>
            </w:r>
            <w:r>
              <w:rPr>
                <w:kern w:val="0"/>
                <w:sz w:val="20"/>
                <w:szCs w:val="20"/>
              </w:rPr>
              <w:br w:type="textWrapping"/>
            </w:r>
            <w:r>
              <w:rPr>
                <w:rFonts w:hint="eastAsia" w:ascii="宋体" w:hAnsi="宋体" w:cs="宋体"/>
                <w:kern w:val="0"/>
                <w:sz w:val="20"/>
                <w:szCs w:val="20"/>
              </w:rPr>
              <w:t>③</w:t>
            </w:r>
            <w:r>
              <w:rPr>
                <w:rFonts w:hint="eastAsia"/>
                <w:kern w:val="0"/>
                <w:sz w:val="20"/>
                <w:szCs w:val="20"/>
              </w:rPr>
              <w:t>相关管理制度是否得到有效执行。（</w:t>
            </w:r>
            <w:r>
              <w:rPr>
                <w:kern w:val="0"/>
                <w:sz w:val="20"/>
                <w:szCs w:val="20"/>
              </w:rPr>
              <w:t>0.5</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已制定或具有预算</w:t>
            </w:r>
          </w:p>
          <w:p>
            <w:pPr>
              <w:widowControl/>
              <w:jc w:val="left"/>
              <w:rPr>
                <w:kern w:val="0"/>
                <w:sz w:val="20"/>
                <w:szCs w:val="20"/>
              </w:rPr>
            </w:pPr>
            <w:r>
              <w:rPr>
                <w:rFonts w:hint="eastAsia"/>
                <w:kern w:val="0"/>
                <w:sz w:val="20"/>
                <w:szCs w:val="20"/>
              </w:rPr>
              <w:t>资金管理办法、内部</w:t>
            </w:r>
          </w:p>
          <w:p>
            <w:pPr>
              <w:widowControl/>
              <w:jc w:val="left"/>
              <w:rPr>
                <w:kern w:val="0"/>
                <w:sz w:val="20"/>
                <w:szCs w:val="20"/>
              </w:rPr>
            </w:pPr>
            <w:r>
              <w:rPr>
                <w:rFonts w:hint="eastAsia"/>
                <w:kern w:val="0"/>
                <w:sz w:val="20"/>
                <w:szCs w:val="20"/>
              </w:rPr>
              <w:t>财务管理制度、会计</w:t>
            </w:r>
          </w:p>
          <w:p>
            <w:pPr>
              <w:widowControl/>
              <w:jc w:val="left"/>
              <w:rPr>
                <w:kern w:val="0"/>
                <w:sz w:val="20"/>
                <w:szCs w:val="20"/>
              </w:rPr>
            </w:pPr>
            <w:r>
              <w:rPr>
                <w:rFonts w:hint="eastAsia"/>
                <w:kern w:val="0"/>
                <w:sz w:val="20"/>
                <w:szCs w:val="20"/>
              </w:rPr>
              <w:t>核算制度等管理制度。</w:t>
            </w:r>
          </w:p>
          <w:p>
            <w:pPr>
              <w:widowControl/>
              <w:jc w:val="left"/>
              <w:rPr>
                <w:kern w:val="0"/>
                <w:sz w:val="20"/>
                <w:szCs w:val="20"/>
              </w:rPr>
            </w:pPr>
            <w:r>
              <w:rPr>
                <w:rFonts w:hint="eastAsia"/>
                <w:kern w:val="0"/>
                <w:sz w:val="20"/>
                <w:szCs w:val="20"/>
              </w:rPr>
              <w:t>且相关管理制度合法、</w:t>
            </w:r>
          </w:p>
          <w:p>
            <w:pPr>
              <w:widowControl/>
              <w:jc w:val="left"/>
              <w:rPr>
                <w:kern w:val="0"/>
                <w:sz w:val="20"/>
                <w:szCs w:val="20"/>
              </w:rPr>
            </w:pPr>
            <w:r>
              <w:rPr>
                <w:rFonts w:hint="eastAsia"/>
                <w:kern w:val="0"/>
                <w:sz w:val="20"/>
                <w:szCs w:val="20"/>
              </w:rPr>
              <w:t>合规、完整，并得到了</w:t>
            </w:r>
          </w:p>
          <w:p>
            <w:pPr>
              <w:widowControl/>
              <w:jc w:val="left"/>
              <w:rPr>
                <w:kern w:val="0"/>
                <w:sz w:val="20"/>
                <w:szCs w:val="20"/>
              </w:rPr>
            </w:pPr>
            <w:r>
              <w:rPr>
                <w:rFonts w:hint="eastAsia"/>
                <w:kern w:val="0"/>
                <w:sz w:val="20"/>
                <w:szCs w:val="20"/>
              </w:rPr>
              <w:t>有效执行。</w:t>
            </w:r>
          </w:p>
          <w:p/>
        </w:tc>
      </w:tr>
      <w:tr>
        <w:trPr>
          <w:trHeight w:val="2976"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资金使用合规性（</w:t>
            </w:r>
            <w:r>
              <w:rPr>
                <w:kern w:val="0"/>
                <w:sz w:val="20"/>
                <w:szCs w:val="20"/>
              </w:rPr>
              <w:t>1</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部门（单位）使用预算资金是否符合相关的预算财务管理制度的规定，用以反映和考核部门（单位）预算资金的规范运行情况。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是否符合国家财经法规和财务管理制度规定以及有关专项资金管理办法的规定；（</w:t>
            </w:r>
            <w:r>
              <w:rPr>
                <w:kern w:val="0"/>
                <w:sz w:val="20"/>
                <w:szCs w:val="20"/>
              </w:rPr>
              <w:t>0.2</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资金的拨付是否有完整的审批程序和手续；（</w:t>
            </w:r>
            <w:r>
              <w:rPr>
                <w:kern w:val="0"/>
                <w:sz w:val="20"/>
                <w:szCs w:val="20"/>
              </w:rPr>
              <w:t>0.2</w:t>
            </w:r>
            <w:r>
              <w:rPr>
                <w:rFonts w:hint="eastAsia"/>
                <w:kern w:val="0"/>
                <w:sz w:val="20"/>
                <w:szCs w:val="20"/>
              </w:rPr>
              <w:t>分）</w:t>
            </w:r>
            <w:r>
              <w:rPr>
                <w:kern w:val="0"/>
                <w:sz w:val="20"/>
                <w:szCs w:val="20"/>
              </w:rPr>
              <w:br w:type="textWrapping"/>
            </w:r>
            <w:r>
              <w:rPr>
                <w:rFonts w:hint="eastAsia" w:ascii="宋体" w:hAnsi="宋体" w:cs="宋体"/>
                <w:kern w:val="0"/>
                <w:sz w:val="20"/>
                <w:szCs w:val="20"/>
              </w:rPr>
              <w:t>③</w:t>
            </w:r>
            <w:r>
              <w:rPr>
                <w:rFonts w:hint="eastAsia"/>
                <w:kern w:val="0"/>
                <w:sz w:val="20"/>
                <w:szCs w:val="20"/>
              </w:rPr>
              <w:t>项目的重大开支是否经过评估论证；（</w:t>
            </w:r>
            <w:r>
              <w:rPr>
                <w:kern w:val="0"/>
                <w:sz w:val="20"/>
                <w:szCs w:val="20"/>
              </w:rPr>
              <w:t>0.2</w:t>
            </w:r>
            <w:r>
              <w:rPr>
                <w:rFonts w:hint="eastAsia"/>
                <w:kern w:val="0"/>
                <w:sz w:val="20"/>
                <w:szCs w:val="20"/>
              </w:rPr>
              <w:t>分）</w:t>
            </w:r>
            <w:r>
              <w:rPr>
                <w:kern w:val="0"/>
                <w:sz w:val="20"/>
                <w:szCs w:val="20"/>
              </w:rPr>
              <w:br w:type="textWrapping"/>
            </w:r>
            <w:r>
              <w:rPr>
                <w:rFonts w:hint="eastAsia" w:ascii="宋体" w:hAnsi="宋体" w:cs="宋体"/>
                <w:kern w:val="0"/>
                <w:sz w:val="20"/>
                <w:szCs w:val="20"/>
              </w:rPr>
              <w:t>④</w:t>
            </w:r>
            <w:r>
              <w:rPr>
                <w:rFonts w:hint="eastAsia"/>
                <w:kern w:val="0"/>
                <w:sz w:val="20"/>
                <w:szCs w:val="20"/>
              </w:rPr>
              <w:t>是否符合部门预算批复的用途；（</w:t>
            </w:r>
            <w:r>
              <w:rPr>
                <w:kern w:val="0"/>
                <w:sz w:val="20"/>
                <w:szCs w:val="20"/>
              </w:rPr>
              <w:t>0.2</w:t>
            </w:r>
            <w:r>
              <w:rPr>
                <w:rFonts w:hint="eastAsia"/>
                <w:kern w:val="0"/>
                <w:sz w:val="20"/>
                <w:szCs w:val="20"/>
              </w:rPr>
              <w:t>分）</w:t>
            </w:r>
            <w:r>
              <w:rPr>
                <w:kern w:val="0"/>
                <w:sz w:val="20"/>
                <w:szCs w:val="20"/>
              </w:rPr>
              <w:br w:type="textWrapping"/>
            </w:r>
            <w:r>
              <w:rPr>
                <w:rFonts w:hint="eastAsia" w:ascii="宋体" w:hAnsi="宋体" w:cs="宋体"/>
                <w:kern w:val="0"/>
                <w:sz w:val="20"/>
                <w:szCs w:val="20"/>
              </w:rPr>
              <w:t>⑤</w:t>
            </w:r>
            <w:r>
              <w:rPr>
                <w:rFonts w:hint="eastAsia"/>
                <w:kern w:val="0"/>
                <w:sz w:val="20"/>
                <w:szCs w:val="20"/>
              </w:rPr>
              <w:t>是否存在截留、挤占、挪用、虚列支出等情况。（</w:t>
            </w:r>
            <w:r>
              <w:rPr>
                <w:kern w:val="0"/>
                <w:sz w:val="20"/>
                <w:szCs w:val="20"/>
              </w:rPr>
              <w:t>0.2</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本单位使用预算资金</w:t>
            </w:r>
          </w:p>
          <w:p>
            <w:pPr>
              <w:widowControl/>
              <w:jc w:val="left"/>
              <w:rPr>
                <w:kern w:val="0"/>
                <w:sz w:val="20"/>
                <w:szCs w:val="20"/>
              </w:rPr>
            </w:pPr>
            <w:r>
              <w:rPr>
                <w:rFonts w:hint="eastAsia"/>
                <w:kern w:val="0"/>
                <w:sz w:val="20"/>
                <w:szCs w:val="20"/>
              </w:rPr>
              <w:t>符合相关的预算财务管</w:t>
            </w:r>
          </w:p>
          <w:p>
            <w:pPr>
              <w:widowControl/>
              <w:jc w:val="left"/>
              <w:rPr>
                <w:rFonts w:hint="eastAsia" w:eastAsia="仿宋_GB2312"/>
                <w:kern w:val="0"/>
                <w:sz w:val="20"/>
                <w:szCs w:val="20"/>
                <w:lang w:eastAsia="zh-CN"/>
              </w:rPr>
            </w:pPr>
            <w:r>
              <w:rPr>
                <w:rFonts w:hint="eastAsia"/>
                <w:kern w:val="0"/>
                <w:sz w:val="20"/>
                <w:szCs w:val="20"/>
              </w:rPr>
              <w:t>理制度的规定</w:t>
            </w:r>
            <w:r>
              <w:rPr>
                <w:rFonts w:hint="eastAsia"/>
                <w:kern w:val="0"/>
                <w:sz w:val="20"/>
                <w:szCs w:val="20"/>
                <w:lang w:eastAsia="zh-CN"/>
              </w:rPr>
              <w:t>。</w:t>
            </w:r>
          </w:p>
        </w:tc>
      </w:tr>
      <w:tr>
        <w:tblPrEx>
          <w:tblCellMar>
            <w:top w:w="0" w:type="dxa"/>
            <w:left w:w="108" w:type="dxa"/>
            <w:bottom w:w="0" w:type="dxa"/>
            <w:right w:w="108" w:type="dxa"/>
          </w:tblCellMar>
        </w:tblPrEx>
        <w:trPr>
          <w:trHeight w:val="2096"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预决算信息公开性（</w:t>
            </w:r>
            <w:r>
              <w:rPr>
                <w:kern w:val="0"/>
                <w:sz w:val="20"/>
                <w:szCs w:val="20"/>
              </w:rPr>
              <w:t>1</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部门（单位）是否按照政府信息公开有关规定公开相关预决算信息，用以反映和考核部门（单位）预决算管理的公开透明情况。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是否按规定内容公开预决算信息；（</w:t>
            </w:r>
            <w:r>
              <w:rPr>
                <w:kern w:val="0"/>
                <w:sz w:val="20"/>
                <w:szCs w:val="20"/>
              </w:rPr>
              <w:t>0.5</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是否按规定时限公开预决算信息。（</w:t>
            </w:r>
            <w:r>
              <w:rPr>
                <w:kern w:val="0"/>
                <w:sz w:val="20"/>
                <w:szCs w:val="20"/>
              </w:rPr>
              <w:t>0.5</w:t>
            </w:r>
            <w:r>
              <w:rPr>
                <w:rFonts w:hint="eastAsia"/>
                <w:kern w:val="0"/>
                <w:sz w:val="20"/>
                <w:szCs w:val="20"/>
              </w:rPr>
              <w:t>分）</w:t>
            </w:r>
            <w:r>
              <w:rPr>
                <w:kern w:val="0"/>
                <w:sz w:val="20"/>
                <w:szCs w:val="20"/>
              </w:rPr>
              <w:br w:type="textWrapping"/>
            </w:r>
            <w:r>
              <w:rPr>
                <w:rFonts w:hint="eastAsia"/>
                <w:kern w:val="0"/>
                <w:sz w:val="20"/>
                <w:szCs w:val="20"/>
              </w:rPr>
              <w:t>预决算信息是指与部门预算、执行、决算、监督、绩效等管理相关的信息。</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rFonts w:hint="eastAsia"/>
                <w:kern w:val="0"/>
                <w:sz w:val="20"/>
                <w:szCs w:val="20"/>
              </w:rPr>
              <w:t>已按财政局要求公开</w:t>
            </w:r>
          </w:p>
        </w:tc>
      </w:tr>
      <w:tr>
        <w:tblPrEx>
          <w:tblCellMar>
            <w:top w:w="0" w:type="dxa"/>
            <w:left w:w="108" w:type="dxa"/>
            <w:bottom w:w="0" w:type="dxa"/>
            <w:right w:w="108" w:type="dxa"/>
          </w:tblCellMar>
        </w:tblPrEx>
        <w:trPr>
          <w:trHeight w:val="1983"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基础信息完善性（</w:t>
            </w:r>
            <w:r>
              <w:rPr>
                <w:kern w:val="0"/>
                <w:sz w:val="20"/>
                <w:szCs w:val="20"/>
              </w:rPr>
              <w:t>1</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部门（单位）基础信息是否完善，用以反映和考核基础信息对预算管理工作的支撑情况。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基础数据信息和会计信息资料是否真实；（</w:t>
            </w:r>
            <w:r>
              <w:rPr>
                <w:kern w:val="0"/>
                <w:sz w:val="20"/>
                <w:szCs w:val="20"/>
              </w:rPr>
              <w:t>0.4</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基础数据信息和会计信息资料是否完整；（</w:t>
            </w:r>
            <w:r>
              <w:rPr>
                <w:kern w:val="0"/>
                <w:sz w:val="20"/>
                <w:szCs w:val="20"/>
              </w:rPr>
              <w:t>0.3</w:t>
            </w:r>
            <w:r>
              <w:rPr>
                <w:rFonts w:hint="eastAsia"/>
                <w:kern w:val="0"/>
                <w:sz w:val="20"/>
                <w:szCs w:val="20"/>
              </w:rPr>
              <w:t>分）</w:t>
            </w:r>
            <w:r>
              <w:rPr>
                <w:kern w:val="0"/>
                <w:sz w:val="20"/>
                <w:szCs w:val="20"/>
              </w:rPr>
              <w:br w:type="textWrapping"/>
            </w:r>
            <w:r>
              <w:rPr>
                <w:rFonts w:hint="eastAsia" w:ascii="宋体" w:hAnsi="宋体" w:cs="宋体"/>
                <w:kern w:val="0"/>
                <w:sz w:val="20"/>
                <w:szCs w:val="20"/>
              </w:rPr>
              <w:t>③</w:t>
            </w:r>
            <w:r>
              <w:rPr>
                <w:rFonts w:hint="eastAsia"/>
                <w:kern w:val="0"/>
                <w:sz w:val="20"/>
                <w:szCs w:val="20"/>
              </w:rPr>
              <w:t>基础数据信息和会计信息资料是否准确。（</w:t>
            </w:r>
            <w:r>
              <w:rPr>
                <w:kern w:val="0"/>
                <w:sz w:val="20"/>
                <w:szCs w:val="20"/>
              </w:rPr>
              <w:t>0.3</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基础数据信息和</w:t>
            </w:r>
          </w:p>
          <w:p>
            <w:pPr>
              <w:widowControl/>
              <w:jc w:val="left"/>
              <w:rPr>
                <w:kern w:val="0"/>
                <w:sz w:val="20"/>
                <w:szCs w:val="20"/>
              </w:rPr>
            </w:pPr>
            <w:r>
              <w:rPr>
                <w:rFonts w:hint="eastAsia"/>
                <w:kern w:val="0"/>
                <w:sz w:val="20"/>
                <w:szCs w:val="20"/>
              </w:rPr>
              <w:t>会计信息资料真实、</w:t>
            </w:r>
          </w:p>
          <w:p>
            <w:pPr>
              <w:widowControl/>
              <w:jc w:val="left"/>
              <w:rPr>
                <w:kern w:val="0"/>
                <w:sz w:val="20"/>
                <w:szCs w:val="20"/>
              </w:rPr>
            </w:pPr>
            <w:r>
              <w:rPr>
                <w:rFonts w:hint="eastAsia"/>
                <w:kern w:val="0"/>
                <w:sz w:val="20"/>
                <w:szCs w:val="20"/>
              </w:rPr>
              <w:t>完整、准确</w:t>
            </w:r>
          </w:p>
        </w:tc>
      </w:tr>
      <w:tr>
        <w:tblPrEx>
          <w:tblCellMar>
            <w:top w:w="0" w:type="dxa"/>
            <w:left w:w="108" w:type="dxa"/>
            <w:bottom w:w="0" w:type="dxa"/>
            <w:right w:w="108" w:type="dxa"/>
          </w:tblCellMar>
        </w:tblPrEx>
        <w:trPr>
          <w:trHeight w:val="1290"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资产管理（</w:t>
            </w:r>
            <w:r>
              <w:rPr>
                <w:spacing w:val="-20"/>
                <w:kern w:val="0"/>
                <w:sz w:val="20"/>
                <w:szCs w:val="20"/>
              </w:rPr>
              <w:t>5</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管理制度健全性（</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color="auto" w:sz="4" w:space="0"/>
              <w:right w:val="single" w:color="auto" w:sz="4" w:space="0"/>
            </w:tcBorders>
            <w:vAlign w:val="center"/>
          </w:tcPr>
          <w:p>
            <w:pPr>
              <w:widowControl/>
              <w:rPr>
                <w:kern w:val="0"/>
                <w:sz w:val="20"/>
                <w:szCs w:val="20"/>
              </w:rPr>
            </w:pPr>
            <w:r>
              <w:rPr>
                <w:rFonts w:hint="eastAsia" w:ascii="宋体" w:hAnsi="宋体" w:cs="宋体"/>
                <w:kern w:val="0"/>
                <w:sz w:val="20"/>
                <w:szCs w:val="20"/>
              </w:rPr>
              <w:t>①</w:t>
            </w:r>
            <w:r>
              <w:rPr>
                <w:rFonts w:hint="eastAsia"/>
                <w:kern w:val="0"/>
                <w:sz w:val="20"/>
                <w:szCs w:val="20"/>
              </w:rPr>
              <w:t>是否已制定或具有资产管理制度；（</w:t>
            </w:r>
            <w:r>
              <w:rPr>
                <w:kern w:val="0"/>
                <w:sz w:val="20"/>
                <w:szCs w:val="20"/>
              </w:rPr>
              <w:t>1</w:t>
            </w:r>
            <w:r>
              <w:rPr>
                <w:rFonts w:hint="eastAsia"/>
                <w:kern w:val="0"/>
                <w:sz w:val="20"/>
                <w:szCs w:val="20"/>
              </w:rPr>
              <w:t>分）</w:t>
            </w:r>
          </w:p>
          <w:p>
            <w:pPr>
              <w:widowControl/>
              <w:rPr>
                <w:kern w:val="0"/>
                <w:sz w:val="20"/>
                <w:szCs w:val="20"/>
              </w:rPr>
            </w:pPr>
            <w:r>
              <w:rPr>
                <w:rFonts w:hint="eastAsia" w:ascii="宋体" w:hAnsi="宋体" w:cs="宋体"/>
                <w:kern w:val="0"/>
                <w:sz w:val="20"/>
                <w:szCs w:val="20"/>
              </w:rPr>
              <w:t>②</w:t>
            </w:r>
            <w:r>
              <w:rPr>
                <w:rFonts w:hint="eastAsia"/>
                <w:kern w:val="0"/>
                <w:sz w:val="20"/>
                <w:szCs w:val="20"/>
              </w:rPr>
              <w:t>相关资金管理制度是否合法、合规、完整；（</w:t>
            </w:r>
            <w:r>
              <w:rPr>
                <w:kern w:val="0"/>
                <w:sz w:val="20"/>
                <w:szCs w:val="20"/>
              </w:rPr>
              <w:t>0.5</w:t>
            </w:r>
            <w:r>
              <w:rPr>
                <w:rFonts w:hint="eastAsia"/>
                <w:kern w:val="0"/>
                <w:sz w:val="20"/>
                <w:szCs w:val="20"/>
              </w:rPr>
              <w:t>分）</w:t>
            </w:r>
          </w:p>
          <w:p>
            <w:pPr>
              <w:widowControl/>
              <w:rPr>
                <w:kern w:val="0"/>
                <w:sz w:val="20"/>
                <w:szCs w:val="20"/>
              </w:rPr>
            </w:pPr>
            <w:r>
              <w:rPr>
                <w:rFonts w:hint="eastAsia" w:ascii="宋体" w:hAnsi="宋体" w:cs="宋体"/>
                <w:kern w:val="0"/>
                <w:sz w:val="20"/>
                <w:szCs w:val="20"/>
              </w:rPr>
              <w:t>③</w:t>
            </w:r>
            <w:r>
              <w:rPr>
                <w:rFonts w:hint="eastAsia"/>
                <w:kern w:val="0"/>
                <w:sz w:val="20"/>
                <w:szCs w:val="20"/>
              </w:rPr>
              <w:t>相关资产管理制度是否得到有效执行。（</w:t>
            </w:r>
            <w:r>
              <w:rPr>
                <w:kern w:val="0"/>
                <w:sz w:val="20"/>
                <w:szCs w:val="20"/>
              </w:rPr>
              <w:t>0.5</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已制定且合法、</w:t>
            </w:r>
          </w:p>
          <w:p>
            <w:pPr>
              <w:widowControl/>
              <w:jc w:val="left"/>
              <w:rPr>
                <w:kern w:val="0"/>
                <w:sz w:val="20"/>
                <w:szCs w:val="20"/>
              </w:rPr>
            </w:pPr>
            <w:r>
              <w:rPr>
                <w:rFonts w:hint="eastAsia"/>
                <w:kern w:val="0"/>
                <w:sz w:val="20"/>
                <w:szCs w:val="20"/>
              </w:rPr>
              <w:t>合规、完整，并</w:t>
            </w:r>
          </w:p>
          <w:p>
            <w:pPr>
              <w:widowControl/>
              <w:jc w:val="left"/>
              <w:rPr>
                <w:rFonts w:hint="eastAsia" w:eastAsia="仿宋_GB2312"/>
                <w:lang w:eastAsia="zh-CN"/>
              </w:rPr>
            </w:pPr>
            <w:r>
              <w:rPr>
                <w:rFonts w:hint="eastAsia"/>
                <w:kern w:val="0"/>
                <w:sz w:val="20"/>
                <w:szCs w:val="20"/>
              </w:rPr>
              <w:t>得到有效执行</w:t>
            </w:r>
            <w:r>
              <w:rPr>
                <w:rFonts w:hint="eastAsia"/>
                <w:kern w:val="0"/>
                <w:sz w:val="20"/>
                <w:szCs w:val="20"/>
                <w:lang w:eastAsia="zh-CN"/>
              </w:rPr>
              <w:t>。</w:t>
            </w:r>
          </w:p>
        </w:tc>
      </w:tr>
      <w:tr>
        <w:trPr>
          <w:trHeight w:val="2198"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资产管理安全性（</w:t>
            </w:r>
            <w:r>
              <w:rPr>
                <w:kern w:val="0"/>
                <w:sz w:val="20"/>
                <w:szCs w:val="20"/>
              </w:rPr>
              <w:t>2</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部门（单位）的资产是否保存完整、使用合规、配置合理、处置规范、收入及时足额上缴，用以反映和考核部门（单位）资产安全运行情况。</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ascii="宋体" w:hAnsi="宋体" w:cs="宋体"/>
                <w:kern w:val="0"/>
                <w:sz w:val="20"/>
                <w:szCs w:val="20"/>
              </w:rPr>
              <w:t>①</w:t>
            </w:r>
            <w:r>
              <w:rPr>
                <w:rFonts w:hint="eastAsia"/>
                <w:kern w:val="0"/>
                <w:sz w:val="20"/>
                <w:szCs w:val="20"/>
              </w:rPr>
              <w:t>资产保存是否完整；（</w:t>
            </w:r>
            <w:r>
              <w:rPr>
                <w:kern w:val="0"/>
                <w:sz w:val="20"/>
                <w:szCs w:val="20"/>
              </w:rPr>
              <w:t>0.4</w:t>
            </w:r>
            <w:r>
              <w:rPr>
                <w:rFonts w:hint="eastAsia"/>
                <w:kern w:val="0"/>
                <w:sz w:val="20"/>
                <w:szCs w:val="20"/>
              </w:rPr>
              <w:t>分）</w:t>
            </w:r>
            <w:r>
              <w:rPr>
                <w:kern w:val="0"/>
                <w:sz w:val="20"/>
                <w:szCs w:val="20"/>
              </w:rPr>
              <w:br w:type="textWrapping"/>
            </w:r>
            <w:r>
              <w:rPr>
                <w:rFonts w:hint="eastAsia" w:ascii="宋体" w:hAnsi="宋体" w:cs="宋体"/>
                <w:kern w:val="0"/>
                <w:sz w:val="20"/>
                <w:szCs w:val="20"/>
              </w:rPr>
              <w:t>②</w:t>
            </w:r>
            <w:r>
              <w:rPr>
                <w:rFonts w:hint="eastAsia"/>
                <w:kern w:val="0"/>
                <w:sz w:val="20"/>
                <w:szCs w:val="20"/>
              </w:rPr>
              <w:t>资产配置是否合理；（</w:t>
            </w:r>
            <w:r>
              <w:rPr>
                <w:kern w:val="0"/>
                <w:sz w:val="20"/>
                <w:szCs w:val="20"/>
              </w:rPr>
              <w:t>0.4</w:t>
            </w:r>
            <w:r>
              <w:rPr>
                <w:rFonts w:hint="eastAsia"/>
                <w:kern w:val="0"/>
                <w:sz w:val="20"/>
                <w:szCs w:val="20"/>
              </w:rPr>
              <w:t>分）</w:t>
            </w:r>
            <w:r>
              <w:rPr>
                <w:kern w:val="0"/>
                <w:sz w:val="20"/>
                <w:szCs w:val="20"/>
              </w:rPr>
              <w:br w:type="textWrapping"/>
            </w:r>
            <w:r>
              <w:rPr>
                <w:rFonts w:hint="eastAsia" w:ascii="宋体" w:hAnsi="宋体" w:cs="宋体"/>
                <w:kern w:val="0"/>
                <w:sz w:val="20"/>
                <w:szCs w:val="20"/>
              </w:rPr>
              <w:t>③</w:t>
            </w:r>
            <w:r>
              <w:rPr>
                <w:rFonts w:hint="eastAsia"/>
                <w:kern w:val="0"/>
                <w:sz w:val="20"/>
                <w:szCs w:val="20"/>
              </w:rPr>
              <w:t>资产处置是否规范；（</w:t>
            </w:r>
            <w:r>
              <w:rPr>
                <w:kern w:val="0"/>
                <w:sz w:val="20"/>
                <w:szCs w:val="20"/>
              </w:rPr>
              <w:t>0.4</w:t>
            </w:r>
            <w:r>
              <w:rPr>
                <w:rFonts w:hint="eastAsia"/>
                <w:kern w:val="0"/>
                <w:sz w:val="20"/>
                <w:szCs w:val="20"/>
              </w:rPr>
              <w:t>分）</w:t>
            </w:r>
            <w:r>
              <w:rPr>
                <w:kern w:val="0"/>
                <w:sz w:val="20"/>
                <w:szCs w:val="20"/>
              </w:rPr>
              <w:br w:type="textWrapping"/>
            </w:r>
            <w:r>
              <w:rPr>
                <w:rFonts w:hint="eastAsia" w:ascii="宋体" w:hAnsi="宋体" w:cs="宋体"/>
                <w:kern w:val="0"/>
                <w:sz w:val="20"/>
                <w:szCs w:val="20"/>
              </w:rPr>
              <w:t>④</w:t>
            </w:r>
            <w:r>
              <w:rPr>
                <w:rFonts w:hint="eastAsia"/>
                <w:kern w:val="0"/>
                <w:sz w:val="20"/>
                <w:szCs w:val="20"/>
              </w:rPr>
              <w:t>资产账务管理是否合规，是否帐实相符；（</w:t>
            </w:r>
            <w:r>
              <w:rPr>
                <w:kern w:val="0"/>
                <w:sz w:val="20"/>
                <w:szCs w:val="20"/>
              </w:rPr>
              <w:t>0.4</w:t>
            </w:r>
            <w:r>
              <w:rPr>
                <w:rFonts w:hint="eastAsia"/>
                <w:kern w:val="0"/>
                <w:sz w:val="20"/>
                <w:szCs w:val="20"/>
              </w:rPr>
              <w:t>分）</w:t>
            </w:r>
            <w:r>
              <w:rPr>
                <w:kern w:val="0"/>
                <w:sz w:val="20"/>
                <w:szCs w:val="20"/>
              </w:rPr>
              <w:br w:type="textWrapping"/>
            </w:r>
            <w:r>
              <w:rPr>
                <w:rFonts w:hint="eastAsia" w:ascii="宋体" w:hAnsi="宋体" w:cs="宋体"/>
                <w:kern w:val="0"/>
                <w:sz w:val="20"/>
                <w:szCs w:val="20"/>
              </w:rPr>
              <w:t>⑤</w:t>
            </w:r>
            <w:r>
              <w:rPr>
                <w:rFonts w:hint="eastAsia"/>
                <w:kern w:val="0"/>
                <w:sz w:val="20"/>
                <w:szCs w:val="20"/>
              </w:rPr>
              <w:t>资产是否有偿使用及处置收入及时足额上缴。（</w:t>
            </w:r>
            <w:r>
              <w:rPr>
                <w:kern w:val="0"/>
                <w:sz w:val="20"/>
                <w:szCs w:val="20"/>
              </w:rPr>
              <w:t>0.4</w:t>
            </w:r>
            <w:r>
              <w:rPr>
                <w:rFonts w:hint="eastAsia"/>
                <w:kern w:val="0"/>
                <w:sz w:val="20"/>
                <w:szCs w:val="20"/>
              </w:rPr>
              <w:t>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eastAsia="宋体" w:cs="宋体"/>
                <w:kern w:val="0"/>
                <w:sz w:val="20"/>
                <w:szCs w:val="20"/>
              </w:rPr>
            </w:pPr>
            <w:r>
              <w:rPr>
                <w:rFonts w:hint="eastAsia"/>
                <w:kern w:val="0"/>
                <w:sz w:val="20"/>
                <w:szCs w:val="20"/>
              </w:rPr>
              <w:t>本</w:t>
            </w:r>
            <w:r>
              <w:rPr>
                <w:rFonts w:hint="eastAsia" w:ascii="宋体" w:hAnsi="宋体" w:cs="宋体"/>
                <w:kern w:val="0"/>
                <w:sz w:val="20"/>
                <w:szCs w:val="20"/>
              </w:rPr>
              <w:t>单位资产保存完</w:t>
            </w:r>
          </w:p>
          <w:p>
            <w:pPr>
              <w:widowControl/>
              <w:jc w:val="left"/>
              <w:rPr>
                <w:rFonts w:ascii="宋体" w:eastAsia="宋体" w:cs="宋体"/>
                <w:kern w:val="0"/>
                <w:sz w:val="20"/>
                <w:szCs w:val="20"/>
              </w:rPr>
            </w:pPr>
            <w:r>
              <w:rPr>
                <w:rFonts w:hint="eastAsia" w:ascii="宋体" w:hAnsi="宋体" w:cs="宋体"/>
                <w:kern w:val="0"/>
                <w:sz w:val="20"/>
                <w:szCs w:val="20"/>
              </w:rPr>
              <w:t>整、使用合规、配置</w:t>
            </w:r>
          </w:p>
          <w:p>
            <w:pPr>
              <w:widowControl/>
              <w:jc w:val="left"/>
              <w:rPr>
                <w:rFonts w:ascii="宋体" w:eastAsia="宋体" w:cs="宋体"/>
                <w:kern w:val="0"/>
                <w:sz w:val="20"/>
                <w:szCs w:val="20"/>
              </w:rPr>
            </w:pPr>
            <w:r>
              <w:rPr>
                <w:rFonts w:hint="eastAsia" w:ascii="宋体" w:hAnsi="宋体" w:cs="宋体"/>
                <w:kern w:val="0"/>
                <w:sz w:val="20"/>
                <w:szCs w:val="20"/>
              </w:rPr>
              <w:t>合理、处置规范</w:t>
            </w:r>
            <w:r>
              <w:rPr>
                <w:rFonts w:hint="eastAsia" w:ascii="宋体" w:hAnsi="宋体" w:cs="宋体"/>
                <w:kern w:val="0"/>
                <w:sz w:val="20"/>
                <w:szCs w:val="20"/>
                <w:lang w:eastAsia="zh-CN"/>
              </w:rPr>
              <w:t>，</w:t>
            </w:r>
            <w:r>
              <w:rPr>
                <w:rFonts w:hint="eastAsia" w:ascii="宋体" w:hAnsi="宋体" w:cs="宋体"/>
                <w:kern w:val="0"/>
                <w:sz w:val="20"/>
                <w:szCs w:val="20"/>
                <w:lang w:val="en-US" w:eastAsia="zh-CN"/>
              </w:rPr>
              <w:t>2022年无处置</w:t>
            </w:r>
            <w:r>
              <w:rPr>
                <w:rFonts w:hint="eastAsia" w:ascii="宋体" w:hAnsi="宋体" w:cs="宋体"/>
                <w:kern w:val="0"/>
                <w:sz w:val="20"/>
                <w:szCs w:val="20"/>
              </w:rPr>
              <w:t>收</w:t>
            </w:r>
          </w:p>
          <w:p>
            <w:pPr>
              <w:widowControl/>
              <w:jc w:val="left"/>
              <w:rPr>
                <w:rFonts w:hint="eastAsia" w:eastAsia="仿宋_GB2312"/>
                <w:kern w:val="0"/>
                <w:sz w:val="24"/>
                <w:lang w:eastAsia="zh-CN"/>
              </w:rPr>
            </w:pPr>
            <w:r>
              <w:rPr>
                <w:rFonts w:hint="eastAsia" w:ascii="宋体" w:hAnsi="宋体" w:cs="宋体"/>
                <w:kern w:val="0"/>
                <w:sz w:val="20"/>
                <w:szCs w:val="20"/>
              </w:rPr>
              <w:t>入。</w:t>
            </w:r>
            <w:r>
              <w:rPr>
                <w:rFonts w:hint="eastAsia" w:ascii="宋体" w:hAnsi="宋体" w:cs="宋体"/>
                <w:kern w:val="0"/>
                <w:sz w:val="20"/>
                <w:szCs w:val="20"/>
                <w:lang w:eastAsia="zh-CN"/>
              </w:rPr>
              <w:t>资产账务管理合规，帐实相符。</w:t>
            </w:r>
          </w:p>
        </w:tc>
      </w:tr>
      <w:tr>
        <w:tblPrEx>
          <w:tblCellMar>
            <w:top w:w="0" w:type="dxa"/>
            <w:left w:w="108" w:type="dxa"/>
            <w:bottom w:w="0" w:type="dxa"/>
            <w:right w:w="108" w:type="dxa"/>
          </w:tblCellMar>
        </w:tblPrEx>
        <w:trPr>
          <w:trHeight w:val="1691" w:hRule="atLeast"/>
        </w:trPr>
        <w:tc>
          <w:tcPr>
            <w:tcW w:w="362"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固定资产利用率（</w:t>
            </w:r>
            <w:r>
              <w:rPr>
                <w:kern w:val="0"/>
                <w:sz w:val="20"/>
                <w:szCs w:val="20"/>
              </w:rPr>
              <w:t>1</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部门（单位）实际在用固定资产总额与所有固定资产总额的比率，用以反映和考核部门（单位）固定资产使用效率程度。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固定资产利用率</w:t>
            </w:r>
            <w:r>
              <w:rPr>
                <w:kern w:val="0"/>
                <w:sz w:val="20"/>
                <w:szCs w:val="20"/>
              </w:rPr>
              <w:t>=</w:t>
            </w:r>
            <w:r>
              <w:rPr>
                <w:rFonts w:hint="eastAsia"/>
                <w:kern w:val="0"/>
                <w:sz w:val="20"/>
                <w:szCs w:val="20"/>
              </w:rPr>
              <w:t>（实际在用固定资产总额</w:t>
            </w:r>
            <w:r>
              <w:rPr>
                <w:kern w:val="0"/>
                <w:sz w:val="20"/>
                <w:szCs w:val="20"/>
              </w:rPr>
              <w:t>/</w:t>
            </w:r>
            <w:r>
              <w:rPr>
                <w:rFonts w:hint="eastAsia"/>
                <w:kern w:val="0"/>
                <w:sz w:val="20"/>
                <w:szCs w:val="20"/>
              </w:rPr>
              <w:t>所有固定资产总额）</w:t>
            </w:r>
            <w:r>
              <w:rPr>
                <w:kern w:val="0"/>
                <w:sz w:val="20"/>
                <w:szCs w:val="20"/>
              </w:rPr>
              <w:t>×100%</w:t>
            </w:r>
            <w:r>
              <w:rPr>
                <w:rFonts w:hint="eastAsia"/>
                <w:kern w:val="0"/>
                <w:sz w:val="20"/>
                <w:szCs w:val="20"/>
              </w:rPr>
              <w:t>。（利用率为</w:t>
            </w:r>
            <w:r>
              <w:rPr>
                <w:kern w:val="0"/>
                <w:sz w:val="20"/>
                <w:szCs w:val="20"/>
              </w:rPr>
              <w:t>100%</w:t>
            </w:r>
            <w:r>
              <w:rPr>
                <w:rFonts w:hint="eastAsia"/>
                <w:kern w:val="0"/>
                <w:sz w:val="20"/>
                <w:szCs w:val="20"/>
              </w:rPr>
              <w:t>的计</w:t>
            </w:r>
            <w:r>
              <w:rPr>
                <w:kern w:val="0"/>
                <w:sz w:val="20"/>
                <w:szCs w:val="20"/>
              </w:rPr>
              <w:t>1</w:t>
            </w:r>
            <w:r>
              <w:rPr>
                <w:rFonts w:hint="eastAsia"/>
                <w:kern w:val="0"/>
                <w:sz w:val="20"/>
                <w:szCs w:val="20"/>
              </w:rPr>
              <w:t>分，每降</w:t>
            </w:r>
            <w:r>
              <w:rPr>
                <w:kern w:val="0"/>
                <w:sz w:val="20"/>
                <w:szCs w:val="20"/>
              </w:rPr>
              <w:t>1</w:t>
            </w:r>
            <w:r>
              <w:rPr>
                <w:rFonts w:hint="eastAsia"/>
                <w:kern w:val="0"/>
                <w:sz w:val="20"/>
                <w:szCs w:val="20"/>
              </w:rPr>
              <w:t>个百分点扣</w:t>
            </w:r>
            <w:r>
              <w:rPr>
                <w:kern w:val="0"/>
                <w:sz w:val="20"/>
                <w:szCs w:val="20"/>
              </w:rPr>
              <w:t>0.1</w:t>
            </w:r>
            <w:r>
              <w:rPr>
                <w:rFonts w:hint="eastAsia"/>
                <w:kern w:val="0"/>
                <w:sz w:val="20"/>
                <w:szCs w:val="20"/>
              </w:rPr>
              <w:t>分，扣完为止）</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4"/>
              </w:rPr>
              <w:t>　</w:t>
            </w:r>
            <w:r>
              <w:rPr>
                <w:rFonts w:hint="eastAsia"/>
                <w:kern w:val="0"/>
                <w:sz w:val="20"/>
                <w:szCs w:val="20"/>
              </w:rPr>
              <w:t>固定资产利用率</w:t>
            </w:r>
            <w:r>
              <w:rPr>
                <w:kern w:val="0"/>
                <w:sz w:val="20"/>
                <w:szCs w:val="20"/>
              </w:rPr>
              <w:t>=</w:t>
            </w:r>
          </w:p>
          <w:p>
            <w:pPr>
              <w:widowControl/>
              <w:jc w:val="left"/>
              <w:rPr>
                <w:kern w:val="0"/>
                <w:sz w:val="24"/>
              </w:rPr>
            </w:pPr>
            <w:r>
              <w:rPr>
                <w:rFonts w:hint="eastAsia"/>
                <w:kern w:val="0"/>
                <w:sz w:val="20"/>
                <w:szCs w:val="20"/>
                <w:lang w:val="en-US" w:eastAsia="zh-CN"/>
              </w:rPr>
              <w:t>279</w:t>
            </w:r>
            <w:r>
              <w:rPr>
                <w:rFonts w:hint="eastAsia"/>
                <w:kern w:val="0"/>
                <w:sz w:val="20"/>
                <w:szCs w:val="20"/>
              </w:rPr>
              <w:t>万元</w:t>
            </w:r>
            <w:r>
              <w:rPr>
                <w:kern w:val="0"/>
                <w:sz w:val="20"/>
                <w:szCs w:val="20"/>
              </w:rPr>
              <w:t>/</w:t>
            </w:r>
            <w:r>
              <w:rPr>
                <w:rFonts w:hint="eastAsia"/>
                <w:kern w:val="0"/>
                <w:sz w:val="20"/>
                <w:szCs w:val="20"/>
                <w:lang w:val="en-US" w:eastAsia="zh-CN"/>
              </w:rPr>
              <w:t>279</w:t>
            </w:r>
            <w:r>
              <w:rPr>
                <w:rFonts w:hint="eastAsia"/>
                <w:kern w:val="0"/>
                <w:sz w:val="20"/>
                <w:szCs w:val="20"/>
              </w:rPr>
              <w:t>万元</w:t>
            </w:r>
            <w:r>
              <w:rPr>
                <w:kern w:val="0"/>
                <w:sz w:val="20"/>
                <w:szCs w:val="20"/>
              </w:rPr>
              <w:t>×100%=100%</w:t>
            </w:r>
          </w:p>
        </w:tc>
      </w:tr>
      <w:tr>
        <w:tblPrEx>
          <w:tblCellMar>
            <w:top w:w="0" w:type="dxa"/>
            <w:left w:w="108" w:type="dxa"/>
            <w:bottom w:w="0" w:type="dxa"/>
            <w:right w:w="108" w:type="dxa"/>
          </w:tblCellMar>
        </w:tblPrEx>
        <w:trPr>
          <w:trHeight w:val="2821" w:hRule="atLeast"/>
        </w:trPr>
        <w:tc>
          <w:tcPr>
            <w:tcW w:w="362"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kern w:val="0"/>
                <w:sz w:val="20"/>
                <w:szCs w:val="20"/>
              </w:rPr>
            </w:pPr>
            <w:r>
              <w:rPr>
                <w:rFonts w:hint="eastAsia"/>
                <w:kern w:val="0"/>
                <w:sz w:val="20"/>
                <w:szCs w:val="20"/>
              </w:rPr>
              <w:t>产出（</w:t>
            </w:r>
            <w:r>
              <w:rPr>
                <w:kern w:val="0"/>
                <w:sz w:val="20"/>
                <w:szCs w:val="20"/>
              </w:rPr>
              <w:t>30</w:t>
            </w:r>
            <w:r>
              <w:rPr>
                <w:rFonts w:hint="eastAsia"/>
                <w:kern w:val="0"/>
                <w:sz w:val="20"/>
                <w:szCs w:val="20"/>
              </w:rPr>
              <w:t>分）</w:t>
            </w:r>
          </w:p>
        </w:tc>
        <w:tc>
          <w:tcPr>
            <w:tcW w:w="330" w:type="pct"/>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职责履行（</w:t>
            </w:r>
            <w:r>
              <w:rPr>
                <w:spacing w:val="-20"/>
                <w:kern w:val="0"/>
                <w:sz w:val="20"/>
                <w:szCs w:val="20"/>
              </w:rPr>
              <w:t>30</w:t>
            </w:r>
            <w:r>
              <w:rPr>
                <w:rFonts w:hint="eastAsia"/>
                <w:spacing w:val="-20"/>
                <w:kern w:val="0"/>
                <w:sz w:val="20"/>
                <w:szCs w:val="20"/>
              </w:rPr>
              <w:t>分）</w:t>
            </w: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实际完成率（</w:t>
            </w:r>
            <w:r>
              <w:rPr>
                <w:kern w:val="0"/>
                <w:sz w:val="20"/>
                <w:szCs w:val="20"/>
              </w:rPr>
              <w:t>8</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部门（单位）履行职责而实际完成工作数与计划工作数的比率，用以反映和考核部门（单位）履职工作任务目标的实现程度。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实际完成率</w:t>
            </w:r>
            <w:r>
              <w:rPr>
                <w:kern w:val="0"/>
                <w:sz w:val="20"/>
                <w:szCs w:val="20"/>
              </w:rPr>
              <w:t>=</w:t>
            </w:r>
            <w:r>
              <w:rPr>
                <w:rFonts w:hint="eastAsia"/>
                <w:kern w:val="0"/>
                <w:sz w:val="20"/>
                <w:szCs w:val="20"/>
              </w:rPr>
              <w:t>（实际完成工作数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实际工作完成率</w:t>
            </w:r>
            <w:r>
              <w:rPr>
                <w:kern w:val="0"/>
                <w:sz w:val="20"/>
                <w:szCs w:val="20"/>
              </w:rPr>
              <w:t>*8</w:t>
            </w:r>
            <w:r>
              <w:rPr>
                <w:rFonts w:hint="eastAsia"/>
                <w:kern w:val="0"/>
                <w:sz w:val="20"/>
                <w:szCs w:val="20"/>
              </w:rPr>
              <w:t>分）</w:t>
            </w:r>
            <w:r>
              <w:rPr>
                <w:kern w:val="0"/>
                <w:sz w:val="20"/>
                <w:szCs w:val="20"/>
              </w:rPr>
              <w:br w:type="textWrapping"/>
            </w:r>
            <w:r>
              <w:rPr>
                <w:rFonts w:hint="eastAsia"/>
                <w:kern w:val="0"/>
                <w:sz w:val="20"/>
                <w:szCs w:val="20"/>
              </w:rPr>
              <w:t>实际完成工作数：一定时期（年度或规划期）内部门（单位）实际完成工作任务的数量。</w:t>
            </w:r>
            <w:r>
              <w:rPr>
                <w:kern w:val="0"/>
                <w:sz w:val="20"/>
                <w:szCs w:val="20"/>
              </w:rPr>
              <w:br w:type="textWrapping"/>
            </w:r>
            <w:r>
              <w:rPr>
                <w:rFonts w:hint="eastAsia"/>
                <w:kern w:val="0"/>
                <w:sz w:val="20"/>
                <w:szCs w:val="20"/>
              </w:rPr>
              <w:t>计划工作数：部门（单位）整体绩效目标确定的一定时期（年度或规划期）内预计完成工作任务的数量。</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8</w:t>
            </w:r>
          </w:p>
        </w:tc>
        <w:tc>
          <w:tcPr>
            <w:tcW w:w="341" w:type="pct"/>
            <w:tcBorders>
              <w:top w:val="nil"/>
              <w:left w:val="nil"/>
              <w:bottom w:val="single" w:color="auto" w:sz="4" w:space="0"/>
              <w:right w:val="single" w:color="auto" w:sz="4" w:space="0"/>
            </w:tcBorders>
            <w:noWrap/>
            <w:vAlign w:val="center"/>
          </w:tcPr>
          <w:p>
            <w:pPr>
              <w:widowControl/>
              <w:jc w:val="left"/>
              <w:rPr>
                <w:rFonts w:hint="eastAsia" w:eastAsia="仿宋_GB2312"/>
                <w:kern w:val="0"/>
                <w:sz w:val="20"/>
                <w:szCs w:val="20"/>
                <w:lang w:eastAsia="zh-CN"/>
              </w:rPr>
            </w:pPr>
            <w:r>
              <w:rPr>
                <w:rFonts w:hint="eastAsia"/>
                <w:kern w:val="0"/>
                <w:sz w:val="24"/>
              </w:rPr>
              <w:t>　</w:t>
            </w:r>
            <w:r>
              <w:rPr>
                <w:rFonts w:hint="eastAsia"/>
                <w:kern w:val="0"/>
                <w:sz w:val="20"/>
                <w:szCs w:val="20"/>
              </w:rPr>
              <w:t>实际完成率</w:t>
            </w:r>
            <w:r>
              <w:rPr>
                <w:kern w:val="0"/>
                <w:sz w:val="20"/>
                <w:szCs w:val="20"/>
              </w:rPr>
              <w:t>=</w:t>
            </w:r>
            <w:r>
              <w:rPr>
                <w:rFonts w:hint="eastAsia"/>
                <w:kern w:val="0"/>
                <w:sz w:val="20"/>
                <w:szCs w:val="20"/>
                <w:lang w:val="en-US" w:eastAsia="zh-CN"/>
              </w:rPr>
              <w:t>12</w:t>
            </w:r>
            <w:r>
              <w:rPr>
                <w:kern w:val="0"/>
                <w:sz w:val="20"/>
                <w:szCs w:val="20"/>
              </w:rPr>
              <w:t>/</w:t>
            </w:r>
            <w:r>
              <w:rPr>
                <w:rFonts w:hint="eastAsia"/>
                <w:kern w:val="0"/>
                <w:sz w:val="20"/>
                <w:szCs w:val="20"/>
                <w:lang w:val="en-US" w:eastAsia="zh-CN"/>
              </w:rPr>
              <w:t>12</w:t>
            </w:r>
            <w:r>
              <w:rPr>
                <w:kern w:val="0"/>
                <w:sz w:val="20"/>
                <w:szCs w:val="20"/>
              </w:rPr>
              <w:t>×100%</w:t>
            </w:r>
          </w:p>
          <w:p>
            <w:pPr>
              <w:widowControl/>
              <w:jc w:val="left"/>
              <w:rPr>
                <w:kern w:val="0"/>
                <w:sz w:val="20"/>
                <w:szCs w:val="20"/>
              </w:rPr>
            </w:pPr>
            <w:r>
              <w:rPr>
                <w:kern w:val="0"/>
                <w:sz w:val="20"/>
                <w:szCs w:val="20"/>
              </w:rPr>
              <w:t>=100%</w:t>
            </w:r>
          </w:p>
          <w:p>
            <w:pPr>
              <w:pStyle w:val="2"/>
            </w:pPr>
          </w:p>
        </w:tc>
      </w:tr>
      <w:tr>
        <w:tblPrEx>
          <w:tblCellMar>
            <w:top w:w="0" w:type="dxa"/>
            <w:left w:w="108" w:type="dxa"/>
            <w:bottom w:w="0" w:type="dxa"/>
            <w:right w:w="108" w:type="dxa"/>
          </w:tblCellMar>
        </w:tblPrEx>
        <w:trPr>
          <w:trHeight w:val="1732" w:hRule="atLeast"/>
        </w:trPr>
        <w:tc>
          <w:tcPr>
            <w:tcW w:w="362"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完成及时率（</w:t>
            </w:r>
            <w:r>
              <w:rPr>
                <w:kern w:val="0"/>
                <w:sz w:val="20"/>
                <w:szCs w:val="20"/>
              </w:rPr>
              <w:t>4</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部门（单位）在规定时限内及时完成的实际工作数与计划工作数的比率</w:t>
            </w:r>
            <w:r>
              <w:rPr>
                <w:kern w:val="0"/>
                <w:sz w:val="20"/>
                <w:szCs w:val="20"/>
              </w:rPr>
              <w:t>,</w:t>
            </w:r>
            <w:r>
              <w:rPr>
                <w:rFonts w:hint="eastAsia"/>
                <w:kern w:val="0"/>
                <w:sz w:val="20"/>
                <w:szCs w:val="20"/>
              </w:rPr>
              <w:t>用以反映和考核部门履职时效目标的实现程度。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完成及时率</w:t>
            </w:r>
            <w:r>
              <w:rPr>
                <w:kern w:val="0"/>
                <w:sz w:val="20"/>
                <w:szCs w:val="20"/>
              </w:rPr>
              <w:t>=</w:t>
            </w:r>
            <w:r>
              <w:rPr>
                <w:rFonts w:hint="eastAsia"/>
                <w:kern w:val="0"/>
                <w:sz w:val="20"/>
                <w:szCs w:val="20"/>
              </w:rPr>
              <w:t>（及时完成实际工作数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kern w:val="0"/>
                <w:sz w:val="20"/>
                <w:szCs w:val="20"/>
              </w:rPr>
              <w:t>1--4</w:t>
            </w:r>
            <w:r>
              <w:rPr>
                <w:rFonts w:hint="eastAsia"/>
                <w:kern w:val="0"/>
                <w:sz w:val="20"/>
                <w:szCs w:val="20"/>
              </w:rPr>
              <w:t>季度各得</w:t>
            </w:r>
            <w:r>
              <w:rPr>
                <w:kern w:val="0"/>
                <w:sz w:val="20"/>
                <w:szCs w:val="20"/>
              </w:rPr>
              <w:t>1</w:t>
            </w:r>
            <w:r>
              <w:rPr>
                <w:rFonts w:hint="eastAsia"/>
                <w:kern w:val="0"/>
                <w:sz w:val="20"/>
                <w:szCs w:val="20"/>
              </w:rPr>
              <w:t>分）</w:t>
            </w:r>
            <w:r>
              <w:rPr>
                <w:kern w:val="0"/>
                <w:sz w:val="20"/>
                <w:szCs w:val="20"/>
              </w:rPr>
              <w:br w:type="textWrapping"/>
            </w:r>
            <w:r>
              <w:rPr>
                <w:rFonts w:hint="eastAsia"/>
                <w:kern w:val="0"/>
                <w:sz w:val="20"/>
                <w:szCs w:val="20"/>
              </w:rPr>
              <w:t>及时完成实际工作数：部门（单位）按照整体绩效目标确定的时限实际完成的工作任务数量。</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rFonts w:hint="eastAsia" w:eastAsia="仿宋_GB2312"/>
                <w:kern w:val="0"/>
                <w:sz w:val="20"/>
                <w:szCs w:val="20"/>
                <w:lang w:eastAsia="zh-CN"/>
              </w:rPr>
            </w:pPr>
            <w:r>
              <w:rPr>
                <w:rFonts w:hint="eastAsia"/>
                <w:kern w:val="0"/>
                <w:sz w:val="24"/>
              </w:rPr>
              <w:t>　</w:t>
            </w:r>
            <w:r>
              <w:rPr>
                <w:rFonts w:hint="eastAsia"/>
                <w:kern w:val="0"/>
                <w:sz w:val="20"/>
                <w:szCs w:val="20"/>
              </w:rPr>
              <w:t>完成及时率</w:t>
            </w:r>
            <w:r>
              <w:rPr>
                <w:kern w:val="0"/>
                <w:sz w:val="20"/>
                <w:szCs w:val="20"/>
              </w:rPr>
              <w:t>=</w:t>
            </w:r>
            <w:r>
              <w:rPr>
                <w:rFonts w:hint="eastAsia"/>
                <w:kern w:val="0"/>
                <w:sz w:val="20"/>
                <w:szCs w:val="20"/>
                <w:lang w:val="en-US" w:eastAsia="zh-CN"/>
              </w:rPr>
              <w:t>12</w:t>
            </w:r>
            <w:r>
              <w:rPr>
                <w:kern w:val="0"/>
                <w:sz w:val="20"/>
                <w:szCs w:val="20"/>
              </w:rPr>
              <w:t>/</w:t>
            </w:r>
            <w:r>
              <w:rPr>
                <w:rFonts w:hint="eastAsia"/>
                <w:kern w:val="0"/>
                <w:sz w:val="20"/>
                <w:szCs w:val="20"/>
                <w:lang w:val="en-US" w:eastAsia="zh-CN"/>
              </w:rPr>
              <w:t>12</w:t>
            </w:r>
            <w:r>
              <w:rPr>
                <w:kern w:val="0"/>
                <w:sz w:val="20"/>
                <w:szCs w:val="20"/>
              </w:rPr>
              <w:t>×100%</w:t>
            </w:r>
          </w:p>
          <w:p>
            <w:pPr>
              <w:widowControl/>
              <w:jc w:val="left"/>
              <w:rPr>
                <w:kern w:val="0"/>
                <w:sz w:val="24"/>
              </w:rPr>
            </w:pPr>
            <w:r>
              <w:rPr>
                <w:kern w:val="0"/>
                <w:sz w:val="20"/>
                <w:szCs w:val="20"/>
              </w:rPr>
              <w:t>=100%</w:t>
            </w:r>
          </w:p>
        </w:tc>
      </w:tr>
      <w:tr>
        <w:trPr>
          <w:trHeight w:val="2267" w:hRule="atLeast"/>
        </w:trPr>
        <w:tc>
          <w:tcPr>
            <w:tcW w:w="362"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质量达标率（</w:t>
            </w:r>
            <w:r>
              <w:rPr>
                <w:kern w:val="0"/>
                <w:sz w:val="20"/>
                <w:szCs w:val="20"/>
              </w:rPr>
              <w:t>8</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达到质量标准（绩效标准值）的实际工作数与计划工作数的比率</w:t>
            </w:r>
            <w:r>
              <w:rPr>
                <w:kern w:val="0"/>
                <w:sz w:val="20"/>
                <w:szCs w:val="20"/>
              </w:rPr>
              <w:t>,</w:t>
            </w:r>
            <w:r>
              <w:rPr>
                <w:rFonts w:hint="eastAsia"/>
                <w:kern w:val="0"/>
                <w:sz w:val="20"/>
                <w:szCs w:val="20"/>
              </w:rPr>
              <w:t>用以反映和考核部门履职质量目标的实现程度。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达标率</w:t>
            </w:r>
            <w:r>
              <w:rPr>
                <w:kern w:val="0"/>
                <w:sz w:val="20"/>
                <w:szCs w:val="20"/>
              </w:rPr>
              <w:t>*8</w:t>
            </w:r>
            <w:r>
              <w:rPr>
                <w:rFonts w:hint="eastAsia"/>
                <w:kern w:val="0"/>
                <w:sz w:val="20"/>
                <w:szCs w:val="20"/>
              </w:rPr>
              <w:t>分）</w:t>
            </w:r>
            <w:r>
              <w:rPr>
                <w:kern w:val="0"/>
                <w:sz w:val="20"/>
                <w:szCs w:val="20"/>
              </w:rPr>
              <w:br w:type="textWrapping"/>
            </w:r>
            <w:r>
              <w:rPr>
                <w:rFonts w:hint="eastAsia"/>
                <w:kern w:val="0"/>
                <w:sz w:val="20"/>
                <w:szCs w:val="20"/>
              </w:rPr>
              <w:t>质量达标实际工作数：一定时期（年度或规划期）内部门（单位）实际完成工作数中达到部门绩效目标要求（绩效标准值）的工作任务数量。</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8</w:t>
            </w:r>
          </w:p>
        </w:tc>
        <w:tc>
          <w:tcPr>
            <w:tcW w:w="341" w:type="pct"/>
            <w:tcBorders>
              <w:top w:val="nil"/>
              <w:left w:val="nil"/>
              <w:bottom w:val="single" w:color="auto" w:sz="4" w:space="0"/>
              <w:right w:val="single" w:color="auto" w:sz="4" w:space="0"/>
            </w:tcBorders>
            <w:noWrap/>
            <w:vAlign w:val="center"/>
          </w:tcPr>
          <w:p>
            <w:pPr>
              <w:widowControl/>
              <w:jc w:val="left"/>
              <w:rPr>
                <w:rFonts w:hint="default" w:eastAsia="仿宋_GB2312"/>
                <w:kern w:val="0"/>
                <w:sz w:val="20"/>
                <w:szCs w:val="20"/>
                <w:lang w:val="en-US" w:eastAsia="zh-CN"/>
              </w:rPr>
            </w:pPr>
            <w:r>
              <w:rPr>
                <w:rFonts w:hint="eastAsia"/>
                <w:kern w:val="0"/>
                <w:sz w:val="24"/>
              </w:rPr>
              <w:t>　</w:t>
            </w:r>
            <w:r>
              <w:rPr>
                <w:rFonts w:hint="eastAsia"/>
                <w:kern w:val="0"/>
                <w:sz w:val="20"/>
                <w:szCs w:val="20"/>
              </w:rPr>
              <w:t>质量达标率</w:t>
            </w:r>
            <w:r>
              <w:rPr>
                <w:kern w:val="0"/>
                <w:sz w:val="20"/>
                <w:szCs w:val="20"/>
              </w:rPr>
              <w:t>=</w:t>
            </w:r>
            <w:r>
              <w:rPr>
                <w:rFonts w:hint="eastAsia"/>
                <w:kern w:val="0"/>
                <w:sz w:val="20"/>
                <w:szCs w:val="20"/>
                <w:lang w:val="en-US" w:eastAsia="zh-CN"/>
              </w:rPr>
              <w:t>12</w:t>
            </w:r>
            <w:r>
              <w:rPr>
                <w:kern w:val="0"/>
                <w:sz w:val="20"/>
                <w:szCs w:val="20"/>
              </w:rPr>
              <w:t>/</w:t>
            </w:r>
            <w:r>
              <w:rPr>
                <w:rFonts w:hint="eastAsia"/>
                <w:kern w:val="0"/>
                <w:sz w:val="20"/>
                <w:szCs w:val="20"/>
                <w:lang w:val="en-US" w:eastAsia="zh-CN"/>
              </w:rPr>
              <w:t>12</w:t>
            </w:r>
            <w:r>
              <w:rPr>
                <w:kern w:val="0"/>
                <w:sz w:val="20"/>
                <w:szCs w:val="20"/>
              </w:rPr>
              <w:t>×100%</w:t>
            </w:r>
          </w:p>
          <w:p>
            <w:pPr>
              <w:widowControl/>
              <w:jc w:val="left"/>
              <w:rPr>
                <w:kern w:val="0"/>
                <w:sz w:val="24"/>
              </w:rPr>
            </w:pPr>
            <w:r>
              <w:rPr>
                <w:kern w:val="0"/>
                <w:sz w:val="20"/>
                <w:szCs w:val="20"/>
              </w:rPr>
              <w:t>=100%</w:t>
            </w:r>
          </w:p>
        </w:tc>
      </w:tr>
      <w:tr>
        <w:tblPrEx>
          <w:tblCellMar>
            <w:top w:w="0" w:type="dxa"/>
            <w:left w:w="108" w:type="dxa"/>
            <w:bottom w:w="0" w:type="dxa"/>
            <w:right w:w="108" w:type="dxa"/>
          </w:tblCellMar>
        </w:tblPrEx>
        <w:trPr>
          <w:trHeight w:val="1867" w:hRule="atLeast"/>
        </w:trPr>
        <w:tc>
          <w:tcPr>
            <w:tcW w:w="362" w:type="pct"/>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重点工作办结率（</w:t>
            </w:r>
            <w:r>
              <w:rPr>
                <w:kern w:val="0"/>
                <w:sz w:val="20"/>
                <w:szCs w:val="20"/>
              </w:rPr>
              <w:t>10</w:t>
            </w:r>
            <w:r>
              <w:rPr>
                <w:rFonts w:hint="eastAsia"/>
                <w:kern w:val="0"/>
                <w:sz w:val="20"/>
                <w:szCs w:val="20"/>
              </w:rPr>
              <w:t>分）</w:t>
            </w:r>
          </w:p>
        </w:tc>
        <w:tc>
          <w:tcPr>
            <w:tcW w:w="1257"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部门（单位）年度重点工作实际完成数与交办或下达数的比率，用以反映部门（单位）对重点工作的办理落实程度。</w:t>
            </w:r>
          </w:p>
        </w:tc>
        <w:tc>
          <w:tcPr>
            <w:tcW w:w="1645" w:type="pct"/>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重点工作办结率</w:t>
            </w:r>
            <w:r>
              <w:rPr>
                <w:kern w:val="0"/>
                <w:sz w:val="20"/>
                <w:szCs w:val="20"/>
              </w:rPr>
              <w:t>=</w:t>
            </w:r>
            <w:r>
              <w:rPr>
                <w:rFonts w:hint="eastAsia"/>
                <w:kern w:val="0"/>
                <w:sz w:val="20"/>
                <w:szCs w:val="20"/>
              </w:rPr>
              <w:t>（重点工作实际完成数</w:t>
            </w:r>
            <w:r>
              <w:rPr>
                <w:kern w:val="0"/>
                <w:sz w:val="20"/>
                <w:szCs w:val="20"/>
              </w:rPr>
              <w:t>/</w:t>
            </w:r>
            <w:r>
              <w:rPr>
                <w:rFonts w:hint="eastAsia"/>
                <w:kern w:val="0"/>
                <w:sz w:val="20"/>
                <w:szCs w:val="20"/>
              </w:rPr>
              <w:t>交办或下达数）</w:t>
            </w:r>
            <w:r>
              <w:rPr>
                <w:kern w:val="0"/>
                <w:sz w:val="20"/>
                <w:szCs w:val="20"/>
              </w:rPr>
              <w:t>×100%</w:t>
            </w:r>
            <w:r>
              <w:rPr>
                <w:rFonts w:hint="eastAsia"/>
                <w:kern w:val="0"/>
                <w:sz w:val="20"/>
                <w:szCs w:val="20"/>
              </w:rPr>
              <w:t>。（实际得分</w:t>
            </w:r>
            <w:r>
              <w:rPr>
                <w:kern w:val="0"/>
                <w:sz w:val="20"/>
                <w:szCs w:val="20"/>
              </w:rPr>
              <w:t>=</w:t>
            </w:r>
            <w:r>
              <w:rPr>
                <w:rFonts w:hint="eastAsia"/>
                <w:kern w:val="0"/>
                <w:sz w:val="20"/>
                <w:szCs w:val="20"/>
              </w:rPr>
              <w:t>办结率</w:t>
            </w:r>
            <w:r>
              <w:rPr>
                <w:kern w:val="0"/>
                <w:sz w:val="20"/>
                <w:szCs w:val="20"/>
              </w:rPr>
              <w:t>*10</w:t>
            </w:r>
            <w:r>
              <w:rPr>
                <w:rFonts w:hint="eastAsia"/>
                <w:kern w:val="0"/>
                <w:sz w:val="20"/>
                <w:szCs w:val="20"/>
              </w:rPr>
              <w:t>分）</w:t>
            </w:r>
            <w:r>
              <w:rPr>
                <w:kern w:val="0"/>
                <w:sz w:val="20"/>
                <w:szCs w:val="20"/>
              </w:rPr>
              <w:br w:type="textWrapping"/>
            </w:r>
            <w:r>
              <w:rPr>
                <w:rFonts w:hint="eastAsia"/>
                <w:kern w:val="0"/>
                <w:sz w:val="20"/>
                <w:szCs w:val="20"/>
              </w:rPr>
              <w:t>重点工作是指党委、政府、人大、相关部门交办或下达的工作任务。</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10</w:t>
            </w:r>
          </w:p>
        </w:tc>
        <w:tc>
          <w:tcPr>
            <w:tcW w:w="341" w:type="pct"/>
            <w:tcBorders>
              <w:top w:val="nil"/>
              <w:left w:val="nil"/>
              <w:bottom w:val="single" w:color="auto" w:sz="4" w:space="0"/>
              <w:right w:val="single" w:color="auto" w:sz="4" w:space="0"/>
            </w:tcBorders>
            <w:noWrap/>
            <w:vAlign w:val="center"/>
          </w:tcPr>
          <w:p>
            <w:pPr>
              <w:widowControl/>
              <w:jc w:val="left"/>
              <w:rPr>
                <w:rFonts w:hint="default" w:eastAsia="仿宋_GB2312"/>
                <w:kern w:val="0"/>
                <w:sz w:val="20"/>
                <w:szCs w:val="20"/>
                <w:lang w:val="en-US" w:eastAsia="zh-CN"/>
              </w:rPr>
            </w:pPr>
            <w:r>
              <w:rPr>
                <w:rFonts w:hint="eastAsia"/>
                <w:kern w:val="0"/>
                <w:sz w:val="24"/>
              </w:rPr>
              <w:t>　</w:t>
            </w:r>
            <w:r>
              <w:rPr>
                <w:rFonts w:hint="eastAsia"/>
                <w:kern w:val="0"/>
                <w:sz w:val="20"/>
                <w:szCs w:val="20"/>
              </w:rPr>
              <w:t>重点工作办结率</w:t>
            </w:r>
            <w:r>
              <w:rPr>
                <w:kern w:val="0"/>
                <w:sz w:val="20"/>
                <w:szCs w:val="20"/>
              </w:rPr>
              <w:t>=</w:t>
            </w:r>
            <w:r>
              <w:rPr>
                <w:rFonts w:hint="eastAsia"/>
                <w:kern w:val="0"/>
                <w:sz w:val="20"/>
                <w:szCs w:val="20"/>
                <w:lang w:val="en-US" w:eastAsia="zh-CN"/>
              </w:rPr>
              <w:t>12</w:t>
            </w:r>
            <w:r>
              <w:rPr>
                <w:kern w:val="0"/>
                <w:sz w:val="20"/>
                <w:szCs w:val="20"/>
              </w:rPr>
              <w:t>/</w:t>
            </w:r>
            <w:r>
              <w:rPr>
                <w:rFonts w:hint="eastAsia"/>
                <w:kern w:val="0"/>
                <w:sz w:val="20"/>
                <w:szCs w:val="20"/>
                <w:lang w:val="en-US" w:eastAsia="zh-CN"/>
              </w:rPr>
              <w:t>12</w:t>
            </w:r>
            <w:r>
              <w:rPr>
                <w:kern w:val="0"/>
                <w:sz w:val="20"/>
                <w:szCs w:val="20"/>
              </w:rPr>
              <w:t>×100%</w:t>
            </w:r>
          </w:p>
          <w:p>
            <w:pPr>
              <w:widowControl/>
              <w:jc w:val="left"/>
              <w:rPr>
                <w:kern w:val="0"/>
                <w:sz w:val="24"/>
              </w:rPr>
            </w:pPr>
            <w:r>
              <w:rPr>
                <w:kern w:val="0"/>
                <w:sz w:val="20"/>
                <w:szCs w:val="20"/>
              </w:rPr>
              <w:t>=100%</w:t>
            </w:r>
          </w:p>
        </w:tc>
      </w:tr>
      <w:tr>
        <w:tblPrEx>
          <w:tblCellMar>
            <w:top w:w="0" w:type="dxa"/>
            <w:left w:w="108" w:type="dxa"/>
            <w:bottom w:w="0" w:type="dxa"/>
            <w:right w:w="108" w:type="dxa"/>
          </w:tblCellMar>
        </w:tblPrEx>
        <w:trPr>
          <w:trHeight w:val="989" w:hRule="atLeast"/>
        </w:trPr>
        <w:tc>
          <w:tcPr>
            <w:tcW w:w="362"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kern w:val="0"/>
                <w:sz w:val="20"/>
                <w:szCs w:val="20"/>
              </w:rPr>
            </w:pPr>
            <w:r>
              <w:rPr>
                <w:rFonts w:hint="eastAsia"/>
                <w:kern w:val="0"/>
                <w:sz w:val="20"/>
                <w:szCs w:val="20"/>
              </w:rPr>
              <w:t>效果（</w:t>
            </w:r>
            <w:r>
              <w:rPr>
                <w:kern w:val="0"/>
                <w:sz w:val="20"/>
                <w:szCs w:val="20"/>
              </w:rPr>
              <w:t>20</w:t>
            </w:r>
            <w:r>
              <w:rPr>
                <w:rFonts w:hint="eastAsia"/>
                <w:kern w:val="0"/>
                <w:sz w:val="20"/>
                <w:szCs w:val="20"/>
              </w:rPr>
              <w:t>分）</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spacing w:val="-20"/>
                <w:kern w:val="0"/>
                <w:sz w:val="20"/>
                <w:szCs w:val="20"/>
              </w:rPr>
            </w:pPr>
            <w:r>
              <w:rPr>
                <w:rFonts w:hint="eastAsia"/>
                <w:spacing w:val="-20"/>
                <w:kern w:val="0"/>
                <w:sz w:val="20"/>
                <w:szCs w:val="20"/>
              </w:rPr>
              <w:t>履职效益（</w:t>
            </w:r>
            <w:r>
              <w:rPr>
                <w:spacing w:val="-20"/>
                <w:kern w:val="0"/>
                <w:sz w:val="20"/>
                <w:szCs w:val="20"/>
              </w:rPr>
              <w:t>20</w:t>
            </w:r>
            <w:r>
              <w:rPr>
                <w:rFonts w:hint="eastAsia"/>
                <w:spacing w:val="-20"/>
                <w:kern w:val="0"/>
                <w:sz w:val="20"/>
                <w:szCs w:val="20"/>
              </w:rPr>
              <w:t>分）</w:t>
            </w:r>
          </w:p>
        </w:tc>
        <w:tc>
          <w:tcPr>
            <w:tcW w:w="586"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经济效益（</w:t>
            </w:r>
            <w:r>
              <w:rPr>
                <w:kern w:val="0"/>
                <w:sz w:val="20"/>
                <w:szCs w:val="20"/>
              </w:rPr>
              <w:t>5</w:t>
            </w:r>
            <w:r>
              <w:rPr>
                <w:rFonts w:hint="eastAsia"/>
                <w:kern w:val="0"/>
                <w:sz w:val="20"/>
                <w:szCs w:val="20"/>
              </w:rPr>
              <w:t>分）</w:t>
            </w:r>
          </w:p>
        </w:tc>
        <w:tc>
          <w:tcPr>
            <w:tcW w:w="125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部门（单位）履行职责对经济发展所带来的直接或间接影响。</w:t>
            </w:r>
          </w:p>
        </w:tc>
        <w:tc>
          <w:tcPr>
            <w:tcW w:w="164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此三项指标为部门整体支出绩效评价指标的共性要素，各单位按照部门整体支出绩效目标实现程度为依据。（按经济效益实现程度</w:t>
            </w:r>
            <w:r>
              <w:rPr>
                <w:kern w:val="0"/>
                <w:sz w:val="20"/>
                <w:szCs w:val="20"/>
              </w:rPr>
              <w:t>*5</w:t>
            </w:r>
            <w:r>
              <w:rPr>
                <w:rFonts w:hint="eastAsia"/>
                <w:kern w:val="0"/>
                <w:sz w:val="20"/>
                <w:szCs w:val="20"/>
              </w:rPr>
              <w:t>、社会效益实现程度</w:t>
            </w:r>
            <w:r>
              <w:rPr>
                <w:kern w:val="0"/>
                <w:sz w:val="20"/>
                <w:szCs w:val="20"/>
              </w:rPr>
              <w:t>*5</w:t>
            </w:r>
            <w:r>
              <w:rPr>
                <w:rFonts w:hint="eastAsia"/>
                <w:kern w:val="0"/>
                <w:sz w:val="20"/>
                <w:szCs w:val="20"/>
              </w:rPr>
              <w:t>、生态效益实现程度</w:t>
            </w:r>
            <w:r>
              <w:rPr>
                <w:kern w:val="0"/>
                <w:sz w:val="20"/>
                <w:szCs w:val="20"/>
              </w:rPr>
              <w:t>*5</w:t>
            </w:r>
            <w:r>
              <w:rPr>
                <w:rFonts w:hint="eastAsia"/>
                <w:kern w:val="0"/>
                <w:sz w:val="20"/>
                <w:szCs w:val="20"/>
              </w:rPr>
              <w:t>计算实际得分）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0"/>
                <w:szCs w:val="20"/>
                <w:lang w:eastAsia="zh-CN"/>
              </w:rPr>
            </w:pPr>
            <w:r>
              <w:rPr>
                <w:rFonts w:hint="eastAsia"/>
                <w:kern w:val="0"/>
                <w:sz w:val="20"/>
                <w:szCs w:val="20"/>
              </w:rPr>
              <w:t>促进运输</w:t>
            </w:r>
            <w:r>
              <w:rPr>
                <w:rFonts w:hint="eastAsia"/>
                <w:kern w:val="0"/>
                <w:sz w:val="20"/>
                <w:szCs w:val="20"/>
                <w:lang w:eastAsia="zh-CN"/>
              </w:rPr>
              <w:t>运输产业发</w:t>
            </w:r>
            <w:r>
              <w:rPr>
                <w:rFonts w:hint="eastAsia"/>
                <w:kern w:val="0"/>
                <w:sz w:val="20"/>
                <w:szCs w:val="20"/>
              </w:rPr>
              <w:t>展，</w:t>
            </w:r>
            <w:r>
              <w:rPr>
                <w:rFonts w:hint="eastAsia"/>
                <w:kern w:val="0"/>
                <w:sz w:val="20"/>
                <w:szCs w:val="20"/>
                <w:lang w:eastAsia="zh-CN"/>
              </w:rPr>
              <w:t>推进企业</w:t>
            </w:r>
            <w:r>
              <w:rPr>
                <w:rFonts w:hint="eastAsia"/>
                <w:kern w:val="0"/>
                <w:sz w:val="20"/>
                <w:szCs w:val="20"/>
              </w:rPr>
              <w:t>做大做强，降低运输成本</w:t>
            </w:r>
            <w:r>
              <w:rPr>
                <w:rFonts w:hint="eastAsia"/>
                <w:kern w:val="0"/>
                <w:sz w:val="20"/>
                <w:szCs w:val="20"/>
                <w:lang w:eastAsia="zh-CN"/>
              </w:rPr>
              <w:t>，</w:t>
            </w:r>
          </w:p>
          <w:p>
            <w:pPr>
              <w:widowControl/>
              <w:jc w:val="left"/>
              <w:rPr>
                <w:rFonts w:hint="eastAsia" w:eastAsia="仿宋_GB2312"/>
                <w:kern w:val="0"/>
                <w:sz w:val="20"/>
                <w:szCs w:val="20"/>
                <w:lang w:eastAsia="zh-CN"/>
              </w:rPr>
            </w:pPr>
            <w:r>
              <w:rPr>
                <w:rFonts w:hint="eastAsia"/>
                <w:kern w:val="0"/>
                <w:sz w:val="20"/>
                <w:szCs w:val="20"/>
                <w:lang w:eastAsia="zh-CN"/>
              </w:rPr>
              <w:t>确保公路运输总周转增速超全省平均水平。</w:t>
            </w:r>
          </w:p>
        </w:tc>
      </w:tr>
      <w:tr>
        <w:tblPrEx>
          <w:tblCellMar>
            <w:top w:w="0" w:type="dxa"/>
            <w:left w:w="108" w:type="dxa"/>
            <w:bottom w:w="0" w:type="dxa"/>
            <w:right w:w="108" w:type="dxa"/>
          </w:tblCellMar>
        </w:tblPrEx>
        <w:trPr>
          <w:trHeight w:val="1117" w:hRule="atLeast"/>
        </w:trPr>
        <w:tc>
          <w:tcPr>
            <w:tcW w:w="3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社会效益（</w:t>
            </w:r>
            <w:r>
              <w:rPr>
                <w:kern w:val="0"/>
                <w:sz w:val="20"/>
                <w:szCs w:val="20"/>
              </w:rPr>
              <w:t>5</w:t>
            </w:r>
            <w:r>
              <w:rPr>
                <w:rFonts w:hint="eastAsia"/>
                <w:kern w:val="0"/>
                <w:sz w:val="20"/>
                <w:szCs w:val="20"/>
              </w:rPr>
              <w:t>分）</w:t>
            </w:r>
          </w:p>
        </w:tc>
        <w:tc>
          <w:tcPr>
            <w:tcW w:w="125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部门（单位）履行职责对社会发展所带来的直接或间接影响。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0"/>
                <w:szCs w:val="20"/>
                <w:lang w:eastAsia="zh-CN"/>
              </w:rPr>
            </w:pPr>
            <w:r>
              <w:rPr>
                <w:rFonts w:hint="eastAsia"/>
                <w:kern w:val="0"/>
                <w:sz w:val="20"/>
                <w:szCs w:val="20"/>
              </w:rPr>
              <w:t>保障广大群众</w:t>
            </w:r>
            <w:r>
              <w:rPr>
                <w:rFonts w:hint="eastAsia"/>
                <w:kern w:val="0"/>
                <w:sz w:val="20"/>
                <w:szCs w:val="20"/>
                <w:lang w:eastAsia="zh-CN"/>
              </w:rPr>
              <w:t>多元化、个性化出行需求，</w:t>
            </w:r>
          </w:p>
          <w:p>
            <w:pPr>
              <w:widowControl/>
              <w:jc w:val="left"/>
              <w:rPr>
                <w:rFonts w:hint="eastAsia"/>
                <w:kern w:val="0"/>
                <w:sz w:val="20"/>
                <w:szCs w:val="20"/>
                <w:lang w:eastAsia="zh-CN"/>
              </w:rPr>
            </w:pPr>
            <w:r>
              <w:rPr>
                <w:rFonts w:hint="eastAsia"/>
                <w:kern w:val="0"/>
                <w:sz w:val="20"/>
                <w:szCs w:val="20"/>
                <w:lang w:eastAsia="zh-CN"/>
              </w:rPr>
              <w:t>创造</w:t>
            </w:r>
            <w:r>
              <w:rPr>
                <w:rFonts w:hint="eastAsia"/>
                <w:kern w:val="0"/>
                <w:sz w:val="20"/>
                <w:szCs w:val="20"/>
              </w:rPr>
              <w:t>安全、舒适、便捷</w:t>
            </w:r>
            <w:r>
              <w:rPr>
                <w:rFonts w:hint="eastAsia"/>
                <w:kern w:val="0"/>
                <w:sz w:val="20"/>
                <w:szCs w:val="20"/>
                <w:lang w:eastAsia="zh-CN"/>
              </w:rPr>
              <w:t>的道路</w:t>
            </w:r>
          </w:p>
          <w:p>
            <w:pPr>
              <w:widowControl/>
              <w:jc w:val="left"/>
              <w:rPr>
                <w:rFonts w:hint="eastAsia" w:eastAsia="仿宋_GB2312"/>
                <w:kern w:val="0"/>
                <w:sz w:val="20"/>
                <w:szCs w:val="20"/>
                <w:lang w:eastAsia="zh-CN"/>
              </w:rPr>
            </w:pPr>
            <w:r>
              <w:rPr>
                <w:rFonts w:hint="eastAsia"/>
                <w:kern w:val="0"/>
                <w:sz w:val="20"/>
                <w:szCs w:val="20"/>
                <w:lang w:eastAsia="zh-CN"/>
              </w:rPr>
              <w:t>运输</w:t>
            </w:r>
            <w:r>
              <w:rPr>
                <w:rFonts w:hint="eastAsia"/>
                <w:kern w:val="0"/>
                <w:sz w:val="20"/>
                <w:szCs w:val="20"/>
              </w:rPr>
              <w:t>出行</w:t>
            </w:r>
            <w:r>
              <w:rPr>
                <w:rFonts w:hint="eastAsia"/>
                <w:kern w:val="0"/>
                <w:sz w:val="20"/>
                <w:szCs w:val="20"/>
                <w:lang w:eastAsia="zh-CN"/>
              </w:rPr>
              <w:t>方式。</w:t>
            </w:r>
          </w:p>
        </w:tc>
      </w:tr>
      <w:tr>
        <w:trPr>
          <w:trHeight w:val="991" w:hRule="atLeast"/>
        </w:trPr>
        <w:tc>
          <w:tcPr>
            <w:tcW w:w="3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生态效益（</w:t>
            </w:r>
            <w:r>
              <w:rPr>
                <w:kern w:val="0"/>
                <w:sz w:val="20"/>
                <w:szCs w:val="20"/>
              </w:rPr>
              <w:t>5</w:t>
            </w:r>
            <w:r>
              <w:rPr>
                <w:rFonts w:hint="eastAsia"/>
                <w:kern w:val="0"/>
                <w:sz w:val="20"/>
                <w:szCs w:val="20"/>
              </w:rPr>
              <w:t>分）</w:t>
            </w:r>
          </w:p>
        </w:tc>
        <w:tc>
          <w:tcPr>
            <w:tcW w:w="125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部门（单位）履行职责对生态环境所带来的直接或间接影响。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rPr>
              <w:t>　加快城乡统筹发展</w:t>
            </w:r>
          </w:p>
          <w:p>
            <w:pPr>
              <w:widowControl/>
              <w:jc w:val="left"/>
              <w:rPr>
                <w:kern w:val="0"/>
                <w:sz w:val="20"/>
                <w:szCs w:val="20"/>
              </w:rPr>
            </w:pPr>
            <w:r>
              <w:rPr>
                <w:rFonts w:hint="eastAsia"/>
                <w:kern w:val="0"/>
                <w:sz w:val="20"/>
                <w:szCs w:val="20"/>
              </w:rPr>
              <w:t>逐步实现城乡交通运</w:t>
            </w:r>
          </w:p>
          <w:p>
            <w:pPr>
              <w:widowControl/>
              <w:jc w:val="left"/>
            </w:pPr>
            <w:r>
              <w:rPr>
                <w:rFonts w:hint="eastAsia"/>
                <w:kern w:val="0"/>
                <w:sz w:val="20"/>
                <w:szCs w:val="20"/>
              </w:rPr>
              <w:t>输一体化</w:t>
            </w:r>
          </w:p>
        </w:tc>
      </w:tr>
      <w:tr>
        <w:tblPrEx>
          <w:tblCellMar>
            <w:top w:w="0" w:type="dxa"/>
            <w:left w:w="108" w:type="dxa"/>
            <w:bottom w:w="0" w:type="dxa"/>
            <w:right w:w="108" w:type="dxa"/>
          </w:tblCellMar>
        </w:tblPrEx>
        <w:trPr>
          <w:trHeight w:val="1687" w:hRule="atLeast"/>
        </w:trPr>
        <w:tc>
          <w:tcPr>
            <w:tcW w:w="3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社会公众或服务对象满意度（</w:t>
            </w:r>
            <w:r>
              <w:rPr>
                <w:kern w:val="0"/>
                <w:sz w:val="20"/>
                <w:szCs w:val="20"/>
              </w:rPr>
              <w:t>5</w:t>
            </w:r>
            <w:r>
              <w:rPr>
                <w:rFonts w:hint="eastAsia"/>
                <w:kern w:val="0"/>
                <w:sz w:val="20"/>
                <w:szCs w:val="20"/>
              </w:rPr>
              <w:t>分）</w:t>
            </w:r>
          </w:p>
        </w:tc>
        <w:tc>
          <w:tcPr>
            <w:tcW w:w="1257"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社会公众或部门（单位）的服务对象对部门履职效果的满意程度。</w:t>
            </w:r>
          </w:p>
        </w:tc>
        <w:tc>
          <w:tcPr>
            <w:tcW w:w="1645" w:type="pct"/>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社会公众或服务对象是指部门（单位）履行职责而影响到的部门、群体或个人。一般采取社会调查的方式。（按收到的服务对象的满意率计算得分）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rFonts w:hint="eastAsia"/>
                <w:kern w:val="0"/>
                <w:sz w:val="24"/>
              </w:rPr>
              <w:t>　</w:t>
            </w:r>
            <w:r>
              <w:rPr>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hint="eastAsia" w:eastAsia="仿宋_GB2312"/>
                <w:kern w:val="0"/>
                <w:sz w:val="20"/>
                <w:szCs w:val="20"/>
                <w:lang w:eastAsia="zh-CN"/>
              </w:rPr>
            </w:pPr>
            <w:r>
              <w:rPr>
                <w:rFonts w:hint="eastAsia"/>
                <w:kern w:val="0"/>
                <w:sz w:val="24"/>
              </w:rPr>
              <w:t>　</w:t>
            </w:r>
            <w:r>
              <w:rPr>
                <w:rFonts w:hint="eastAsia"/>
                <w:kern w:val="0"/>
                <w:sz w:val="20"/>
                <w:szCs w:val="20"/>
              </w:rPr>
              <w:t>服务对象对</w:t>
            </w:r>
            <w:r>
              <w:rPr>
                <w:rFonts w:hint="eastAsia"/>
                <w:kern w:val="0"/>
                <w:sz w:val="20"/>
                <w:szCs w:val="20"/>
                <w:lang w:eastAsia="zh-CN"/>
              </w:rPr>
              <w:t>本单位</w:t>
            </w:r>
          </w:p>
          <w:p>
            <w:pPr>
              <w:widowControl/>
              <w:jc w:val="left"/>
              <w:rPr>
                <w:kern w:val="0"/>
                <w:sz w:val="20"/>
                <w:szCs w:val="20"/>
              </w:rPr>
            </w:pPr>
            <w:r>
              <w:rPr>
                <w:rFonts w:hint="eastAsia"/>
                <w:kern w:val="0"/>
                <w:sz w:val="20"/>
                <w:szCs w:val="20"/>
              </w:rPr>
              <w:t>履职效果的满意程</w:t>
            </w:r>
          </w:p>
          <w:p>
            <w:pPr>
              <w:widowControl/>
              <w:jc w:val="left"/>
              <w:rPr>
                <w:kern w:val="0"/>
                <w:sz w:val="24"/>
              </w:rPr>
            </w:pPr>
            <w:r>
              <w:rPr>
                <w:rFonts w:hint="eastAsia"/>
                <w:kern w:val="0"/>
                <w:sz w:val="20"/>
                <w:szCs w:val="20"/>
              </w:rPr>
              <w:t>度达到</w:t>
            </w:r>
            <w:r>
              <w:rPr>
                <w:kern w:val="0"/>
                <w:sz w:val="20"/>
                <w:szCs w:val="20"/>
              </w:rPr>
              <w:t>90%</w:t>
            </w:r>
            <w:r>
              <w:rPr>
                <w:rFonts w:hint="eastAsia"/>
                <w:kern w:val="0"/>
                <w:sz w:val="20"/>
                <w:szCs w:val="20"/>
              </w:rPr>
              <w:t>以上。</w:t>
            </w:r>
          </w:p>
        </w:tc>
      </w:tr>
      <w:tr>
        <w:tblPrEx>
          <w:tblCellMar>
            <w:top w:w="0" w:type="dxa"/>
            <w:left w:w="108" w:type="dxa"/>
            <w:bottom w:w="0" w:type="dxa"/>
            <w:right w:w="108" w:type="dxa"/>
          </w:tblCellMar>
        </w:tblPrEx>
        <w:trPr>
          <w:trHeight w:val="90" w:hRule="atLeast"/>
        </w:trPr>
        <w:tc>
          <w:tcPr>
            <w:tcW w:w="4180"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rPr>
              <w:t>合计</w:t>
            </w:r>
          </w:p>
        </w:tc>
        <w:tc>
          <w:tcPr>
            <w:tcW w:w="479"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9</w:t>
            </w:r>
            <w:r>
              <w:rPr>
                <w:rFonts w:hint="eastAsia"/>
                <w:kern w:val="0"/>
                <w:sz w:val="24"/>
                <w:lang w:val="en-US" w:eastAsia="zh-CN"/>
              </w:rPr>
              <w:t>6</w:t>
            </w:r>
            <w:r>
              <w:rPr>
                <w:rFonts w:hint="eastAsia"/>
                <w:kern w:val="0"/>
                <w:sz w:val="24"/>
              </w:rPr>
              <w:t>分</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p>
        </w:tc>
      </w:tr>
    </w:tbl>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rPr>
          <w:rFonts w:hint="eastAsia"/>
        </w:rPr>
      </w:pPr>
    </w:p>
    <w:p>
      <w:pPr>
        <w:spacing w:line="620" w:lineRule="exact"/>
      </w:pPr>
      <w:r>
        <w:rPr>
          <w:rFonts w:hint="eastAsia"/>
        </w:rPr>
        <w:t>附件</w:t>
      </w:r>
      <w:r>
        <w:t>2</w:t>
      </w:r>
    </w:p>
    <w:p>
      <w:pPr>
        <w:spacing w:line="620" w:lineRule="exact"/>
        <w:ind w:firstLine="540" w:firstLineChars="150"/>
        <w:rPr>
          <w:rFonts w:ascii="黑体" w:hAnsi="黑体" w:eastAsia="黑体"/>
          <w:color w:val="000000"/>
          <w:kern w:val="0"/>
          <w:sz w:val="36"/>
          <w:szCs w:val="36"/>
        </w:rPr>
      </w:pPr>
      <w:r>
        <w:rPr>
          <w:rFonts w:ascii="黑体" w:hAnsi="黑体" w:eastAsia="黑体"/>
          <w:color w:val="000000"/>
          <w:kern w:val="0"/>
          <w:sz w:val="36"/>
          <w:szCs w:val="36"/>
        </w:rPr>
        <w:t>202</w:t>
      </w:r>
      <w:r>
        <w:rPr>
          <w:rFonts w:hint="eastAsia" w:ascii="黑体" w:hAnsi="黑体" w:eastAsia="黑体"/>
          <w:color w:val="000000"/>
          <w:kern w:val="0"/>
          <w:sz w:val="36"/>
          <w:szCs w:val="36"/>
          <w:lang w:val="en-US" w:eastAsia="zh-CN"/>
        </w:rPr>
        <w:t>2</w:t>
      </w:r>
      <w:r>
        <w:rPr>
          <w:rFonts w:hint="eastAsia" w:ascii="黑体" w:hAnsi="黑体" w:eastAsia="黑体"/>
          <w:color w:val="000000"/>
          <w:kern w:val="0"/>
          <w:sz w:val="36"/>
          <w:szCs w:val="36"/>
        </w:rPr>
        <w:t>年度市本级部门整体支出绩效目标完成情况表</w:t>
      </w:r>
    </w:p>
    <w:p>
      <w:pPr>
        <w:pStyle w:val="2"/>
      </w:pPr>
    </w:p>
    <w:tbl>
      <w:tblPr>
        <w:tblStyle w:val="6"/>
        <w:tblW w:w="50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045"/>
        <w:gridCol w:w="1242"/>
        <w:gridCol w:w="882"/>
        <w:gridCol w:w="461"/>
        <w:gridCol w:w="1368"/>
        <w:gridCol w:w="178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83" w:type="pct"/>
            <w:noWrap/>
            <w:vAlign w:val="center"/>
          </w:tcPr>
          <w:p>
            <w:pPr>
              <w:widowControl/>
              <w:jc w:val="center"/>
              <w:rPr>
                <w:color w:val="000000"/>
                <w:kern w:val="0"/>
                <w:sz w:val="18"/>
                <w:szCs w:val="18"/>
              </w:rPr>
            </w:pPr>
            <w:r>
              <w:rPr>
                <w:rFonts w:hint="eastAsia"/>
                <w:color w:val="000000"/>
                <w:kern w:val="0"/>
                <w:sz w:val="18"/>
                <w:szCs w:val="18"/>
              </w:rPr>
              <w:t>部门（单位）名称</w:t>
            </w:r>
          </w:p>
        </w:tc>
        <w:tc>
          <w:tcPr>
            <w:tcW w:w="2744" w:type="pct"/>
            <w:gridSpan w:val="5"/>
            <w:noWrap/>
            <w:vAlign w:val="center"/>
          </w:tcPr>
          <w:p>
            <w:pPr>
              <w:widowControl/>
              <w:jc w:val="center"/>
              <w:rPr>
                <w:rFonts w:hint="eastAsia" w:eastAsia="仿宋_GB2312"/>
                <w:color w:val="000000"/>
                <w:kern w:val="0"/>
                <w:sz w:val="18"/>
                <w:szCs w:val="18"/>
                <w:lang w:eastAsia="zh-CN"/>
              </w:rPr>
            </w:pPr>
            <w:r>
              <w:rPr>
                <w:rFonts w:hint="eastAsia"/>
                <w:color w:val="000000"/>
                <w:kern w:val="0"/>
                <w:sz w:val="18"/>
                <w:szCs w:val="18"/>
              </w:rPr>
              <w:t>资阳市道路运输</w:t>
            </w:r>
            <w:r>
              <w:rPr>
                <w:rFonts w:hint="eastAsia"/>
                <w:color w:val="000000"/>
                <w:kern w:val="0"/>
                <w:sz w:val="18"/>
                <w:szCs w:val="18"/>
                <w:lang w:eastAsia="zh-CN"/>
              </w:rPr>
              <w:t>发展中心</w:t>
            </w:r>
          </w:p>
        </w:tc>
        <w:tc>
          <w:tcPr>
            <w:tcW w:w="982" w:type="pct"/>
            <w:noWrap/>
            <w:vAlign w:val="center"/>
          </w:tcPr>
          <w:p>
            <w:pPr>
              <w:widowControl/>
              <w:jc w:val="center"/>
              <w:rPr>
                <w:color w:val="000000"/>
                <w:kern w:val="0"/>
                <w:sz w:val="18"/>
                <w:szCs w:val="18"/>
              </w:rPr>
            </w:pPr>
            <w:r>
              <w:rPr>
                <w:rFonts w:hint="eastAsia"/>
                <w:color w:val="000000"/>
                <w:kern w:val="0"/>
                <w:sz w:val="18"/>
                <w:szCs w:val="18"/>
              </w:rPr>
              <w:t>预算单位编码</w:t>
            </w:r>
          </w:p>
        </w:tc>
        <w:tc>
          <w:tcPr>
            <w:tcW w:w="791"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140006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83" w:type="pct"/>
            <w:vMerge w:val="restart"/>
            <w:noWrap/>
            <w:vAlign w:val="center"/>
          </w:tcPr>
          <w:p>
            <w:pPr>
              <w:widowControl/>
              <w:jc w:val="center"/>
              <w:rPr>
                <w:color w:val="000000"/>
                <w:kern w:val="0"/>
                <w:sz w:val="18"/>
                <w:szCs w:val="18"/>
              </w:rPr>
            </w:pPr>
            <w:r>
              <w:rPr>
                <w:rFonts w:hint="eastAsia"/>
                <w:color w:val="000000"/>
                <w:kern w:val="0"/>
                <w:sz w:val="18"/>
                <w:szCs w:val="18"/>
              </w:rPr>
              <w:t>预算执行情况</w:t>
            </w:r>
          </w:p>
        </w:tc>
        <w:tc>
          <w:tcPr>
            <w:tcW w:w="574" w:type="pct"/>
            <w:noWrap/>
            <w:vAlign w:val="center"/>
          </w:tcPr>
          <w:p>
            <w:pPr>
              <w:widowControl/>
              <w:jc w:val="center"/>
              <w:rPr>
                <w:color w:val="000000"/>
                <w:kern w:val="0"/>
                <w:sz w:val="18"/>
                <w:szCs w:val="18"/>
              </w:rPr>
            </w:pPr>
            <w:r>
              <w:rPr>
                <w:rFonts w:hint="eastAsia"/>
                <w:color w:val="000000"/>
                <w:kern w:val="0"/>
                <w:sz w:val="18"/>
                <w:szCs w:val="18"/>
              </w:rPr>
              <w:t>项目</w:t>
            </w:r>
          </w:p>
        </w:tc>
        <w:tc>
          <w:tcPr>
            <w:tcW w:w="682" w:type="pct"/>
            <w:noWrap/>
            <w:vAlign w:val="center"/>
          </w:tcPr>
          <w:p>
            <w:pPr>
              <w:widowControl/>
              <w:jc w:val="center"/>
              <w:rPr>
                <w:color w:val="000000"/>
                <w:kern w:val="0"/>
                <w:sz w:val="18"/>
                <w:szCs w:val="18"/>
              </w:rPr>
            </w:pPr>
            <w:r>
              <w:rPr>
                <w:rFonts w:hint="eastAsia"/>
                <w:color w:val="000000"/>
                <w:kern w:val="0"/>
                <w:sz w:val="18"/>
                <w:szCs w:val="18"/>
              </w:rPr>
              <w:t>预算额</w:t>
            </w:r>
            <w:r>
              <w:rPr>
                <w:color w:val="000000"/>
                <w:kern w:val="0"/>
                <w:sz w:val="18"/>
                <w:szCs w:val="18"/>
              </w:rPr>
              <w:t>(</w:t>
            </w:r>
            <w:r>
              <w:rPr>
                <w:rFonts w:hint="eastAsia"/>
                <w:color w:val="000000"/>
                <w:kern w:val="0"/>
                <w:sz w:val="18"/>
                <w:szCs w:val="18"/>
              </w:rPr>
              <w:t>百元</w:t>
            </w:r>
            <w:r>
              <w:rPr>
                <w:color w:val="000000"/>
                <w:kern w:val="0"/>
                <w:sz w:val="18"/>
                <w:szCs w:val="18"/>
              </w:rPr>
              <w:t>)</w:t>
            </w:r>
          </w:p>
        </w:tc>
        <w:tc>
          <w:tcPr>
            <w:tcW w:w="737" w:type="pct"/>
            <w:gridSpan w:val="2"/>
            <w:noWrap/>
            <w:vAlign w:val="center"/>
          </w:tcPr>
          <w:p>
            <w:pPr>
              <w:widowControl/>
              <w:jc w:val="center"/>
              <w:rPr>
                <w:color w:val="000000"/>
                <w:kern w:val="0"/>
                <w:sz w:val="18"/>
                <w:szCs w:val="18"/>
              </w:rPr>
            </w:pPr>
            <w:r>
              <w:rPr>
                <w:rFonts w:hint="eastAsia"/>
                <w:color w:val="000000"/>
                <w:kern w:val="0"/>
                <w:sz w:val="18"/>
                <w:szCs w:val="18"/>
              </w:rPr>
              <w:t>执行额</w:t>
            </w:r>
            <w:r>
              <w:rPr>
                <w:color w:val="000000"/>
                <w:kern w:val="0"/>
                <w:sz w:val="18"/>
                <w:szCs w:val="18"/>
              </w:rPr>
              <w:t>(</w:t>
            </w:r>
            <w:r>
              <w:rPr>
                <w:rFonts w:hint="eastAsia"/>
                <w:color w:val="000000"/>
                <w:kern w:val="0"/>
                <w:sz w:val="18"/>
                <w:szCs w:val="18"/>
              </w:rPr>
              <w:t>百元</w:t>
            </w:r>
            <w:r>
              <w:rPr>
                <w:color w:val="000000"/>
                <w:kern w:val="0"/>
                <w:sz w:val="18"/>
                <w:szCs w:val="18"/>
              </w:rPr>
              <w:t>)</w:t>
            </w:r>
          </w:p>
        </w:tc>
        <w:tc>
          <w:tcPr>
            <w:tcW w:w="751" w:type="pct"/>
            <w:noWrap/>
            <w:vAlign w:val="center"/>
          </w:tcPr>
          <w:p>
            <w:pPr>
              <w:widowControl/>
              <w:jc w:val="center"/>
              <w:rPr>
                <w:color w:val="000000"/>
                <w:kern w:val="0"/>
                <w:sz w:val="18"/>
                <w:szCs w:val="18"/>
              </w:rPr>
            </w:pPr>
            <w:r>
              <w:rPr>
                <w:rFonts w:hint="eastAsia"/>
                <w:color w:val="000000"/>
                <w:kern w:val="0"/>
                <w:sz w:val="18"/>
                <w:szCs w:val="18"/>
              </w:rPr>
              <w:t>当年结转结余额</w:t>
            </w:r>
            <w:r>
              <w:rPr>
                <w:color w:val="000000"/>
                <w:kern w:val="0"/>
                <w:sz w:val="18"/>
                <w:szCs w:val="18"/>
              </w:rPr>
              <w:t>(</w:t>
            </w:r>
            <w:r>
              <w:rPr>
                <w:rFonts w:hint="eastAsia"/>
                <w:color w:val="000000"/>
                <w:kern w:val="0"/>
                <w:sz w:val="18"/>
                <w:szCs w:val="18"/>
              </w:rPr>
              <w:t>百元</w:t>
            </w:r>
            <w:r>
              <w:rPr>
                <w:color w:val="000000"/>
                <w:kern w:val="0"/>
                <w:sz w:val="18"/>
                <w:szCs w:val="18"/>
              </w:rPr>
              <w:t>)</w:t>
            </w:r>
          </w:p>
        </w:tc>
        <w:tc>
          <w:tcPr>
            <w:tcW w:w="982" w:type="pct"/>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791" w:type="pct"/>
            <w:noWrap/>
            <w:vAlign w:val="center"/>
          </w:tcPr>
          <w:p>
            <w:pPr>
              <w:widowControl/>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jc w:val="center"/>
              <w:rPr>
                <w:color w:val="000000"/>
                <w:kern w:val="0"/>
                <w:sz w:val="18"/>
                <w:szCs w:val="18"/>
              </w:rPr>
            </w:pPr>
            <w:r>
              <w:rPr>
                <w:rFonts w:hint="eastAsia"/>
                <w:color w:val="000000"/>
                <w:kern w:val="0"/>
                <w:sz w:val="18"/>
                <w:szCs w:val="18"/>
              </w:rPr>
              <w:t>合计</w:t>
            </w:r>
          </w:p>
        </w:tc>
        <w:tc>
          <w:tcPr>
            <w:tcW w:w="682"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lang w:val="en-US" w:eastAsia="zh-CN"/>
              </w:rPr>
              <w:t>63581.3675</w:t>
            </w:r>
          </w:p>
        </w:tc>
        <w:tc>
          <w:tcPr>
            <w:tcW w:w="737" w:type="pct"/>
            <w:gridSpan w:val="2"/>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63581.3675</w:t>
            </w:r>
          </w:p>
        </w:tc>
        <w:tc>
          <w:tcPr>
            <w:tcW w:w="751" w:type="pct"/>
            <w:noWrap/>
            <w:vAlign w:val="center"/>
          </w:tcPr>
          <w:p>
            <w:pPr>
              <w:widowControl/>
              <w:jc w:val="left"/>
              <w:rPr>
                <w:rFonts w:hint="eastAsia" w:eastAsia="仿宋_GB2312"/>
                <w:color w:val="000000"/>
                <w:kern w:val="0"/>
                <w:sz w:val="18"/>
                <w:szCs w:val="18"/>
                <w:lang w:val="en-US" w:eastAsia="zh-CN"/>
              </w:rPr>
            </w:pPr>
            <w:r>
              <w:rPr>
                <w:rFonts w:hint="eastAsia"/>
                <w:color w:val="000000"/>
                <w:kern w:val="0"/>
                <w:sz w:val="18"/>
                <w:szCs w:val="18"/>
                <w:lang w:val="en-US" w:eastAsia="zh-CN"/>
              </w:rPr>
              <w:t>0</w:t>
            </w:r>
          </w:p>
        </w:tc>
        <w:tc>
          <w:tcPr>
            <w:tcW w:w="982" w:type="pct"/>
            <w:noWrap/>
            <w:vAlign w:val="center"/>
          </w:tcPr>
          <w:p>
            <w:pPr>
              <w:widowControl/>
              <w:jc w:val="left"/>
              <w:rPr>
                <w:rFonts w:hint="default" w:eastAsia="仿宋_GB2312"/>
                <w:color w:val="000000"/>
                <w:kern w:val="0"/>
                <w:sz w:val="18"/>
                <w:szCs w:val="18"/>
                <w:lang w:val="en-US" w:eastAsia="zh-CN"/>
              </w:rPr>
            </w:pPr>
          </w:p>
        </w:tc>
        <w:tc>
          <w:tcPr>
            <w:tcW w:w="791"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jc w:val="center"/>
              <w:rPr>
                <w:color w:val="000000"/>
                <w:kern w:val="0"/>
                <w:sz w:val="18"/>
                <w:szCs w:val="18"/>
              </w:rPr>
            </w:pPr>
            <w:r>
              <w:rPr>
                <w:rFonts w:hint="eastAsia"/>
                <w:color w:val="000000"/>
                <w:kern w:val="0"/>
                <w:sz w:val="18"/>
                <w:szCs w:val="18"/>
              </w:rPr>
              <w:t>基本支出</w:t>
            </w:r>
          </w:p>
        </w:tc>
        <w:tc>
          <w:tcPr>
            <w:tcW w:w="682"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36037.8281</w:t>
            </w:r>
          </w:p>
        </w:tc>
        <w:tc>
          <w:tcPr>
            <w:tcW w:w="737" w:type="pct"/>
            <w:gridSpan w:val="2"/>
            <w:noWrap/>
            <w:vAlign w:val="center"/>
          </w:tcPr>
          <w:p>
            <w:pPr>
              <w:widowControl/>
              <w:jc w:val="left"/>
              <w:rPr>
                <w:color w:val="000000"/>
                <w:kern w:val="0"/>
                <w:sz w:val="18"/>
                <w:szCs w:val="18"/>
              </w:rPr>
            </w:pPr>
            <w:r>
              <w:rPr>
                <w:rFonts w:hint="eastAsia"/>
                <w:color w:val="000000"/>
                <w:kern w:val="0"/>
                <w:sz w:val="18"/>
                <w:szCs w:val="18"/>
              </w:rPr>
              <w:t>　</w:t>
            </w:r>
          </w:p>
          <w:p>
            <w:pPr>
              <w:widowControl/>
              <w:jc w:val="left"/>
              <w:rPr>
                <w:rFonts w:hint="default" w:eastAsia="仿宋_GB2312"/>
                <w:color w:val="000000"/>
                <w:kern w:val="0"/>
                <w:sz w:val="18"/>
                <w:szCs w:val="18"/>
                <w:lang w:val="en-US" w:eastAsia="zh-CN"/>
              </w:rPr>
            </w:pPr>
            <w:r>
              <w:rPr>
                <w:rFonts w:hint="eastAsia"/>
                <w:color w:val="000000"/>
                <w:kern w:val="0"/>
                <w:sz w:val="18"/>
                <w:szCs w:val="18"/>
                <w:lang w:val="en-US" w:eastAsia="zh-CN"/>
              </w:rPr>
              <w:t>36037.8281</w:t>
            </w:r>
          </w:p>
        </w:tc>
        <w:tc>
          <w:tcPr>
            <w:tcW w:w="751" w:type="pct"/>
            <w:noWrap/>
            <w:vAlign w:val="center"/>
          </w:tcPr>
          <w:p>
            <w:pPr>
              <w:widowControl/>
              <w:jc w:val="left"/>
              <w:rPr>
                <w:color w:val="000000"/>
                <w:kern w:val="0"/>
                <w:sz w:val="18"/>
                <w:szCs w:val="18"/>
              </w:rPr>
            </w:pPr>
            <w:r>
              <w:rPr>
                <w:rFonts w:hint="eastAsia"/>
                <w:color w:val="000000"/>
                <w:kern w:val="0"/>
                <w:sz w:val="18"/>
                <w:szCs w:val="18"/>
              </w:rPr>
              <w:t>　</w:t>
            </w:r>
            <w:r>
              <w:rPr>
                <w:color w:val="000000"/>
                <w:kern w:val="0"/>
                <w:sz w:val="18"/>
                <w:szCs w:val="18"/>
              </w:rPr>
              <w:t>0</w:t>
            </w:r>
          </w:p>
        </w:tc>
        <w:tc>
          <w:tcPr>
            <w:tcW w:w="982" w:type="pct"/>
            <w:noWrap/>
            <w:vAlign w:val="center"/>
          </w:tcPr>
          <w:p>
            <w:pPr>
              <w:widowControl/>
              <w:jc w:val="left"/>
              <w:rPr>
                <w:color w:val="000000"/>
                <w:kern w:val="0"/>
                <w:sz w:val="18"/>
                <w:szCs w:val="18"/>
              </w:rPr>
            </w:pPr>
            <w:r>
              <w:rPr>
                <w:rFonts w:hint="eastAsia"/>
                <w:color w:val="000000"/>
                <w:kern w:val="0"/>
                <w:sz w:val="18"/>
                <w:szCs w:val="18"/>
              </w:rPr>
              <w:t>　</w:t>
            </w:r>
            <w:r>
              <w:rPr>
                <w:color w:val="000000"/>
                <w:kern w:val="0"/>
                <w:sz w:val="18"/>
                <w:szCs w:val="18"/>
              </w:rPr>
              <w:t>0</w:t>
            </w:r>
          </w:p>
        </w:tc>
        <w:tc>
          <w:tcPr>
            <w:tcW w:w="791" w:type="pct"/>
            <w:noWrap/>
            <w:vAlign w:val="center"/>
          </w:tcPr>
          <w:p>
            <w:pPr>
              <w:widowControl/>
              <w:jc w:val="left"/>
              <w:rPr>
                <w:color w:val="000000"/>
                <w:kern w:val="0"/>
                <w:sz w:val="18"/>
                <w:szCs w:val="18"/>
              </w:rPr>
            </w:pPr>
            <w:r>
              <w:rPr>
                <w:rFonts w:hint="eastAsia"/>
                <w:color w:val="000000"/>
                <w:kern w:val="0"/>
                <w:sz w:val="18"/>
                <w:szCs w:val="18"/>
              </w:rPr>
              <w:t>　</w:t>
            </w: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jc w:val="center"/>
              <w:rPr>
                <w:color w:val="000000"/>
                <w:kern w:val="0"/>
                <w:sz w:val="18"/>
                <w:szCs w:val="18"/>
              </w:rPr>
            </w:pPr>
            <w:r>
              <w:rPr>
                <w:rFonts w:hint="eastAsia"/>
                <w:color w:val="000000"/>
                <w:kern w:val="0"/>
                <w:sz w:val="18"/>
                <w:szCs w:val="18"/>
              </w:rPr>
              <w:t>政策和项目支出</w:t>
            </w:r>
          </w:p>
        </w:tc>
        <w:tc>
          <w:tcPr>
            <w:tcW w:w="682"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lang w:val="en-US" w:eastAsia="zh-CN"/>
              </w:rPr>
              <w:t>27543.5394</w:t>
            </w:r>
          </w:p>
        </w:tc>
        <w:tc>
          <w:tcPr>
            <w:tcW w:w="737" w:type="pct"/>
            <w:gridSpan w:val="2"/>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lang w:val="en-US" w:eastAsia="zh-CN"/>
              </w:rPr>
              <w:t>27543.5394</w:t>
            </w:r>
          </w:p>
        </w:tc>
        <w:tc>
          <w:tcPr>
            <w:tcW w:w="751"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0</w:t>
            </w:r>
          </w:p>
        </w:tc>
        <w:tc>
          <w:tcPr>
            <w:tcW w:w="982"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0</w:t>
            </w:r>
          </w:p>
        </w:tc>
        <w:tc>
          <w:tcPr>
            <w:tcW w:w="791" w:type="pct"/>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rPr>
              <w:t>　</w:t>
            </w:r>
            <w:r>
              <w:rPr>
                <w:rFonts w:hint="eastAsia"/>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3" w:type="pct"/>
            <w:vMerge w:val="restart"/>
            <w:noWrap/>
            <w:vAlign w:val="center"/>
          </w:tcPr>
          <w:p>
            <w:pPr>
              <w:widowControl/>
              <w:jc w:val="center"/>
              <w:rPr>
                <w:color w:val="000000"/>
                <w:kern w:val="0"/>
                <w:sz w:val="18"/>
                <w:szCs w:val="18"/>
              </w:rPr>
            </w:pPr>
            <w:r>
              <w:rPr>
                <w:rFonts w:hint="eastAsia"/>
                <w:color w:val="000000"/>
                <w:kern w:val="0"/>
                <w:sz w:val="18"/>
                <w:szCs w:val="18"/>
              </w:rPr>
              <w:t>预算</w:t>
            </w:r>
          </w:p>
          <w:p>
            <w:pPr>
              <w:widowControl/>
              <w:jc w:val="center"/>
              <w:rPr>
                <w:color w:val="000000"/>
                <w:kern w:val="0"/>
                <w:sz w:val="18"/>
                <w:szCs w:val="18"/>
              </w:rPr>
            </w:pPr>
            <w:r>
              <w:rPr>
                <w:rFonts w:hint="eastAsia"/>
                <w:color w:val="000000"/>
                <w:kern w:val="0"/>
                <w:sz w:val="18"/>
                <w:szCs w:val="18"/>
              </w:rPr>
              <w:t>结构</w:t>
            </w:r>
          </w:p>
        </w:tc>
        <w:tc>
          <w:tcPr>
            <w:tcW w:w="574" w:type="pct"/>
            <w:noWrap/>
            <w:vAlign w:val="center"/>
          </w:tcPr>
          <w:p>
            <w:pPr>
              <w:widowControl/>
              <w:jc w:val="center"/>
              <w:rPr>
                <w:color w:val="000000"/>
                <w:kern w:val="0"/>
                <w:sz w:val="18"/>
                <w:szCs w:val="18"/>
              </w:rPr>
            </w:pPr>
            <w:r>
              <w:rPr>
                <w:rFonts w:hint="eastAsia"/>
                <w:color w:val="000000"/>
                <w:kern w:val="0"/>
                <w:sz w:val="18"/>
                <w:szCs w:val="18"/>
              </w:rPr>
              <w:t>项目</w:t>
            </w:r>
          </w:p>
        </w:tc>
        <w:tc>
          <w:tcPr>
            <w:tcW w:w="682" w:type="pct"/>
            <w:noWrap/>
            <w:vAlign w:val="center"/>
          </w:tcPr>
          <w:p>
            <w:pPr>
              <w:widowControl/>
              <w:jc w:val="center"/>
              <w:rPr>
                <w:color w:val="000000"/>
                <w:kern w:val="0"/>
                <w:sz w:val="18"/>
                <w:szCs w:val="18"/>
              </w:rPr>
            </w:pPr>
            <w:r>
              <w:rPr>
                <w:rFonts w:hint="eastAsia"/>
                <w:color w:val="000000"/>
                <w:kern w:val="0"/>
                <w:sz w:val="18"/>
                <w:szCs w:val="18"/>
              </w:rPr>
              <w:t>合计</w:t>
            </w:r>
          </w:p>
        </w:tc>
        <w:tc>
          <w:tcPr>
            <w:tcW w:w="737" w:type="pct"/>
            <w:gridSpan w:val="2"/>
            <w:noWrap/>
            <w:vAlign w:val="center"/>
          </w:tcPr>
          <w:p>
            <w:pPr>
              <w:widowControl/>
              <w:jc w:val="center"/>
              <w:rPr>
                <w:color w:val="000000"/>
                <w:kern w:val="0"/>
                <w:sz w:val="18"/>
                <w:szCs w:val="18"/>
              </w:rPr>
            </w:pPr>
            <w:r>
              <w:rPr>
                <w:rFonts w:hint="eastAsia"/>
                <w:color w:val="000000"/>
                <w:kern w:val="0"/>
                <w:sz w:val="18"/>
                <w:szCs w:val="18"/>
              </w:rPr>
              <w:t>一般公共预算安排</w:t>
            </w:r>
          </w:p>
        </w:tc>
        <w:tc>
          <w:tcPr>
            <w:tcW w:w="751" w:type="pct"/>
            <w:noWrap/>
            <w:vAlign w:val="center"/>
          </w:tcPr>
          <w:p>
            <w:pPr>
              <w:widowControl/>
              <w:jc w:val="center"/>
              <w:rPr>
                <w:color w:val="000000"/>
                <w:kern w:val="0"/>
                <w:sz w:val="18"/>
                <w:szCs w:val="18"/>
              </w:rPr>
            </w:pPr>
            <w:r>
              <w:rPr>
                <w:rFonts w:hint="eastAsia"/>
                <w:color w:val="000000"/>
                <w:kern w:val="0"/>
                <w:sz w:val="18"/>
                <w:szCs w:val="18"/>
              </w:rPr>
              <w:t>政府性基金预算安排</w:t>
            </w:r>
          </w:p>
        </w:tc>
        <w:tc>
          <w:tcPr>
            <w:tcW w:w="982" w:type="pct"/>
            <w:noWrap/>
            <w:vAlign w:val="center"/>
          </w:tcPr>
          <w:p>
            <w:pPr>
              <w:widowControl/>
              <w:jc w:val="center"/>
              <w:rPr>
                <w:color w:val="000000"/>
                <w:kern w:val="0"/>
                <w:sz w:val="18"/>
                <w:szCs w:val="18"/>
              </w:rPr>
            </w:pPr>
            <w:r>
              <w:rPr>
                <w:rFonts w:hint="eastAsia"/>
                <w:color w:val="000000"/>
                <w:kern w:val="0"/>
                <w:sz w:val="18"/>
                <w:szCs w:val="18"/>
              </w:rPr>
              <w:t>国有资本经营预算安排</w:t>
            </w:r>
          </w:p>
        </w:tc>
        <w:tc>
          <w:tcPr>
            <w:tcW w:w="791" w:type="pct"/>
            <w:noWrap/>
            <w:vAlign w:val="center"/>
          </w:tcPr>
          <w:p>
            <w:pPr>
              <w:widowControl/>
              <w:jc w:val="center"/>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spacing w:line="360" w:lineRule="exact"/>
              <w:jc w:val="center"/>
              <w:rPr>
                <w:color w:val="000000"/>
                <w:kern w:val="0"/>
                <w:sz w:val="18"/>
                <w:szCs w:val="18"/>
              </w:rPr>
            </w:pPr>
            <w:r>
              <w:rPr>
                <w:rFonts w:hint="eastAsia"/>
                <w:color w:val="000000"/>
                <w:kern w:val="0"/>
                <w:sz w:val="18"/>
                <w:szCs w:val="18"/>
              </w:rPr>
              <w:t>预算额</w:t>
            </w:r>
            <w:r>
              <w:rPr>
                <w:color w:val="000000"/>
                <w:kern w:val="0"/>
                <w:sz w:val="18"/>
                <w:szCs w:val="18"/>
              </w:rPr>
              <w:t>(</w:t>
            </w:r>
            <w:r>
              <w:rPr>
                <w:rFonts w:hint="eastAsia"/>
                <w:color w:val="000000"/>
                <w:kern w:val="0"/>
                <w:sz w:val="18"/>
                <w:szCs w:val="18"/>
              </w:rPr>
              <w:t>百元</w:t>
            </w:r>
            <w:r>
              <w:rPr>
                <w:color w:val="000000"/>
                <w:kern w:val="0"/>
                <w:sz w:val="18"/>
                <w:szCs w:val="18"/>
              </w:rPr>
              <w:t>)</w:t>
            </w:r>
          </w:p>
        </w:tc>
        <w:tc>
          <w:tcPr>
            <w:tcW w:w="682" w:type="pct"/>
            <w:noWrap/>
            <w:vAlign w:val="center"/>
          </w:tcPr>
          <w:p>
            <w:pPr>
              <w:widowControl/>
              <w:spacing w:line="360" w:lineRule="exact"/>
              <w:jc w:val="left"/>
              <w:rPr>
                <w:color w:val="000000"/>
                <w:kern w:val="0"/>
                <w:sz w:val="18"/>
                <w:szCs w:val="18"/>
              </w:rPr>
            </w:pPr>
            <w:r>
              <w:rPr>
                <w:rFonts w:hint="eastAsia"/>
                <w:color w:val="000000"/>
                <w:kern w:val="0"/>
                <w:sz w:val="18"/>
                <w:szCs w:val="18"/>
                <w:lang w:val="en-US" w:eastAsia="zh-CN"/>
              </w:rPr>
              <w:t>63581.3675</w:t>
            </w:r>
          </w:p>
        </w:tc>
        <w:tc>
          <w:tcPr>
            <w:tcW w:w="737" w:type="pct"/>
            <w:gridSpan w:val="2"/>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63581.3675</w:t>
            </w:r>
          </w:p>
        </w:tc>
        <w:tc>
          <w:tcPr>
            <w:tcW w:w="75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9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79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spacing w:line="360" w:lineRule="exact"/>
              <w:jc w:val="center"/>
              <w:rPr>
                <w:color w:val="000000"/>
                <w:kern w:val="0"/>
                <w:sz w:val="18"/>
                <w:szCs w:val="18"/>
              </w:rPr>
            </w:pPr>
            <w:r>
              <w:rPr>
                <w:rFonts w:hint="eastAsia"/>
                <w:color w:val="000000"/>
                <w:kern w:val="0"/>
                <w:sz w:val="18"/>
                <w:szCs w:val="18"/>
              </w:rPr>
              <w:t>执行额</w:t>
            </w:r>
            <w:r>
              <w:rPr>
                <w:color w:val="000000"/>
                <w:kern w:val="0"/>
                <w:sz w:val="18"/>
                <w:szCs w:val="18"/>
              </w:rPr>
              <w:t>(</w:t>
            </w:r>
            <w:r>
              <w:rPr>
                <w:rFonts w:hint="eastAsia"/>
                <w:color w:val="000000"/>
                <w:kern w:val="0"/>
                <w:sz w:val="18"/>
                <w:szCs w:val="18"/>
              </w:rPr>
              <w:t>百元</w:t>
            </w:r>
            <w:r>
              <w:rPr>
                <w:color w:val="000000"/>
                <w:kern w:val="0"/>
                <w:sz w:val="18"/>
                <w:szCs w:val="18"/>
              </w:rPr>
              <w:t>)</w:t>
            </w:r>
          </w:p>
        </w:tc>
        <w:tc>
          <w:tcPr>
            <w:tcW w:w="6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63581.3675</w:t>
            </w:r>
          </w:p>
        </w:tc>
        <w:tc>
          <w:tcPr>
            <w:tcW w:w="737" w:type="pct"/>
            <w:gridSpan w:val="2"/>
            <w:noWrap/>
            <w:vAlign w:val="center"/>
          </w:tcPr>
          <w:p>
            <w:pPr>
              <w:widowControl/>
              <w:spacing w:line="360" w:lineRule="exact"/>
              <w:jc w:val="left"/>
              <w:rPr>
                <w:color w:val="000000"/>
                <w:kern w:val="0"/>
                <w:sz w:val="18"/>
                <w:szCs w:val="18"/>
              </w:rPr>
            </w:pPr>
          </w:p>
          <w:p>
            <w:pPr>
              <w:widowControl/>
              <w:spacing w:line="360" w:lineRule="exact"/>
              <w:jc w:val="left"/>
              <w:rPr>
                <w:color w:val="000000"/>
                <w:kern w:val="0"/>
                <w:sz w:val="18"/>
                <w:szCs w:val="18"/>
              </w:rPr>
            </w:pPr>
            <w:r>
              <w:rPr>
                <w:rFonts w:hint="eastAsia"/>
                <w:color w:val="000000"/>
                <w:kern w:val="0"/>
                <w:sz w:val="18"/>
                <w:szCs w:val="18"/>
                <w:lang w:val="en-US" w:eastAsia="zh-CN"/>
              </w:rPr>
              <w:t>63581.3675</w:t>
            </w:r>
          </w:p>
        </w:tc>
        <w:tc>
          <w:tcPr>
            <w:tcW w:w="75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9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79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spacing w:line="360" w:lineRule="exact"/>
              <w:jc w:val="center"/>
              <w:rPr>
                <w:color w:val="000000"/>
                <w:spacing w:val="-20"/>
                <w:kern w:val="0"/>
                <w:sz w:val="18"/>
                <w:szCs w:val="18"/>
              </w:rPr>
            </w:pPr>
            <w:r>
              <w:rPr>
                <w:rFonts w:hint="eastAsia"/>
                <w:color w:val="000000"/>
                <w:spacing w:val="-20"/>
                <w:kern w:val="0"/>
                <w:sz w:val="18"/>
                <w:szCs w:val="18"/>
              </w:rPr>
              <w:t>当年结转结余额</w:t>
            </w:r>
            <w:r>
              <w:rPr>
                <w:color w:val="000000"/>
                <w:spacing w:val="-20"/>
                <w:kern w:val="0"/>
                <w:sz w:val="18"/>
                <w:szCs w:val="18"/>
              </w:rPr>
              <w:t>(</w:t>
            </w:r>
            <w:r>
              <w:rPr>
                <w:rFonts w:hint="eastAsia"/>
                <w:color w:val="000000"/>
                <w:spacing w:val="-20"/>
                <w:kern w:val="0"/>
                <w:sz w:val="18"/>
                <w:szCs w:val="18"/>
              </w:rPr>
              <w:t>百元</w:t>
            </w:r>
            <w:r>
              <w:rPr>
                <w:color w:val="000000"/>
                <w:spacing w:val="-20"/>
                <w:kern w:val="0"/>
                <w:sz w:val="18"/>
                <w:szCs w:val="18"/>
              </w:rPr>
              <w:t>)</w:t>
            </w:r>
          </w:p>
        </w:tc>
        <w:tc>
          <w:tcPr>
            <w:tcW w:w="682" w:type="pct"/>
            <w:noWrap/>
            <w:vAlign w:val="center"/>
          </w:tcPr>
          <w:p>
            <w:pPr>
              <w:widowControl/>
              <w:spacing w:line="360" w:lineRule="exact"/>
              <w:jc w:val="left"/>
              <w:rPr>
                <w:color w:val="000000"/>
                <w:kern w:val="0"/>
                <w:sz w:val="18"/>
                <w:szCs w:val="18"/>
              </w:rPr>
            </w:pPr>
            <w:r>
              <w:rPr>
                <w:rFonts w:hint="eastAsia"/>
                <w:color w:val="000000"/>
                <w:kern w:val="0"/>
                <w:sz w:val="18"/>
                <w:szCs w:val="18"/>
                <w:lang w:val="en-US" w:eastAsia="zh-CN"/>
              </w:rPr>
              <w:t>0</w:t>
            </w:r>
          </w:p>
        </w:tc>
        <w:tc>
          <w:tcPr>
            <w:tcW w:w="737" w:type="pct"/>
            <w:gridSpan w:val="2"/>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0</w:t>
            </w:r>
          </w:p>
        </w:tc>
        <w:tc>
          <w:tcPr>
            <w:tcW w:w="75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9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79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spacing w:line="36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6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0</w:t>
            </w:r>
          </w:p>
        </w:tc>
        <w:tc>
          <w:tcPr>
            <w:tcW w:w="737" w:type="pct"/>
            <w:gridSpan w:val="2"/>
            <w:noWrap/>
            <w:vAlign w:val="center"/>
          </w:tcPr>
          <w:p>
            <w:pPr>
              <w:widowControl/>
              <w:spacing w:line="360" w:lineRule="exact"/>
              <w:jc w:val="left"/>
              <w:rPr>
                <w:rFonts w:hint="default" w:eastAsia="仿宋_GB2312"/>
                <w:color w:val="000000"/>
                <w:kern w:val="0"/>
                <w:sz w:val="18"/>
                <w:szCs w:val="18"/>
                <w:lang w:val="en-US" w:eastAsia="zh-CN"/>
              </w:rPr>
            </w:pPr>
            <w:r>
              <w:rPr>
                <w:rFonts w:hint="eastAsia"/>
                <w:color w:val="000000"/>
                <w:kern w:val="0"/>
                <w:sz w:val="18"/>
                <w:szCs w:val="18"/>
                <w:lang w:val="en-US" w:eastAsia="zh-CN"/>
              </w:rPr>
              <w:t>0</w:t>
            </w:r>
          </w:p>
        </w:tc>
        <w:tc>
          <w:tcPr>
            <w:tcW w:w="75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9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79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spacing w:line="36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c>
          <w:tcPr>
            <w:tcW w:w="6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-100</w:t>
            </w:r>
            <w:r>
              <w:rPr>
                <w:color w:val="000000"/>
                <w:kern w:val="0"/>
                <w:sz w:val="18"/>
                <w:szCs w:val="18"/>
              </w:rPr>
              <w:t>%</w:t>
            </w:r>
          </w:p>
        </w:tc>
        <w:tc>
          <w:tcPr>
            <w:tcW w:w="737" w:type="pct"/>
            <w:gridSpan w:val="2"/>
            <w:noWrap/>
            <w:vAlign w:val="center"/>
          </w:tcPr>
          <w:p>
            <w:pPr>
              <w:widowControl/>
              <w:spacing w:line="360" w:lineRule="exact"/>
              <w:jc w:val="left"/>
              <w:rPr>
                <w:color w:val="000000"/>
                <w:kern w:val="0"/>
                <w:sz w:val="18"/>
                <w:szCs w:val="18"/>
              </w:rPr>
            </w:pPr>
            <w:r>
              <w:rPr>
                <w:rFonts w:hint="eastAsia"/>
                <w:color w:val="000000"/>
                <w:kern w:val="0"/>
                <w:sz w:val="18"/>
                <w:szCs w:val="18"/>
              </w:rPr>
              <w:t>　</w:t>
            </w:r>
            <w:r>
              <w:rPr>
                <w:rFonts w:hint="eastAsia"/>
                <w:color w:val="000000"/>
                <w:kern w:val="0"/>
                <w:sz w:val="18"/>
                <w:szCs w:val="18"/>
                <w:lang w:val="en-US" w:eastAsia="zh-CN"/>
              </w:rPr>
              <w:t>-100</w:t>
            </w:r>
            <w:r>
              <w:rPr>
                <w:color w:val="000000"/>
                <w:kern w:val="0"/>
                <w:sz w:val="18"/>
                <w:szCs w:val="18"/>
              </w:rPr>
              <w:t>%</w:t>
            </w:r>
          </w:p>
        </w:tc>
        <w:tc>
          <w:tcPr>
            <w:tcW w:w="75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982"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c>
          <w:tcPr>
            <w:tcW w:w="791" w:type="pct"/>
            <w:noWrap/>
            <w:vAlign w:val="center"/>
          </w:tcPr>
          <w:p>
            <w:pPr>
              <w:widowControl/>
              <w:spacing w:line="36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3" w:type="pct"/>
            <w:vMerge w:val="restart"/>
            <w:noWrap/>
            <w:vAlign w:val="center"/>
          </w:tcPr>
          <w:p>
            <w:pPr>
              <w:widowControl/>
              <w:jc w:val="center"/>
              <w:rPr>
                <w:color w:val="000000"/>
                <w:kern w:val="0"/>
                <w:sz w:val="18"/>
                <w:szCs w:val="18"/>
              </w:rPr>
            </w:pPr>
            <w:r>
              <w:rPr>
                <w:rFonts w:hint="eastAsia"/>
                <w:color w:val="000000"/>
                <w:kern w:val="0"/>
                <w:sz w:val="18"/>
                <w:szCs w:val="18"/>
              </w:rPr>
              <w:t>年度总体目标</w:t>
            </w:r>
          </w:p>
        </w:tc>
        <w:tc>
          <w:tcPr>
            <w:tcW w:w="1256" w:type="pct"/>
            <w:gridSpan w:val="2"/>
            <w:noWrap/>
            <w:vAlign w:val="center"/>
          </w:tcPr>
          <w:p>
            <w:pPr>
              <w:widowControl/>
              <w:jc w:val="center"/>
              <w:rPr>
                <w:color w:val="000000"/>
                <w:kern w:val="0"/>
                <w:sz w:val="18"/>
                <w:szCs w:val="18"/>
              </w:rPr>
            </w:pPr>
            <w:r>
              <w:rPr>
                <w:rFonts w:hint="eastAsia"/>
                <w:color w:val="000000"/>
                <w:kern w:val="0"/>
                <w:sz w:val="18"/>
                <w:szCs w:val="18"/>
              </w:rPr>
              <w:t>预算总体目标</w:t>
            </w:r>
          </w:p>
        </w:tc>
        <w:tc>
          <w:tcPr>
            <w:tcW w:w="1488" w:type="pct"/>
            <w:gridSpan w:val="3"/>
            <w:noWrap/>
            <w:vAlign w:val="center"/>
          </w:tcPr>
          <w:p>
            <w:pPr>
              <w:widowControl/>
              <w:jc w:val="center"/>
              <w:rPr>
                <w:color w:val="000000"/>
                <w:kern w:val="0"/>
                <w:sz w:val="18"/>
                <w:szCs w:val="18"/>
              </w:rPr>
            </w:pPr>
            <w:r>
              <w:rPr>
                <w:rFonts w:hint="eastAsia"/>
                <w:color w:val="000000"/>
                <w:kern w:val="0"/>
                <w:sz w:val="18"/>
                <w:szCs w:val="18"/>
              </w:rPr>
              <w:t>预算总体目标执行结果</w:t>
            </w:r>
          </w:p>
        </w:tc>
        <w:tc>
          <w:tcPr>
            <w:tcW w:w="1773" w:type="pct"/>
            <w:gridSpan w:val="2"/>
            <w:noWrap/>
            <w:vAlign w:val="center"/>
          </w:tcPr>
          <w:p>
            <w:pPr>
              <w:widowControl/>
              <w:jc w:val="center"/>
              <w:rPr>
                <w:color w:val="000000"/>
                <w:kern w:val="0"/>
                <w:sz w:val="18"/>
                <w:szCs w:val="18"/>
              </w:rPr>
            </w:pPr>
            <w:r>
              <w:rPr>
                <w:rFonts w:hint="eastAsia"/>
                <w:color w:val="000000"/>
                <w:kern w:val="0"/>
                <w:sz w:val="18"/>
                <w:szCs w:val="18"/>
              </w:rPr>
              <w:t>预算总体目标与预算总体目标</w:t>
            </w:r>
          </w:p>
          <w:p>
            <w:pPr>
              <w:widowControl/>
              <w:jc w:val="center"/>
              <w:rPr>
                <w:color w:val="000000"/>
                <w:kern w:val="0"/>
                <w:sz w:val="18"/>
                <w:szCs w:val="18"/>
              </w:rPr>
            </w:pPr>
            <w:r>
              <w:rPr>
                <w:rFonts w:hint="eastAsia"/>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3" w:type="pct"/>
            <w:vMerge w:val="continue"/>
            <w:vAlign w:val="center"/>
          </w:tcPr>
          <w:p>
            <w:pPr>
              <w:widowControl/>
              <w:jc w:val="left"/>
              <w:rPr>
                <w:color w:val="000000"/>
                <w:kern w:val="0"/>
                <w:sz w:val="18"/>
                <w:szCs w:val="18"/>
              </w:rPr>
            </w:pPr>
          </w:p>
        </w:tc>
        <w:tc>
          <w:tcPr>
            <w:tcW w:w="1256"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基本支出</w:t>
            </w:r>
          </w:p>
          <w:p>
            <w:pPr>
              <w:widowControl/>
              <w:spacing w:line="360" w:lineRule="exact"/>
              <w:jc w:val="center"/>
              <w:rPr>
                <w:color w:val="000000"/>
                <w:kern w:val="0"/>
                <w:sz w:val="18"/>
                <w:szCs w:val="18"/>
              </w:rPr>
            </w:pPr>
            <w:r>
              <w:rPr>
                <w:rFonts w:hint="eastAsia"/>
                <w:color w:val="000000"/>
                <w:kern w:val="0"/>
                <w:sz w:val="18"/>
                <w:szCs w:val="18"/>
                <w:lang w:val="en-US" w:eastAsia="zh-CN"/>
              </w:rPr>
              <w:t>36037.8281</w:t>
            </w:r>
            <w:r>
              <w:rPr>
                <w:rFonts w:hint="eastAsia"/>
                <w:color w:val="000000"/>
                <w:kern w:val="0"/>
                <w:sz w:val="18"/>
                <w:szCs w:val="18"/>
              </w:rPr>
              <w:t>百元</w:t>
            </w:r>
          </w:p>
        </w:tc>
        <w:tc>
          <w:tcPr>
            <w:tcW w:w="1488" w:type="pct"/>
            <w:gridSpan w:val="3"/>
            <w:noWrap/>
            <w:vAlign w:val="center"/>
          </w:tcPr>
          <w:p>
            <w:pPr>
              <w:widowControl/>
              <w:spacing w:line="360" w:lineRule="exact"/>
              <w:jc w:val="center"/>
              <w:rPr>
                <w:color w:val="000000"/>
                <w:kern w:val="0"/>
                <w:sz w:val="18"/>
                <w:szCs w:val="18"/>
              </w:rPr>
            </w:pPr>
            <w:r>
              <w:rPr>
                <w:rFonts w:hint="eastAsia"/>
                <w:color w:val="000000"/>
                <w:kern w:val="0"/>
                <w:sz w:val="18"/>
                <w:szCs w:val="18"/>
              </w:rPr>
              <w:t>　实际支出</w:t>
            </w:r>
          </w:p>
          <w:p>
            <w:pPr>
              <w:widowControl/>
              <w:spacing w:line="360" w:lineRule="exact"/>
              <w:jc w:val="center"/>
              <w:rPr>
                <w:color w:val="000000"/>
                <w:kern w:val="0"/>
                <w:sz w:val="18"/>
                <w:szCs w:val="18"/>
              </w:rPr>
            </w:pPr>
            <w:r>
              <w:rPr>
                <w:rFonts w:hint="eastAsia"/>
                <w:color w:val="000000"/>
                <w:kern w:val="0"/>
                <w:sz w:val="18"/>
                <w:szCs w:val="18"/>
                <w:lang w:val="en-US" w:eastAsia="zh-CN"/>
              </w:rPr>
              <w:t>36037.8281</w:t>
            </w:r>
            <w:r>
              <w:rPr>
                <w:rFonts w:hint="eastAsia"/>
                <w:color w:val="000000"/>
                <w:kern w:val="0"/>
                <w:sz w:val="18"/>
                <w:szCs w:val="18"/>
              </w:rPr>
              <w:t>百元</w:t>
            </w:r>
          </w:p>
        </w:tc>
        <w:tc>
          <w:tcPr>
            <w:tcW w:w="1773" w:type="pct"/>
            <w:gridSpan w:val="2"/>
            <w:noWrap/>
            <w:vAlign w:val="center"/>
          </w:tcPr>
          <w:p>
            <w:pPr>
              <w:widowControl/>
              <w:spacing w:line="700" w:lineRule="exact"/>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3" w:type="pct"/>
            <w:vMerge w:val="continue"/>
            <w:vAlign w:val="center"/>
          </w:tcPr>
          <w:p>
            <w:pPr>
              <w:widowControl/>
              <w:jc w:val="left"/>
              <w:rPr>
                <w:color w:val="000000"/>
                <w:kern w:val="0"/>
                <w:sz w:val="18"/>
                <w:szCs w:val="18"/>
              </w:rPr>
            </w:pPr>
          </w:p>
        </w:tc>
        <w:tc>
          <w:tcPr>
            <w:tcW w:w="1256" w:type="pct"/>
            <w:gridSpan w:val="2"/>
            <w:noWrap/>
            <w:vAlign w:val="center"/>
          </w:tcPr>
          <w:p>
            <w:pPr>
              <w:widowControl/>
              <w:spacing w:line="360" w:lineRule="exact"/>
              <w:jc w:val="center"/>
              <w:rPr>
                <w:rFonts w:hint="eastAsia"/>
                <w:color w:val="000000"/>
                <w:kern w:val="0"/>
                <w:sz w:val="18"/>
                <w:szCs w:val="18"/>
              </w:rPr>
            </w:pPr>
            <w:r>
              <w:rPr>
                <w:rFonts w:hint="eastAsia"/>
                <w:color w:val="000000"/>
                <w:kern w:val="0"/>
                <w:sz w:val="18"/>
                <w:szCs w:val="18"/>
              </w:rPr>
              <w:t>政策和项目支出</w:t>
            </w:r>
          </w:p>
          <w:p>
            <w:pPr>
              <w:widowControl/>
              <w:spacing w:line="360" w:lineRule="exact"/>
              <w:jc w:val="center"/>
              <w:rPr>
                <w:color w:val="000000"/>
                <w:kern w:val="0"/>
                <w:sz w:val="18"/>
                <w:szCs w:val="18"/>
              </w:rPr>
            </w:pPr>
            <w:r>
              <w:rPr>
                <w:rFonts w:hint="eastAsia"/>
                <w:color w:val="000000"/>
                <w:kern w:val="0"/>
                <w:sz w:val="18"/>
                <w:szCs w:val="18"/>
                <w:lang w:val="en-US" w:eastAsia="zh-CN"/>
              </w:rPr>
              <w:t>27543.5394</w:t>
            </w:r>
            <w:r>
              <w:rPr>
                <w:rFonts w:hint="eastAsia"/>
                <w:color w:val="000000"/>
                <w:kern w:val="0"/>
                <w:sz w:val="18"/>
                <w:szCs w:val="18"/>
              </w:rPr>
              <w:t>百元</w:t>
            </w:r>
          </w:p>
        </w:tc>
        <w:tc>
          <w:tcPr>
            <w:tcW w:w="1488" w:type="pct"/>
            <w:gridSpan w:val="3"/>
            <w:noWrap/>
            <w:vAlign w:val="center"/>
          </w:tcPr>
          <w:p>
            <w:pPr>
              <w:widowControl/>
              <w:spacing w:line="700" w:lineRule="exact"/>
              <w:jc w:val="center"/>
              <w:rPr>
                <w:color w:val="000000"/>
                <w:kern w:val="0"/>
                <w:sz w:val="18"/>
                <w:szCs w:val="18"/>
              </w:rPr>
            </w:pPr>
            <w:r>
              <w:rPr>
                <w:rFonts w:hint="eastAsia"/>
                <w:color w:val="000000"/>
                <w:kern w:val="0"/>
                <w:sz w:val="18"/>
                <w:szCs w:val="18"/>
                <w:lang w:val="en-US" w:eastAsia="zh-CN"/>
              </w:rPr>
              <w:t>27543.5394</w:t>
            </w:r>
            <w:r>
              <w:rPr>
                <w:rFonts w:hint="eastAsia"/>
                <w:color w:val="000000"/>
                <w:kern w:val="0"/>
                <w:sz w:val="18"/>
                <w:szCs w:val="18"/>
              </w:rPr>
              <w:t>百元</w:t>
            </w:r>
          </w:p>
        </w:tc>
        <w:tc>
          <w:tcPr>
            <w:tcW w:w="1773" w:type="pct"/>
            <w:gridSpan w:val="2"/>
            <w:noWrap/>
            <w:vAlign w:val="center"/>
          </w:tcPr>
          <w:p>
            <w:pPr>
              <w:widowControl/>
              <w:jc w:val="center"/>
              <w:rPr>
                <w:rFonts w:hint="eastAsia" w:eastAsia="仿宋_GB2312"/>
                <w:color w:val="000000"/>
                <w:kern w:val="0"/>
                <w:sz w:val="18"/>
                <w:szCs w:val="18"/>
                <w:lang w:eastAsia="zh-CN"/>
              </w:rPr>
            </w:pPr>
            <w:r>
              <w:rPr>
                <w:rFonts w:hint="eastAsia"/>
                <w:color w:val="000000"/>
                <w:kern w:val="0"/>
                <w:sz w:val="18"/>
                <w:szCs w:val="18"/>
                <w:lang w:eastAsia="zh-CN"/>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483" w:type="pct"/>
            <w:vMerge w:val="restart"/>
            <w:noWrap/>
            <w:vAlign w:val="center"/>
          </w:tcPr>
          <w:p>
            <w:pPr>
              <w:widowControl/>
              <w:jc w:val="center"/>
              <w:rPr>
                <w:color w:val="000000"/>
                <w:kern w:val="0"/>
                <w:sz w:val="18"/>
                <w:szCs w:val="18"/>
              </w:rPr>
            </w:pPr>
            <w:r>
              <w:rPr>
                <w:rFonts w:hint="eastAsia"/>
                <w:color w:val="000000"/>
                <w:kern w:val="0"/>
                <w:sz w:val="18"/>
                <w:szCs w:val="18"/>
              </w:rPr>
              <w:t>年度绩效指标</w:t>
            </w:r>
          </w:p>
        </w:tc>
        <w:tc>
          <w:tcPr>
            <w:tcW w:w="574" w:type="pct"/>
            <w:noWrap/>
            <w:vAlign w:val="center"/>
          </w:tcPr>
          <w:p>
            <w:pPr>
              <w:widowControl/>
              <w:jc w:val="center"/>
              <w:rPr>
                <w:color w:val="000000"/>
                <w:kern w:val="0"/>
                <w:sz w:val="18"/>
                <w:szCs w:val="18"/>
              </w:rPr>
            </w:pPr>
            <w:r>
              <w:rPr>
                <w:rFonts w:hint="eastAsia"/>
                <w:color w:val="000000"/>
                <w:kern w:val="0"/>
                <w:sz w:val="18"/>
                <w:szCs w:val="18"/>
              </w:rPr>
              <w:t>一级指标</w:t>
            </w:r>
          </w:p>
        </w:tc>
        <w:tc>
          <w:tcPr>
            <w:tcW w:w="682" w:type="pct"/>
            <w:noWrap/>
            <w:vAlign w:val="center"/>
          </w:tcPr>
          <w:p>
            <w:pPr>
              <w:widowControl/>
              <w:jc w:val="center"/>
              <w:rPr>
                <w:color w:val="000000"/>
                <w:kern w:val="0"/>
                <w:sz w:val="18"/>
                <w:szCs w:val="18"/>
              </w:rPr>
            </w:pPr>
            <w:r>
              <w:rPr>
                <w:rFonts w:hint="eastAsia"/>
                <w:color w:val="000000"/>
                <w:kern w:val="0"/>
                <w:sz w:val="18"/>
                <w:szCs w:val="18"/>
              </w:rPr>
              <w:t>二级指标</w:t>
            </w:r>
          </w:p>
        </w:tc>
        <w:tc>
          <w:tcPr>
            <w:tcW w:w="484" w:type="pct"/>
            <w:noWrap/>
            <w:vAlign w:val="center"/>
          </w:tcPr>
          <w:p>
            <w:pPr>
              <w:widowControl/>
              <w:jc w:val="center"/>
              <w:rPr>
                <w:color w:val="000000"/>
                <w:kern w:val="0"/>
                <w:sz w:val="18"/>
                <w:szCs w:val="18"/>
              </w:rPr>
            </w:pPr>
            <w:r>
              <w:rPr>
                <w:rFonts w:hint="eastAsia"/>
                <w:color w:val="000000"/>
                <w:kern w:val="0"/>
                <w:sz w:val="18"/>
                <w:szCs w:val="18"/>
              </w:rPr>
              <w:t>三级指标</w:t>
            </w:r>
          </w:p>
        </w:tc>
        <w:tc>
          <w:tcPr>
            <w:tcW w:w="1004" w:type="pct"/>
            <w:gridSpan w:val="2"/>
            <w:noWrap/>
            <w:vAlign w:val="center"/>
          </w:tcPr>
          <w:p>
            <w:pPr>
              <w:widowControl/>
              <w:jc w:val="center"/>
              <w:rPr>
                <w:color w:val="000000"/>
                <w:kern w:val="0"/>
                <w:sz w:val="18"/>
                <w:szCs w:val="18"/>
              </w:rPr>
            </w:pPr>
            <w:r>
              <w:rPr>
                <w:rFonts w:hint="eastAsia"/>
                <w:color w:val="000000"/>
                <w:kern w:val="0"/>
                <w:sz w:val="18"/>
                <w:szCs w:val="18"/>
              </w:rPr>
              <w:t>预算指标值</w:t>
            </w:r>
            <w:r>
              <w:rPr>
                <w:color w:val="000000"/>
                <w:kern w:val="0"/>
                <w:sz w:val="18"/>
                <w:szCs w:val="18"/>
              </w:rPr>
              <w:t>(</w:t>
            </w:r>
            <w:r>
              <w:rPr>
                <w:rFonts w:hint="eastAsia"/>
                <w:color w:val="000000"/>
                <w:kern w:val="0"/>
                <w:sz w:val="18"/>
                <w:szCs w:val="18"/>
              </w:rPr>
              <w:t>包含数字及文字描述</w:t>
            </w:r>
            <w:r>
              <w:rPr>
                <w:color w:val="000000"/>
                <w:kern w:val="0"/>
                <w:sz w:val="18"/>
                <w:szCs w:val="18"/>
              </w:rPr>
              <w:t>)</w:t>
            </w:r>
          </w:p>
        </w:tc>
        <w:tc>
          <w:tcPr>
            <w:tcW w:w="982" w:type="pct"/>
            <w:noWrap/>
            <w:vAlign w:val="center"/>
          </w:tcPr>
          <w:p>
            <w:pPr>
              <w:widowControl/>
              <w:jc w:val="center"/>
              <w:rPr>
                <w:color w:val="000000"/>
                <w:kern w:val="0"/>
                <w:sz w:val="18"/>
                <w:szCs w:val="18"/>
              </w:rPr>
            </w:pPr>
            <w:r>
              <w:rPr>
                <w:rFonts w:hint="eastAsia"/>
                <w:color w:val="000000"/>
                <w:kern w:val="0"/>
                <w:sz w:val="18"/>
                <w:szCs w:val="18"/>
              </w:rPr>
              <w:t>预算指标值执行结果</w:t>
            </w:r>
            <w:r>
              <w:rPr>
                <w:color w:val="000000"/>
                <w:kern w:val="0"/>
                <w:sz w:val="18"/>
                <w:szCs w:val="18"/>
              </w:rPr>
              <w:t>(</w:t>
            </w:r>
            <w:r>
              <w:rPr>
                <w:rFonts w:hint="eastAsia"/>
                <w:color w:val="000000"/>
                <w:kern w:val="0"/>
                <w:sz w:val="18"/>
                <w:szCs w:val="18"/>
              </w:rPr>
              <w:t>包含数字及文字描述</w:t>
            </w:r>
            <w:r>
              <w:rPr>
                <w:color w:val="000000"/>
                <w:kern w:val="0"/>
                <w:sz w:val="18"/>
                <w:szCs w:val="18"/>
              </w:rPr>
              <w:t>)</w:t>
            </w:r>
          </w:p>
        </w:tc>
        <w:tc>
          <w:tcPr>
            <w:tcW w:w="791" w:type="pct"/>
            <w:noWrap/>
            <w:vAlign w:val="center"/>
          </w:tcPr>
          <w:p>
            <w:pPr>
              <w:widowControl/>
              <w:jc w:val="center"/>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483" w:type="pct"/>
            <w:vMerge w:val="continue"/>
            <w:vAlign w:val="center"/>
          </w:tcPr>
          <w:p>
            <w:pPr>
              <w:widowControl/>
              <w:jc w:val="left"/>
              <w:rPr>
                <w:color w:val="000000"/>
                <w:kern w:val="0"/>
                <w:sz w:val="18"/>
                <w:szCs w:val="18"/>
              </w:rPr>
            </w:pPr>
          </w:p>
        </w:tc>
        <w:tc>
          <w:tcPr>
            <w:tcW w:w="574" w:type="pct"/>
            <w:vMerge w:val="restart"/>
            <w:noWrap/>
            <w:vAlign w:val="center"/>
          </w:tcPr>
          <w:p>
            <w:pPr>
              <w:widowControl/>
              <w:jc w:val="center"/>
              <w:rPr>
                <w:color w:val="000000"/>
                <w:kern w:val="0"/>
                <w:sz w:val="18"/>
                <w:szCs w:val="18"/>
              </w:rPr>
            </w:pPr>
            <w:r>
              <w:rPr>
                <w:rFonts w:hint="eastAsia"/>
                <w:color w:val="000000"/>
                <w:kern w:val="0"/>
                <w:sz w:val="18"/>
                <w:szCs w:val="18"/>
              </w:rPr>
              <w:t>完成</w:t>
            </w:r>
          </w:p>
          <w:p>
            <w:pPr>
              <w:widowControl/>
              <w:jc w:val="center"/>
              <w:rPr>
                <w:color w:val="000000"/>
                <w:kern w:val="0"/>
                <w:sz w:val="18"/>
                <w:szCs w:val="18"/>
              </w:rPr>
            </w:pPr>
            <w:r>
              <w:rPr>
                <w:rFonts w:hint="eastAsia"/>
                <w:color w:val="000000"/>
                <w:kern w:val="0"/>
                <w:sz w:val="18"/>
                <w:szCs w:val="18"/>
              </w:rPr>
              <w:t>指标</w:t>
            </w: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数量</w:t>
            </w:r>
          </w:p>
          <w:p>
            <w:pPr>
              <w:widowControl/>
              <w:spacing w:line="380" w:lineRule="exact"/>
              <w:jc w:val="center"/>
              <w:rPr>
                <w:color w:val="000000"/>
                <w:kern w:val="0"/>
                <w:sz w:val="18"/>
                <w:szCs w:val="18"/>
              </w:rPr>
            </w:pPr>
            <w:r>
              <w:rPr>
                <w:rFonts w:hint="eastAsia"/>
                <w:color w:val="000000"/>
                <w:kern w:val="0"/>
                <w:sz w:val="18"/>
                <w:szCs w:val="18"/>
              </w:rPr>
              <w:t>指标</w:t>
            </w:r>
          </w:p>
        </w:tc>
        <w:tc>
          <w:tcPr>
            <w:tcW w:w="484" w:type="pct"/>
            <w:noWrap/>
            <w:vAlign w:val="center"/>
          </w:tcPr>
          <w:p>
            <w:pPr>
              <w:widowControl/>
              <w:jc w:val="center"/>
              <w:rPr>
                <w:rFonts w:hint="default" w:eastAsia="仿宋_GB2312"/>
                <w:color w:val="000000"/>
                <w:kern w:val="0"/>
                <w:sz w:val="18"/>
                <w:szCs w:val="18"/>
                <w:lang w:val="en-US" w:eastAsia="zh-CN"/>
              </w:rPr>
            </w:pPr>
            <w:r>
              <w:rPr>
                <w:rFonts w:hint="eastAsia"/>
                <w:color w:val="000000"/>
                <w:kern w:val="0"/>
                <w:sz w:val="18"/>
                <w:szCs w:val="18"/>
                <w:lang w:eastAsia="zh-CN"/>
              </w:rPr>
              <w:t>促进农村客运健康发展，建制村</w:t>
            </w:r>
            <w:r>
              <w:rPr>
                <w:rFonts w:hint="eastAsia"/>
                <w:color w:val="000000"/>
                <w:kern w:val="0"/>
                <w:sz w:val="18"/>
                <w:szCs w:val="18"/>
                <w:lang w:val="en-US" w:eastAsia="zh-CN"/>
              </w:rPr>
              <w:t>100%通车。</w:t>
            </w:r>
          </w:p>
        </w:tc>
        <w:tc>
          <w:tcPr>
            <w:tcW w:w="1004" w:type="pct"/>
            <w:gridSpan w:val="2"/>
            <w:noWrap/>
            <w:vAlign w:val="center"/>
          </w:tcPr>
          <w:p>
            <w:pPr>
              <w:widowControl/>
              <w:jc w:val="left"/>
              <w:rPr>
                <w:rFonts w:hint="default" w:eastAsia="仿宋_GB2312"/>
                <w:color w:val="000000"/>
                <w:kern w:val="0"/>
                <w:sz w:val="18"/>
                <w:szCs w:val="18"/>
                <w:lang w:val="en-US" w:eastAsia="zh-CN"/>
              </w:rPr>
            </w:pPr>
            <w:r>
              <w:rPr>
                <w:rFonts w:hint="eastAsia"/>
                <w:color w:val="000000"/>
                <w:kern w:val="0"/>
                <w:sz w:val="18"/>
                <w:szCs w:val="18"/>
                <w:lang w:eastAsia="zh-CN"/>
              </w:rPr>
              <w:t>雁江区、安岳县、乐至县建制村</w:t>
            </w:r>
            <w:r>
              <w:rPr>
                <w:rFonts w:hint="eastAsia"/>
                <w:color w:val="000000"/>
                <w:kern w:val="0"/>
                <w:sz w:val="18"/>
                <w:szCs w:val="18"/>
                <w:lang w:val="en-US" w:eastAsia="zh-CN"/>
              </w:rPr>
              <w:t>100%通车。市补资金455.42万元。</w:t>
            </w:r>
            <w:bookmarkStart w:id="1" w:name="_GoBack"/>
            <w:bookmarkEnd w:id="1"/>
          </w:p>
        </w:tc>
        <w:tc>
          <w:tcPr>
            <w:tcW w:w="982" w:type="pct"/>
            <w:noWrap/>
            <w:vAlign w:val="center"/>
          </w:tcPr>
          <w:p>
            <w:pPr>
              <w:widowControl/>
              <w:jc w:val="left"/>
              <w:rPr>
                <w:color w:val="000000"/>
                <w:kern w:val="0"/>
                <w:sz w:val="18"/>
                <w:szCs w:val="18"/>
              </w:rPr>
            </w:pPr>
            <w:r>
              <w:rPr>
                <w:rFonts w:hint="eastAsia"/>
                <w:color w:val="000000"/>
                <w:kern w:val="0"/>
                <w:sz w:val="18"/>
                <w:szCs w:val="18"/>
              </w:rPr>
              <w:t>　按照工作进度及业务科室建议执行预算</w:t>
            </w:r>
          </w:p>
        </w:tc>
        <w:tc>
          <w:tcPr>
            <w:tcW w:w="791" w:type="pct"/>
            <w:noWrap/>
            <w:vAlign w:val="center"/>
          </w:tcPr>
          <w:p>
            <w:pPr>
              <w:widowControl/>
              <w:spacing w:line="380" w:lineRule="exact"/>
              <w:jc w:val="center"/>
              <w:rPr>
                <w:color w:val="000000"/>
                <w:kern w:val="0"/>
                <w:sz w:val="18"/>
                <w:szCs w:val="18"/>
              </w:rPr>
            </w:pPr>
          </w:p>
          <w:p>
            <w:pPr>
              <w:widowControl/>
              <w:spacing w:line="380" w:lineRule="exact"/>
              <w:jc w:val="center"/>
              <w:rPr>
                <w:color w:val="000000"/>
                <w:kern w:val="0"/>
                <w:sz w:val="18"/>
                <w:szCs w:val="18"/>
              </w:rPr>
            </w:pPr>
            <w:r>
              <w:rPr>
                <w:rFonts w:hint="eastAsia"/>
                <w:color w:val="000000"/>
                <w:kern w:val="0"/>
                <w:sz w:val="18"/>
                <w:szCs w:val="18"/>
              </w:rPr>
              <w:t>无偏差</w:t>
            </w:r>
          </w:p>
          <w:p>
            <w:pPr>
              <w:spacing w:line="3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质量</w:t>
            </w:r>
          </w:p>
          <w:p>
            <w:pPr>
              <w:widowControl/>
              <w:spacing w:line="380" w:lineRule="exact"/>
              <w:jc w:val="center"/>
              <w:rPr>
                <w:color w:val="000000"/>
                <w:kern w:val="0"/>
                <w:sz w:val="18"/>
                <w:szCs w:val="18"/>
              </w:rPr>
            </w:pPr>
            <w:r>
              <w:rPr>
                <w:rFonts w:hint="eastAsia"/>
                <w:color w:val="000000"/>
                <w:kern w:val="0"/>
                <w:sz w:val="18"/>
                <w:szCs w:val="18"/>
              </w:rPr>
              <w:t>指标</w:t>
            </w:r>
          </w:p>
        </w:tc>
        <w:tc>
          <w:tcPr>
            <w:tcW w:w="484" w:type="pct"/>
            <w:noWrap/>
            <w:vAlign w:val="center"/>
          </w:tcPr>
          <w:p>
            <w:pPr>
              <w:widowControl/>
              <w:jc w:val="center"/>
              <w:rPr>
                <w:rFonts w:hint="eastAsia" w:eastAsia="仿宋_GB2312"/>
                <w:color w:val="000000"/>
                <w:kern w:val="0"/>
                <w:sz w:val="18"/>
                <w:szCs w:val="18"/>
                <w:lang w:eastAsia="zh-CN"/>
              </w:rPr>
            </w:pPr>
            <w:r>
              <w:rPr>
                <w:rFonts w:hint="eastAsia"/>
                <w:color w:val="000000"/>
                <w:kern w:val="0"/>
                <w:sz w:val="18"/>
                <w:szCs w:val="18"/>
              </w:rPr>
              <w:t>中央、省要求</w:t>
            </w:r>
            <w:r>
              <w:rPr>
                <w:rFonts w:hint="eastAsia"/>
                <w:color w:val="000000"/>
                <w:kern w:val="0"/>
                <w:sz w:val="18"/>
                <w:szCs w:val="18"/>
                <w:lang w:eastAsia="zh-CN"/>
              </w:rPr>
              <w:t>真通实通</w:t>
            </w:r>
          </w:p>
        </w:tc>
        <w:tc>
          <w:tcPr>
            <w:tcW w:w="1004" w:type="pct"/>
            <w:gridSpan w:val="2"/>
            <w:noWrap/>
            <w:vAlign w:val="center"/>
          </w:tcPr>
          <w:p>
            <w:pPr>
              <w:widowControl/>
              <w:jc w:val="center"/>
              <w:rPr>
                <w:rFonts w:hint="eastAsia" w:eastAsia="仿宋_GB2312"/>
                <w:color w:val="000000"/>
                <w:kern w:val="0"/>
                <w:sz w:val="18"/>
                <w:szCs w:val="18"/>
                <w:lang w:eastAsia="zh-CN"/>
              </w:rPr>
            </w:pPr>
            <w:r>
              <w:rPr>
                <w:rFonts w:hint="eastAsia"/>
                <w:color w:val="000000"/>
                <w:kern w:val="0"/>
                <w:sz w:val="18"/>
                <w:szCs w:val="18"/>
                <w:lang w:eastAsia="zh-CN"/>
              </w:rPr>
              <w:t>要求真通实通</w:t>
            </w:r>
          </w:p>
        </w:tc>
        <w:tc>
          <w:tcPr>
            <w:tcW w:w="982" w:type="pct"/>
            <w:noWrap/>
            <w:vAlign w:val="center"/>
          </w:tcPr>
          <w:p>
            <w:pPr>
              <w:widowControl/>
              <w:jc w:val="center"/>
              <w:rPr>
                <w:rFonts w:hint="eastAsia" w:eastAsia="仿宋_GB2312"/>
                <w:color w:val="000000"/>
                <w:kern w:val="0"/>
                <w:sz w:val="18"/>
                <w:szCs w:val="18"/>
                <w:lang w:eastAsia="zh-CN"/>
              </w:rPr>
            </w:pPr>
            <w:r>
              <w:rPr>
                <w:rFonts w:hint="eastAsia"/>
                <w:color w:val="000000"/>
                <w:kern w:val="0"/>
                <w:sz w:val="18"/>
                <w:szCs w:val="18"/>
                <w:lang w:eastAsia="zh-CN"/>
              </w:rPr>
              <w:t>合格</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时效</w:t>
            </w:r>
          </w:p>
          <w:p>
            <w:pPr>
              <w:widowControl/>
              <w:spacing w:line="380" w:lineRule="exact"/>
              <w:jc w:val="center"/>
              <w:rPr>
                <w:color w:val="000000"/>
                <w:kern w:val="0"/>
                <w:sz w:val="18"/>
                <w:szCs w:val="18"/>
              </w:rPr>
            </w:pPr>
            <w:r>
              <w:rPr>
                <w:rFonts w:hint="eastAsia"/>
                <w:color w:val="000000"/>
                <w:kern w:val="0"/>
                <w:sz w:val="18"/>
                <w:szCs w:val="18"/>
              </w:rPr>
              <w:t>指标</w:t>
            </w:r>
          </w:p>
        </w:tc>
        <w:tc>
          <w:tcPr>
            <w:tcW w:w="484" w:type="pct"/>
            <w:noWrap/>
            <w:vAlign w:val="center"/>
          </w:tcPr>
          <w:p>
            <w:pPr>
              <w:widowControl/>
              <w:jc w:val="center"/>
              <w:rPr>
                <w:color w:val="000000"/>
                <w:kern w:val="0"/>
                <w:sz w:val="18"/>
                <w:szCs w:val="18"/>
              </w:rPr>
            </w:pPr>
            <w:r>
              <w:rPr>
                <w:rFonts w:hint="eastAsia"/>
                <w:color w:val="000000"/>
                <w:kern w:val="0"/>
                <w:sz w:val="18"/>
                <w:szCs w:val="18"/>
              </w:rPr>
              <w:t>一个年度</w:t>
            </w:r>
          </w:p>
        </w:tc>
        <w:tc>
          <w:tcPr>
            <w:tcW w:w="1004" w:type="pct"/>
            <w:gridSpan w:val="2"/>
            <w:noWrap/>
            <w:vAlign w:val="center"/>
          </w:tcPr>
          <w:p>
            <w:pPr>
              <w:widowControl/>
              <w:ind w:firstLine="270" w:firstLineChars="150"/>
              <w:jc w:val="left"/>
              <w:rPr>
                <w:color w:val="000000"/>
                <w:kern w:val="0"/>
                <w:sz w:val="18"/>
                <w:szCs w:val="18"/>
              </w:rPr>
            </w:pPr>
            <w:r>
              <w:rPr>
                <w:rFonts w:hint="eastAsia"/>
                <w:color w:val="000000"/>
                <w:kern w:val="0"/>
                <w:sz w:val="18"/>
                <w:szCs w:val="18"/>
              </w:rPr>
              <w:t>要求年度内完成</w:t>
            </w:r>
          </w:p>
        </w:tc>
        <w:tc>
          <w:tcPr>
            <w:tcW w:w="982" w:type="pct"/>
            <w:noWrap/>
            <w:vAlign w:val="center"/>
          </w:tcPr>
          <w:p>
            <w:pPr>
              <w:widowControl/>
              <w:ind w:firstLine="360" w:firstLineChars="200"/>
              <w:jc w:val="left"/>
              <w:rPr>
                <w:color w:val="000000"/>
                <w:kern w:val="0"/>
                <w:sz w:val="18"/>
                <w:szCs w:val="18"/>
              </w:rPr>
            </w:pPr>
            <w:r>
              <w:rPr>
                <w:rFonts w:hint="eastAsia"/>
                <w:color w:val="000000"/>
                <w:kern w:val="0"/>
                <w:sz w:val="18"/>
                <w:szCs w:val="18"/>
              </w:rPr>
              <w:t>全部完工</w:t>
            </w:r>
          </w:p>
        </w:tc>
        <w:tc>
          <w:tcPr>
            <w:tcW w:w="791" w:type="pct"/>
            <w:noWrap/>
            <w:vAlign w:val="center"/>
          </w:tcPr>
          <w:p>
            <w:pPr>
              <w:widowControl/>
              <w:ind w:firstLine="360" w:firstLineChars="200"/>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成本</w:t>
            </w:r>
          </w:p>
          <w:p>
            <w:pPr>
              <w:widowControl/>
              <w:spacing w:line="380" w:lineRule="exact"/>
              <w:jc w:val="center"/>
              <w:rPr>
                <w:color w:val="000000"/>
                <w:kern w:val="0"/>
                <w:sz w:val="18"/>
                <w:szCs w:val="18"/>
              </w:rPr>
            </w:pPr>
            <w:r>
              <w:rPr>
                <w:rFonts w:hint="eastAsia"/>
                <w:color w:val="000000"/>
                <w:kern w:val="0"/>
                <w:sz w:val="18"/>
                <w:szCs w:val="18"/>
              </w:rPr>
              <w:t>指标</w:t>
            </w:r>
          </w:p>
        </w:tc>
        <w:tc>
          <w:tcPr>
            <w:tcW w:w="484" w:type="pct"/>
            <w:noWrap/>
            <w:vAlign w:val="center"/>
          </w:tcPr>
          <w:p>
            <w:pPr>
              <w:widowControl/>
              <w:jc w:val="center"/>
              <w:rPr>
                <w:color w:val="000000"/>
                <w:kern w:val="0"/>
                <w:sz w:val="18"/>
                <w:szCs w:val="18"/>
              </w:rPr>
            </w:pPr>
            <w:r>
              <w:rPr>
                <w:rFonts w:hint="eastAsia"/>
                <w:color w:val="000000"/>
                <w:kern w:val="0"/>
                <w:sz w:val="18"/>
                <w:szCs w:val="18"/>
              </w:rPr>
              <w:t>计划投入</w:t>
            </w:r>
          </w:p>
        </w:tc>
        <w:tc>
          <w:tcPr>
            <w:tcW w:w="1004" w:type="pct"/>
            <w:gridSpan w:val="2"/>
            <w:noWrap/>
            <w:vAlign w:val="center"/>
          </w:tcPr>
          <w:p>
            <w:pPr>
              <w:widowControl/>
              <w:jc w:val="left"/>
              <w:rPr>
                <w:color w:val="000000"/>
                <w:kern w:val="0"/>
                <w:sz w:val="18"/>
                <w:szCs w:val="18"/>
              </w:rPr>
            </w:pPr>
            <w:r>
              <w:rPr>
                <w:rFonts w:hint="eastAsia"/>
                <w:color w:val="000000"/>
                <w:kern w:val="0"/>
                <w:sz w:val="18"/>
                <w:szCs w:val="18"/>
              </w:rPr>
              <w:t>　按预算执行</w:t>
            </w:r>
          </w:p>
        </w:tc>
        <w:tc>
          <w:tcPr>
            <w:tcW w:w="982" w:type="pct"/>
            <w:noWrap/>
            <w:vAlign w:val="center"/>
          </w:tcPr>
          <w:p>
            <w:pPr>
              <w:widowControl/>
              <w:jc w:val="left"/>
              <w:rPr>
                <w:color w:val="000000"/>
                <w:kern w:val="0"/>
                <w:sz w:val="18"/>
                <w:szCs w:val="18"/>
              </w:rPr>
            </w:pPr>
            <w:r>
              <w:rPr>
                <w:rFonts w:hint="eastAsia"/>
                <w:color w:val="000000"/>
                <w:kern w:val="0"/>
                <w:sz w:val="18"/>
                <w:szCs w:val="18"/>
              </w:rPr>
              <w:t>　　按预算执行</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483" w:type="pct"/>
            <w:vMerge w:val="continue"/>
            <w:vAlign w:val="center"/>
          </w:tcPr>
          <w:p>
            <w:pPr>
              <w:widowControl/>
              <w:jc w:val="left"/>
              <w:rPr>
                <w:color w:val="000000"/>
                <w:kern w:val="0"/>
                <w:sz w:val="18"/>
                <w:szCs w:val="18"/>
              </w:rPr>
            </w:pPr>
          </w:p>
        </w:tc>
        <w:tc>
          <w:tcPr>
            <w:tcW w:w="574" w:type="pct"/>
            <w:vMerge w:val="restart"/>
            <w:noWrap/>
            <w:vAlign w:val="center"/>
          </w:tcPr>
          <w:p>
            <w:pPr>
              <w:widowControl/>
              <w:jc w:val="center"/>
              <w:rPr>
                <w:color w:val="000000"/>
                <w:kern w:val="0"/>
                <w:sz w:val="18"/>
                <w:szCs w:val="18"/>
              </w:rPr>
            </w:pPr>
            <w:r>
              <w:rPr>
                <w:rFonts w:hint="eastAsia"/>
                <w:color w:val="000000"/>
                <w:kern w:val="0"/>
                <w:sz w:val="18"/>
                <w:szCs w:val="18"/>
              </w:rPr>
              <w:t>效益</w:t>
            </w:r>
          </w:p>
          <w:p>
            <w:pPr>
              <w:widowControl/>
              <w:jc w:val="center"/>
              <w:rPr>
                <w:color w:val="000000"/>
                <w:kern w:val="0"/>
                <w:sz w:val="18"/>
                <w:szCs w:val="18"/>
              </w:rPr>
            </w:pPr>
            <w:r>
              <w:rPr>
                <w:rFonts w:hint="eastAsia"/>
                <w:color w:val="000000"/>
                <w:kern w:val="0"/>
                <w:sz w:val="18"/>
                <w:szCs w:val="18"/>
              </w:rPr>
              <w:t>指标</w:t>
            </w: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经济效益指标</w:t>
            </w:r>
          </w:p>
        </w:tc>
        <w:tc>
          <w:tcPr>
            <w:tcW w:w="484" w:type="pct"/>
            <w:noWrap/>
            <w:vAlign w:val="center"/>
          </w:tcPr>
          <w:p>
            <w:pPr>
              <w:widowControl/>
              <w:jc w:val="center"/>
              <w:rPr>
                <w:b/>
                <w:color w:val="000000"/>
                <w:kern w:val="0"/>
                <w:sz w:val="18"/>
                <w:szCs w:val="18"/>
              </w:rPr>
            </w:pPr>
            <w:r>
              <w:rPr>
                <w:b/>
                <w:color w:val="000000"/>
                <w:kern w:val="0"/>
                <w:sz w:val="18"/>
                <w:szCs w:val="18"/>
              </w:rPr>
              <w:t>1</w:t>
            </w:r>
          </w:p>
        </w:tc>
        <w:tc>
          <w:tcPr>
            <w:tcW w:w="1004" w:type="pct"/>
            <w:gridSpan w:val="2"/>
            <w:noWrap/>
            <w:vAlign w:val="center"/>
          </w:tcPr>
          <w:p>
            <w:pPr>
              <w:widowControl/>
              <w:jc w:val="left"/>
              <w:rPr>
                <w:color w:val="000000"/>
                <w:kern w:val="0"/>
                <w:sz w:val="18"/>
                <w:szCs w:val="18"/>
              </w:rPr>
            </w:pPr>
            <w:r>
              <w:rPr>
                <w:rFonts w:hint="eastAsia"/>
                <w:color w:val="000000"/>
                <w:kern w:val="0"/>
                <w:sz w:val="18"/>
                <w:szCs w:val="18"/>
              </w:rPr>
              <w:t>　促进运输企业发展做大做强，降低运输成本</w:t>
            </w:r>
          </w:p>
        </w:tc>
        <w:tc>
          <w:tcPr>
            <w:tcW w:w="982" w:type="pct"/>
            <w:noWrap/>
            <w:vAlign w:val="center"/>
          </w:tcPr>
          <w:p>
            <w:pPr>
              <w:widowControl/>
              <w:spacing w:line="380" w:lineRule="exact"/>
              <w:jc w:val="left"/>
              <w:rPr>
                <w:color w:val="000000"/>
                <w:kern w:val="0"/>
                <w:sz w:val="18"/>
                <w:szCs w:val="18"/>
              </w:rPr>
            </w:pPr>
            <w:r>
              <w:rPr>
                <w:rFonts w:hint="eastAsia"/>
                <w:color w:val="000000"/>
                <w:kern w:val="0"/>
                <w:sz w:val="18"/>
                <w:szCs w:val="18"/>
              </w:rPr>
              <w:t>　</w:t>
            </w:r>
          </w:p>
          <w:p>
            <w:pPr>
              <w:spacing w:line="380" w:lineRule="exact"/>
              <w:jc w:val="left"/>
              <w:rPr>
                <w:color w:val="000000"/>
                <w:kern w:val="0"/>
                <w:sz w:val="18"/>
                <w:szCs w:val="18"/>
              </w:rPr>
            </w:pPr>
            <w:r>
              <w:rPr>
                <w:rFonts w:hint="eastAsia"/>
                <w:color w:val="000000"/>
                <w:kern w:val="0"/>
                <w:sz w:val="18"/>
                <w:szCs w:val="18"/>
              </w:rPr>
              <w:t>　促进运输企业发展做大做强，降低运输成本　</w:t>
            </w:r>
          </w:p>
        </w:tc>
        <w:tc>
          <w:tcPr>
            <w:tcW w:w="791" w:type="pct"/>
            <w:noWrap/>
            <w:vAlign w:val="center"/>
          </w:tcPr>
          <w:p>
            <w:pPr>
              <w:widowControl/>
              <w:spacing w:line="380" w:lineRule="exact"/>
              <w:jc w:val="center"/>
              <w:rPr>
                <w:color w:val="000000"/>
                <w:kern w:val="0"/>
                <w:sz w:val="18"/>
                <w:szCs w:val="18"/>
              </w:rPr>
            </w:pPr>
          </w:p>
          <w:p>
            <w:pPr>
              <w:widowControl/>
              <w:spacing w:line="380" w:lineRule="exact"/>
              <w:jc w:val="center"/>
              <w:rPr>
                <w:color w:val="000000"/>
                <w:kern w:val="0"/>
                <w:sz w:val="18"/>
                <w:szCs w:val="18"/>
              </w:rPr>
            </w:pPr>
          </w:p>
          <w:p>
            <w:pPr>
              <w:spacing w:line="380" w:lineRule="exact"/>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社会效益指标</w:t>
            </w:r>
          </w:p>
        </w:tc>
        <w:tc>
          <w:tcPr>
            <w:tcW w:w="484" w:type="pct"/>
            <w:noWrap/>
            <w:vAlign w:val="center"/>
          </w:tcPr>
          <w:p>
            <w:pPr>
              <w:widowControl/>
              <w:jc w:val="center"/>
              <w:rPr>
                <w:b/>
                <w:color w:val="000000"/>
                <w:kern w:val="0"/>
                <w:sz w:val="18"/>
                <w:szCs w:val="18"/>
              </w:rPr>
            </w:pPr>
            <w:r>
              <w:rPr>
                <w:b/>
                <w:color w:val="000000"/>
                <w:kern w:val="0"/>
                <w:sz w:val="18"/>
                <w:szCs w:val="18"/>
              </w:rPr>
              <w:t>1</w:t>
            </w:r>
          </w:p>
        </w:tc>
        <w:tc>
          <w:tcPr>
            <w:tcW w:w="1004" w:type="pct"/>
            <w:gridSpan w:val="2"/>
            <w:noWrap/>
            <w:vAlign w:val="center"/>
          </w:tcPr>
          <w:p>
            <w:pPr>
              <w:widowControl/>
              <w:jc w:val="left"/>
              <w:rPr>
                <w:color w:val="000000"/>
                <w:kern w:val="0"/>
                <w:sz w:val="18"/>
                <w:szCs w:val="18"/>
              </w:rPr>
            </w:pPr>
            <w:r>
              <w:rPr>
                <w:rFonts w:hint="eastAsia"/>
                <w:color w:val="000000"/>
                <w:kern w:val="0"/>
                <w:sz w:val="18"/>
                <w:szCs w:val="18"/>
              </w:rPr>
              <w:t>　</w:t>
            </w:r>
            <w:r>
              <w:rPr>
                <w:color w:val="000000"/>
                <w:kern w:val="0"/>
                <w:sz w:val="18"/>
                <w:szCs w:val="18"/>
              </w:rPr>
              <w:t xml:space="preserve"> </w:t>
            </w:r>
            <w:r>
              <w:rPr>
                <w:rFonts w:hint="eastAsia"/>
                <w:color w:val="000000"/>
                <w:kern w:val="0"/>
                <w:sz w:val="18"/>
                <w:szCs w:val="18"/>
              </w:rPr>
              <w:t>营造一个安全舒适便捷的道路运输出行环境</w:t>
            </w:r>
          </w:p>
        </w:tc>
        <w:tc>
          <w:tcPr>
            <w:tcW w:w="982" w:type="pct"/>
            <w:noWrap/>
            <w:vAlign w:val="center"/>
          </w:tcPr>
          <w:p>
            <w:pPr>
              <w:widowControl/>
              <w:jc w:val="left"/>
              <w:rPr>
                <w:color w:val="000000"/>
                <w:kern w:val="0"/>
                <w:sz w:val="18"/>
                <w:szCs w:val="18"/>
              </w:rPr>
            </w:pPr>
            <w:r>
              <w:rPr>
                <w:rFonts w:hint="eastAsia"/>
                <w:color w:val="000000"/>
                <w:kern w:val="0"/>
                <w:sz w:val="18"/>
                <w:szCs w:val="18"/>
              </w:rPr>
              <w:t>　营造一个安全舒适便捷的道路运输出行环境</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生态效益指标</w:t>
            </w:r>
          </w:p>
        </w:tc>
        <w:tc>
          <w:tcPr>
            <w:tcW w:w="484" w:type="pct"/>
            <w:noWrap/>
            <w:vAlign w:val="center"/>
          </w:tcPr>
          <w:p>
            <w:pPr>
              <w:widowControl/>
              <w:jc w:val="center"/>
              <w:rPr>
                <w:b/>
                <w:color w:val="000000"/>
                <w:kern w:val="0"/>
                <w:sz w:val="18"/>
                <w:szCs w:val="18"/>
              </w:rPr>
            </w:pPr>
            <w:r>
              <w:rPr>
                <w:b/>
                <w:color w:val="000000"/>
                <w:kern w:val="0"/>
                <w:sz w:val="18"/>
                <w:szCs w:val="18"/>
              </w:rPr>
              <w:t>1</w:t>
            </w:r>
          </w:p>
        </w:tc>
        <w:tc>
          <w:tcPr>
            <w:tcW w:w="1004" w:type="pct"/>
            <w:gridSpan w:val="2"/>
            <w:noWrap/>
            <w:vAlign w:val="center"/>
          </w:tcPr>
          <w:p>
            <w:pPr>
              <w:widowControl/>
              <w:jc w:val="left"/>
              <w:rPr>
                <w:kern w:val="0"/>
                <w:sz w:val="20"/>
                <w:szCs w:val="20"/>
              </w:rPr>
            </w:pPr>
            <w:r>
              <w:rPr>
                <w:rFonts w:hint="eastAsia"/>
                <w:color w:val="000000"/>
                <w:kern w:val="0"/>
                <w:sz w:val="18"/>
                <w:szCs w:val="18"/>
              </w:rPr>
              <w:t>　加快城乡统筹发展，逐步实现城乡交通运输一体化</w:t>
            </w:r>
          </w:p>
        </w:tc>
        <w:tc>
          <w:tcPr>
            <w:tcW w:w="982" w:type="pct"/>
            <w:noWrap/>
            <w:vAlign w:val="center"/>
          </w:tcPr>
          <w:p>
            <w:pPr>
              <w:widowControl/>
              <w:jc w:val="left"/>
              <w:rPr>
                <w:kern w:val="0"/>
                <w:sz w:val="20"/>
                <w:szCs w:val="20"/>
              </w:rPr>
            </w:pPr>
            <w:r>
              <w:rPr>
                <w:rFonts w:hint="eastAsia"/>
                <w:color w:val="000000"/>
                <w:kern w:val="0"/>
                <w:sz w:val="18"/>
                <w:szCs w:val="18"/>
              </w:rPr>
              <w:t>　　加快城乡统筹发展，逐步实现城乡交通运输一体</w:t>
            </w:r>
            <w:r>
              <w:rPr>
                <w:rFonts w:hint="eastAsia"/>
                <w:kern w:val="0"/>
                <w:sz w:val="20"/>
                <w:szCs w:val="20"/>
              </w:rPr>
              <w:t>化</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83" w:type="pct"/>
            <w:vMerge w:val="continue"/>
            <w:vAlign w:val="center"/>
          </w:tcPr>
          <w:p>
            <w:pPr>
              <w:widowControl/>
              <w:jc w:val="left"/>
              <w:rPr>
                <w:color w:val="000000"/>
                <w:kern w:val="0"/>
                <w:sz w:val="18"/>
                <w:szCs w:val="18"/>
              </w:rPr>
            </w:pPr>
          </w:p>
        </w:tc>
        <w:tc>
          <w:tcPr>
            <w:tcW w:w="574" w:type="pct"/>
            <w:vMerge w:val="continue"/>
            <w:vAlign w:val="center"/>
          </w:tcPr>
          <w:p>
            <w:pPr>
              <w:widowControl/>
              <w:jc w:val="left"/>
              <w:rPr>
                <w:color w:val="000000"/>
                <w:kern w:val="0"/>
                <w:sz w:val="18"/>
                <w:szCs w:val="18"/>
              </w:rPr>
            </w:pP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可持续影响指标</w:t>
            </w:r>
          </w:p>
        </w:tc>
        <w:tc>
          <w:tcPr>
            <w:tcW w:w="484" w:type="pct"/>
            <w:noWrap/>
            <w:vAlign w:val="center"/>
          </w:tcPr>
          <w:p>
            <w:pPr>
              <w:widowControl/>
              <w:jc w:val="center"/>
              <w:rPr>
                <w:b/>
                <w:color w:val="000000"/>
                <w:kern w:val="0"/>
                <w:sz w:val="18"/>
                <w:szCs w:val="18"/>
              </w:rPr>
            </w:pPr>
            <w:r>
              <w:rPr>
                <w:b/>
                <w:color w:val="000000"/>
                <w:kern w:val="0"/>
                <w:sz w:val="18"/>
                <w:szCs w:val="18"/>
              </w:rPr>
              <w:t>1</w:t>
            </w:r>
          </w:p>
        </w:tc>
        <w:tc>
          <w:tcPr>
            <w:tcW w:w="1004" w:type="pct"/>
            <w:gridSpan w:val="2"/>
            <w:noWrap/>
            <w:vAlign w:val="center"/>
          </w:tcPr>
          <w:p>
            <w:pPr>
              <w:widowControl/>
              <w:jc w:val="left"/>
              <w:rPr>
                <w:color w:val="000000"/>
                <w:kern w:val="0"/>
                <w:sz w:val="18"/>
                <w:szCs w:val="18"/>
              </w:rPr>
            </w:pPr>
            <w:r>
              <w:rPr>
                <w:rFonts w:hint="eastAsia"/>
                <w:color w:val="000000"/>
                <w:kern w:val="0"/>
                <w:sz w:val="18"/>
                <w:szCs w:val="18"/>
              </w:rPr>
              <w:t>　形成一套技术先进，科学智能的道路运输管理系统</w:t>
            </w:r>
          </w:p>
        </w:tc>
        <w:tc>
          <w:tcPr>
            <w:tcW w:w="982" w:type="pct"/>
            <w:noWrap/>
            <w:vAlign w:val="center"/>
          </w:tcPr>
          <w:p>
            <w:pPr>
              <w:widowControl/>
              <w:jc w:val="left"/>
              <w:rPr>
                <w:color w:val="000000"/>
                <w:kern w:val="0"/>
                <w:sz w:val="18"/>
                <w:szCs w:val="18"/>
              </w:rPr>
            </w:pPr>
            <w:r>
              <w:rPr>
                <w:rFonts w:hint="eastAsia"/>
                <w:color w:val="000000"/>
                <w:kern w:val="0"/>
                <w:sz w:val="18"/>
                <w:szCs w:val="18"/>
              </w:rPr>
              <w:t>　形成一套技术先进，科学智能的道路运输管理系统</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83" w:type="pct"/>
            <w:vMerge w:val="continue"/>
            <w:vAlign w:val="center"/>
          </w:tcPr>
          <w:p>
            <w:pPr>
              <w:widowControl/>
              <w:jc w:val="left"/>
              <w:rPr>
                <w:color w:val="000000"/>
                <w:kern w:val="0"/>
                <w:sz w:val="18"/>
                <w:szCs w:val="18"/>
              </w:rPr>
            </w:pPr>
          </w:p>
        </w:tc>
        <w:tc>
          <w:tcPr>
            <w:tcW w:w="574" w:type="pct"/>
            <w:noWrap/>
            <w:vAlign w:val="center"/>
          </w:tcPr>
          <w:p>
            <w:pPr>
              <w:widowControl/>
              <w:jc w:val="center"/>
              <w:rPr>
                <w:color w:val="000000"/>
                <w:kern w:val="0"/>
                <w:sz w:val="18"/>
                <w:szCs w:val="18"/>
              </w:rPr>
            </w:pPr>
            <w:r>
              <w:rPr>
                <w:rFonts w:hint="eastAsia"/>
                <w:color w:val="000000"/>
                <w:kern w:val="0"/>
                <w:sz w:val="18"/>
                <w:szCs w:val="18"/>
              </w:rPr>
              <w:t>满意度</w:t>
            </w:r>
          </w:p>
          <w:p>
            <w:pPr>
              <w:widowControl/>
              <w:jc w:val="center"/>
              <w:rPr>
                <w:color w:val="000000"/>
                <w:kern w:val="0"/>
                <w:sz w:val="18"/>
                <w:szCs w:val="18"/>
              </w:rPr>
            </w:pPr>
            <w:r>
              <w:rPr>
                <w:rFonts w:hint="eastAsia"/>
                <w:color w:val="000000"/>
                <w:kern w:val="0"/>
                <w:sz w:val="18"/>
                <w:szCs w:val="18"/>
              </w:rPr>
              <w:t>指标</w:t>
            </w:r>
          </w:p>
        </w:tc>
        <w:tc>
          <w:tcPr>
            <w:tcW w:w="682" w:type="pct"/>
            <w:noWrap/>
            <w:vAlign w:val="center"/>
          </w:tcPr>
          <w:p>
            <w:pPr>
              <w:widowControl/>
              <w:spacing w:line="380" w:lineRule="exact"/>
              <w:jc w:val="center"/>
              <w:rPr>
                <w:color w:val="000000"/>
                <w:kern w:val="0"/>
                <w:sz w:val="18"/>
                <w:szCs w:val="18"/>
              </w:rPr>
            </w:pPr>
            <w:r>
              <w:rPr>
                <w:rFonts w:hint="eastAsia"/>
                <w:color w:val="000000"/>
                <w:kern w:val="0"/>
                <w:sz w:val="18"/>
                <w:szCs w:val="18"/>
              </w:rPr>
              <w:t>满意度指标</w:t>
            </w:r>
          </w:p>
        </w:tc>
        <w:tc>
          <w:tcPr>
            <w:tcW w:w="484" w:type="pct"/>
            <w:noWrap/>
            <w:vAlign w:val="center"/>
          </w:tcPr>
          <w:p>
            <w:pPr>
              <w:widowControl/>
              <w:jc w:val="center"/>
              <w:rPr>
                <w:b/>
                <w:color w:val="000000"/>
                <w:kern w:val="0"/>
                <w:sz w:val="18"/>
                <w:szCs w:val="18"/>
              </w:rPr>
            </w:pPr>
            <w:r>
              <w:rPr>
                <w:b/>
                <w:color w:val="000000"/>
                <w:kern w:val="0"/>
                <w:sz w:val="18"/>
                <w:szCs w:val="18"/>
              </w:rPr>
              <w:t>1</w:t>
            </w:r>
          </w:p>
        </w:tc>
        <w:tc>
          <w:tcPr>
            <w:tcW w:w="1004" w:type="pct"/>
            <w:gridSpan w:val="2"/>
            <w:noWrap/>
            <w:vAlign w:val="center"/>
          </w:tcPr>
          <w:p>
            <w:pPr>
              <w:widowControl/>
              <w:jc w:val="left"/>
              <w:rPr>
                <w:color w:val="000000"/>
                <w:kern w:val="0"/>
                <w:sz w:val="18"/>
                <w:szCs w:val="18"/>
              </w:rPr>
            </w:pPr>
            <w:r>
              <w:rPr>
                <w:rFonts w:hint="eastAsia"/>
                <w:color w:val="000000"/>
                <w:kern w:val="0"/>
                <w:sz w:val="18"/>
                <w:szCs w:val="18"/>
              </w:rPr>
              <w:t>　</w:t>
            </w:r>
            <w:bookmarkStart w:id="0" w:name="OLE_LINK2"/>
            <w:r>
              <w:rPr>
                <w:rFonts w:hint="eastAsia"/>
                <w:color w:val="000000"/>
                <w:kern w:val="0"/>
                <w:sz w:val="18"/>
                <w:szCs w:val="18"/>
              </w:rPr>
              <w:t>改善道路运输出行环境及方式，方便广大群众出行，群众满意度高。</w:t>
            </w:r>
            <w:bookmarkEnd w:id="0"/>
          </w:p>
        </w:tc>
        <w:tc>
          <w:tcPr>
            <w:tcW w:w="982" w:type="pct"/>
            <w:noWrap/>
            <w:vAlign w:val="center"/>
          </w:tcPr>
          <w:p>
            <w:pPr>
              <w:widowControl/>
              <w:jc w:val="left"/>
              <w:rPr>
                <w:color w:val="000000"/>
                <w:kern w:val="0"/>
                <w:sz w:val="18"/>
                <w:szCs w:val="18"/>
              </w:rPr>
            </w:pPr>
            <w:r>
              <w:rPr>
                <w:rFonts w:hint="eastAsia"/>
                <w:color w:val="000000"/>
                <w:kern w:val="0"/>
                <w:sz w:val="18"/>
                <w:szCs w:val="18"/>
              </w:rPr>
              <w:t>　改善道路运输出行环境及方式，方便广大群众出行，群众满意度高。</w:t>
            </w:r>
          </w:p>
        </w:tc>
        <w:tc>
          <w:tcPr>
            <w:tcW w:w="791" w:type="pct"/>
            <w:noWrap/>
            <w:vAlign w:val="center"/>
          </w:tcPr>
          <w:p>
            <w:pPr>
              <w:widowControl/>
              <w:jc w:val="center"/>
              <w:rPr>
                <w:color w:val="000000"/>
                <w:kern w:val="0"/>
                <w:sz w:val="18"/>
                <w:szCs w:val="18"/>
              </w:rPr>
            </w:pPr>
            <w:r>
              <w:rPr>
                <w:rFonts w:hint="eastAsia"/>
                <w:color w:val="000000"/>
                <w:kern w:val="0"/>
                <w:sz w:val="18"/>
                <w:szCs w:val="18"/>
              </w:rPr>
              <w:t>无偏差</w:t>
            </w:r>
          </w:p>
        </w:tc>
      </w:tr>
    </w:tbl>
    <w:p>
      <w:pPr>
        <w:spacing w:line="620" w:lineRule="exact"/>
        <w:jc w:val="left"/>
        <w:rPr>
          <w:rFonts w:eastAsia="方正黑体简体"/>
        </w:rPr>
      </w:pPr>
    </w:p>
    <w:sectPr>
      <w:pgSz w:w="11906" w:h="16838"/>
      <w:pgMar w:top="2098" w:right="1474" w:bottom="1985" w:left="1588"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90"/>
    <w:rsid w:val="00015EE3"/>
    <w:rsid w:val="000539B1"/>
    <w:rsid w:val="0006125C"/>
    <w:rsid w:val="00080F96"/>
    <w:rsid w:val="000A37E9"/>
    <w:rsid w:val="000C1029"/>
    <w:rsid w:val="000D2AFA"/>
    <w:rsid w:val="00104BC9"/>
    <w:rsid w:val="0010785A"/>
    <w:rsid w:val="00107945"/>
    <w:rsid w:val="001153FD"/>
    <w:rsid w:val="00133A0A"/>
    <w:rsid w:val="00196777"/>
    <w:rsid w:val="00196A6C"/>
    <w:rsid w:val="001B0A93"/>
    <w:rsid w:val="001B0F6B"/>
    <w:rsid w:val="001B4C20"/>
    <w:rsid w:val="0020175B"/>
    <w:rsid w:val="00203DF4"/>
    <w:rsid w:val="00214615"/>
    <w:rsid w:val="00243055"/>
    <w:rsid w:val="002555F2"/>
    <w:rsid w:val="00260143"/>
    <w:rsid w:val="00273785"/>
    <w:rsid w:val="00284000"/>
    <w:rsid w:val="00285440"/>
    <w:rsid w:val="00291582"/>
    <w:rsid w:val="00294DFF"/>
    <w:rsid w:val="002C002D"/>
    <w:rsid w:val="002C69EE"/>
    <w:rsid w:val="002E60B2"/>
    <w:rsid w:val="0030037F"/>
    <w:rsid w:val="00310C08"/>
    <w:rsid w:val="00326DA3"/>
    <w:rsid w:val="00347C11"/>
    <w:rsid w:val="00357C59"/>
    <w:rsid w:val="003674B7"/>
    <w:rsid w:val="00374388"/>
    <w:rsid w:val="00382FD2"/>
    <w:rsid w:val="003A0AB5"/>
    <w:rsid w:val="003A7A12"/>
    <w:rsid w:val="003B0BCC"/>
    <w:rsid w:val="003C0637"/>
    <w:rsid w:val="003D72A7"/>
    <w:rsid w:val="00400C13"/>
    <w:rsid w:val="004127A5"/>
    <w:rsid w:val="00424B6F"/>
    <w:rsid w:val="004278A9"/>
    <w:rsid w:val="004323B0"/>
    <w:rsid w:val="004334DF"/>
    <w:rsid w:val="0047421C"/>
    <w:rsid w:val="00492D79"/>
    <w:rsid w:val="00497137"/>
    <w:rsid w:val="004A597D"/>
    <w:rsid w:val="004B1E60"/>
    <w:rsid w:val="004B7590"/>
    <w:rsid w:val="00501193"/>
    <w:rsid w:val="00517025"/>
    <w:rsid w:val="00520DEB"/>
    <w:rsid w:val="0052522E"/>
    <w:rsid w:val="00534660"/>
    <w:rsid w:val="00535A9B"/>
    <w:rsid w:val="0054240B"/>
    <w:rsid w:val="00577853"/>
    <w:rsid w:val="00580C98"/>
    <w:rsid w:val="0058706B"/>
    <w:rsid w:val="005A088B"/>
    <w:rsid w:val="005B3F2A"/>
    <w:rsid w:val="005C2599"/>
    <w:rsid w:val="005C4CA5"/>
    <w:rsid w:val="005C6311"/>
    <w:rsid w:val="005C7CDC"/>
    <w:rsid w:val="005D5FEB"/>
    <w:rsid w:val="005F4C8E"/>
    <w:rsid w:val="00623EA2"/>
    <w:rsid w:val="00636871"/>
    <w:rsid w:val="00636933"/>
    <w:rsid w:val="006433E6"/>
    <w:rsid w:val="00646B15"/>
    <w:rsid w:val="0068552F"/>
    <w:rsid w:val="00685ADF"/>
    <w:rsid w:val="006941EC"/>
    <w:rsid w:val="0069717A"/>
    <w:rsid w:val="006A75C1"/>
    <w:rsid w:val="00704E08"/>
    <w:rsid w:val="00711F24"/>
    <w:rsid w:val="00720580"/>
    <w:rsid w:val="00764D2C"/>
    <w:rsid w:val="0077160D"/>
    <w:rsid w:val="00780546"/>
    <w:rsid w:val="00784651"/>
    <w:rsid w:val="007C160C"/>
    <w:rsid w:val="00816E0B"/>
    <w:rsid w:val="00817C33"/>
    <w:rsid w:val="0082122F"/>
    <w:rsid w:val="00833F49"/>
    <w:rsid w:val="008767DC"/>
    <w:rsid w:val="00887541"/>
    <w:rsid w:val="008922D0"/>
    <w:rsid w:val="008A2210"/>
    <w:rsid w:val="008E6A63"/>
    <w:rsid w:val="008F4656"/>
    <w:rsid w:val="008F548E"/>
    <w:rsid w:val="008F628A"/>
    <w:rsid w:val="00920386"/>
    <w:rsid w:val="0092518A"/>
    <w:rsid w:val="009436B2"/>
    <w:rsid w:val="00985C84"/>
    <w:rsid w:val="00995068"/>
    <w:rsid w:val="00997163"/>
    <w:rsid w:val="009A03B5"/>
    <w:rsid w:val="009C2780"/>
    <w:rsid w:val="009D064E"/>
    <w:rsid w:val="009F6645"/>
    <w:rsid w:val="00A021D9"/>
    <w:rsid w:val="00A039CE"/>
    <w:rsid w:val="00A32DEF"/>
    <w:rsid w:val="00A447C1"/>
    <w:rsid w:val="00A5322D"/>
    <w:rsid w:val="00A715DA"/>
    <w:rsid w:val="00A843E9"/>
    <w:rsid w:val="00A946B6"/>
    <w:rsid w:val="00AB2171"/>
    <w:rsid w:val="00AB369C"/>
    <w:rsid w:val="00AE7ADF"/>
    <w:rsid w:val="00B16310"/>
    <w:rsid w:val="00B23ED7"/>
    <w:rsid w:val="00B45B43"/>
    <w:rsid w:val="00B8438E"/>
    <w:rsid w:val="00B91448"/>
    <w:rsid w:val="00B934D5"/>
    <w:rsid w:val="00B94313"/>
    <w:rsid w:val="00BE1C44"/>
    <w:rsid w:val="00BE537D"/>
    <w:rsid w:val="00BE5C06"/>
    <w:rsid w:val="00BF3A82"/>
    <w:rsid w:val="00C135C9"/>
    <w:rsid w:val="00C17926"/>
    <w:rsid w:val="00C351D1"/>
    <w:rsid w:val="00C4251B"/>
    <w:rsid w:val="00C5030C"/>
    <w:rsid w:val="00C522B3"/>
    <w:rsid w:val="00C555F3"/>
    <w:rsid w:val="00C66EF2"/>
    <w:rsid w:val="00C70DA3"/>
    <w:rsid w:val="00C72EB9"/>
    <w:rsid w:val="00C75BD9"/>
    <w:rsid w:val="00CA065A"/>
    <w:rsid w:val="00CA4E56"/>
    <w:rsid w:val="00CC66DF"/>
    <w:rsid w:val="00CC73D9"/>
    <w:rsid w:val="00CD7100"/>
    <w:rsid w:val="00CE4D4D"/>
    <w:rsid w:val="00D04E22"/>
    <w:rsid w:val="00D053E5"/>
    <w:rsid w:val="00D54765"/>
    <w:rsid w:val="00D778C8"/>
    <w:rsid w:val="00DA3CD4"/>
    <w:rsid w:val="00DA3E73"/>
    <w:rsid w:val="00DB0903"/>
    <w:rsid w:val="00DB0F5E"/>
    <w:rsid w:val="00DB5A6E"/>
    <w:rsid w:val="00DD3B4D"/>
    <w:rsid w:val="00DE3A7E"/>
    <w:rsid w:val="00DE4563"/>
    <w:rsid w:val="00DF706A"/>
    <w:rsid w:val="00E129FC"/>
    <w:rsid w:val="00E71692"/>
    <w:rsid w:val="00E81D2D"/>
    <w:rsid w:val="00EB4B7B"/>
    <w:rsid w:val="00EC399E"/>
    <w:rsid w:val="00EC7FE1"/>
    <w:rsid w:val="00F028E5"/>
    <w:rsid w:val="00F15424"/>
    <w:rsid w:val="00F34CAC"/>
    <w:rsid w:val="00FA2DC0"/>
    <w:rsid w:val="00FA3281"/>
    <w:rsid w:val="00FD22E6"/>
    <w:rsid w:val="00FF4849"/>
    <w:rsid w:val="02A62291"/>
    <w:rsid w:val="0A4D7496"/>
    <w:rsid w:val="0C3E353A"/>
    <w:rsid w:val="107E484D"/>
    <w:rsid w:val="16A50D85"/>
    <w:rsid w:val="16DA0303"/>
    <w:rsid w:val="19E75BB1"/>
    <w:rsid w:val="1D7E40DE"/>
    <w:rsid w:val="1D9A07EC"/>
    <w:rsid w:val="1FB2006F"/>
    <w:rsid w:val="222039B6"/>
    <w:rsid w:val="2355143D"/>
    <w:rsid w:val="23753D17"/>
    <w:rsid w:val="277EE30C"/>
    <w:rsid w:val="27E64D5A"/>
    <w:rsid w:val="27FF7321"/>
    <w:rsid w:val="28A32C4B"/>
    <w:rsid w:val="29E05285"/>
    <w:rsid w:val="29F179E6"/>
    <w:rsid w:val="2C3562B0"/>
    <w:rsid w:val="2EBD5519"/>
    <w:rsid w:val="34F62354"/>
    <w:rsid w:val="37713137"/>
    <w:rsid w:val="402D5F84"/>
    <w:rsid w:val="4077259B"/>
    <w:rsid w:val="42CF57FD"/>
    <w:rsid w:val="46BC33FE"/>
    <w:rsid w:val="479628C0"/>
    <w:rsid w:val="4CFB09F8"/>
    <w:rsid w:val="4E6F0D56"/>
    <w:rsid w:val="507F7582"/>
    <w:rsid w:val="546D4598"/>
    <w:rsid w:val="5566728F"/>
    <w:rsid w:val="56A1616C"/>
    <w:rsid w:val="57E26A3C"/>
    <w:rsid w:val="589870FB"/>
    <w:rsid w:val="5E4D2736"/>
    <w:rsid w:val="61AB60F1"/>
    <w:rsid w:val="62AA63A9"/>
    <w:rsid w:val="6A7B9F08"/>
    <w:rsid w:val="6D09091E"/>
    <w:rsid w:val="6EF7415A"/>
    <w:rsid w:val="6F451933"/>
    <w:rsid w:val="6FF0013E"/>
    <w:rsid w:val="73F61362"/>
    <w:rsid w:val="747B5DF7"/>
    <w:rsid w:val="754C32EF"/>
    <w:rsid w:val="768C7E47"/>
    <w:rsid w:val="790068CB"/>
    <w:rsid w:val="79AEA1F6"/>
    <w:rsid w:val="7ADFF85A"/>
    <w:rsid w:val="7BFEFDB0"/>
    <w:rsid w:val="7DF6A9A9"/>
    <w:rsid w:val="7DFBB921"/>
    <w:rsid w:val="7E5FD5D2"/>
    <w:rsid w:val="7EDB6D39"/>
    <w:rsid w:val="7EE77053"/>
    <w:rsid w:val="7EF554B1"/>
    <w:rsid w:val="7F3F7FB5"/>
    <w:rsid w:val="7FAEA0AF"/>
    <w:rsid w:val="7FEF7C0C"/>
    <w:rsid w:val="7FFB6AA8"/>
    <w:rsid w:val="7FFCF692"/>
    <w:rsid w:val="A7268403"/>
    <w:rsid w:val="AF4F657C"/>
    <w:rsid w:val="BFDF3C3D"/>
    <w:rsid w:val="BFF7085E"/>
    <w:rsid w:val="CFEF10B3"/>
    <w:rsid w:val="D3FF6A13"/>
    <w:rsid w:val="DBE76C97"/>
    <w:rsid w:val="DFD7A090"/>
    <w:rsid w:val="EEB739EF"/>
    <w:rsid w:val="EEF67E29"/>
    <w:rsid w:val="F5FEE7F2"/>
    <w:rsid w:val="F72B44A4"/>
    <w:rsid w:val="F7BFD8FD"/>
    <w:rsid w:val="F7DBE0D7"/>
    <w:rsid w:val="FD5EC216"/>
    <w:rsid w:val="FDD668B7"/>
    <w:rsid w:val="FDFB3FC3"/>
    <w:rsid w:val="FE773666"/>
    <w:rsid w:val="FF93B48F"/>
    <w:rsid w:val="FFAD19A9"/>
    <w:rsid w:val="FFDA453F"/>
    <w:rsid w:val="FFEFDF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rPr>
      <w:rFonts w:eastAsia="宋体"/>
      <w:sz w:val="21"/>
      <w:szCs w:val="24"/>
    </w:rPr>
  </w:style>
  <w:style w:type="paragraph" w:styleId="3">
    <w:name w:val="Balloon Text"/>
    <w:basedOn w:val="1"/>
    <w:link w:val="13"/>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eastAsia="宋体"/>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eastAsia="宋体"/>
      <w:sz w:val="18"/>
      <w:szCs w:val="18"/>
    </w:rPr>
  </w:style>
  <w:style w:type="character" w:customStyle="1" w:styleId="8">
    <w:name w:val="Body Text Char"/>
    <w:basedOn w:val="7"/>
    <w:link w:val="2"/>
    <w:qFormat/>
    <w:locked/>
    <w:uiPriority w:val="99"/>
    <w:rPr>
      <w:rFonts w:ascii="Times New Roman" w:hAnsi="Times New Roman" w:eastAsia="宋体" w:cs="Times New Roman"/>
      <w:sz w:val="24"/>
      <w:szCs w:val="24"/>
    </w:rPr>
  </w:style>
  <w:style w:type="character" w:customStyle="1" w:styleId="9">
    <w:name w:val="Header Char"/>
    <w:basedOn w:val="7"/>
    <w:link w:val="5"/>
    <w:qFormat/>
    <w:locked/>
    <w:uiPriority w:val="99"/>
    <w:rPr>
      <w:rFonts w:ascii="Times New Roman" w:hAnsi="Times New Roman" w:eastAsia="宋体" w:cs="Times New Roman"/>
      <w:sz w:val="18"/>
      <w:szCs w:val="18"/>
    </w:rPr>
  </w:style>
  <w:style w:type="character" w:customStyle="1" w:styleId="10">
    <w:name w:val="Footer Char"/>
    <w:basedOn w:val="7"/>
    <w:link w:val="4"/>
    <w:qFormat/>
    <w:locked/>
    <w:uiPriority w:val="99"/>
    <w:rPr>
      <w:rFonts w:ascii="Times New Roman" w:hAnsi="Times New Roman" w:eastAsia="宋体" w:cs="Times New Roman"/>
      <w:sz w:val="18"/>
      <w:szCs w:val="18"/>
    </w:rPr>
  </w:style>
  <w:style w:type="paragraph" w:customStyle="1" w:styleId="11">
    <w:name w:val="p0"/>
    <w:basedOn w:val="1"/>
    <w:qFormat/>
    <w:uiPriority w:val="99"/>
    <w:pPr>
      <w:widowControl/>
    </w:pPr>
    <w:rPr>
      <w:rFonts w:ascii="Calibri" w:hAnsi="Calibri" w:eastAsia="宋体"/>
      <w:kern w:val="0"/>
      <w:sz w:val="21"/>
      <w:szCs w:val="21"/>
    </w:rPr>
  </w:style>
  <w:style w:type="paragraph" w:styleId="12">
    <w:name w:val="List Paragraph"/>
    <w:basedOn w:val="1"/>
    <w:qFormat/>
    <w:uiPriority w:val="99"/>
    <w:pPr>
      <w:ind w:firstLine="420" w:firstLineChars="200"/>
    </w:pPr>
    <w:rPr>
      <w:rFonts w:ascii="Calibri" w:hAnsi="Calibri" w:eastAsia="宋体"/>
      <w:sz w:val="21"/>
      <w:szCs w:val="22"/>
    </w:rPr>
  </w:style>
  <w:style w:type="character" w:customStyle="1" w:styleId="13">
    <w:name w:val="Balloon Text Char"/>
    <w:basedOn w:val="7"/>
    <w:link w:val="3"/>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1017</Words>
  <Characters>5802</Characters>
  <Lines>0</Lines>
  <Paragraphs>0</Paragraphs>
  <TotalTime>21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2021-03-17T19:49:00Z</dcterms:created>
  <dc:creator>潘萍</dc:creator>
  <cp:lastModifiedBy>user</cp:lastModifiedBy>
  <cp:lastPrinted>2020-05-07T18:17:00Z</cp:lastPrinted>
  <dcterms:modified xsi:type="dcterms:W3CDTF">2023-05-24T10:06:51Z</dcterms:modified>
  <dc:title>附件1</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3F5A45E97DD3422FA31641EC38A51904</vt:lpwstr>
  </property>
</Properties>
</file>